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05"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ind w:left="4500"/>
        <w:spacing w:after="0"/>
        <w:rPr>
          <w:sz w:val="20"/>
          <w:szCs w:val="20"/>
          <w:color w:val="auto"/>
        </w:rPr>
      </w:pPr>
      <w:r>
        <w:rPr>
          <w:rFonts w:ascii="Arial" w:cs="Arial" w:eastAsia="Arial" w:hAnsi="Arial"/>
          <w:sz w:val="16"/>
          <w:szCs w:val="16"/>
          <w:b w:val="1"/>
          <w:bCs w:val="1"/>
          <w:color w:val="auto"/>
        </w:rPr>
        <w:t>Washington, D.C. 20549</w:t>
      </w:r>
    </w:p>
    <w:p>
      <w:pPr>
        <w:spacing w:after="0" w:line="100"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114"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Proxy Statement Pursuant to Section 14(a) of</w:t>
      </w:r>
    </w:p>
    <w:p>
      <w:pPr>
        <w:spacing w:after="0" w:line="3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the Securities Exchange Act of 1934 (Amendment No.     )</w:t>
      </w:r>
    </w:p>
    <w:p>
      <w:pPr>
        <w:spacing w:after="0" w:line="65" w:lineRule="exact"/>
        <w:rPr>
          <w:sz w:val="24"/>
          <w:szCs w:val="24"/>
          <w:color w:val="auto"/>
        </w:rPr>
      </w:pPr>
    </w:p>
    <w:p>
      <w:pPr>
        <w:ind w:left="126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27" w:lineRule="exact"/>
        <w:rPr>
          <w:sz w:val="24"/>
          <w:szCs w:val="24"/>
          <w:color w:val="auto"/>
        </w:rPr>
      </w:pPr>
    </w:p>
    <w:p>
      <w:pPr>
        <w:ind w:left="126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2"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Check the appropriate box:</w:t>
      </w:r>
    </w:p>
    <w:p>
      <w:pPr>
        <w:spacing w:after="0" w:line="113" w:lineRule="exact"/>
        <w:rPr>
          <w:sz w:val="24"/>
          <w:szCs w:val="24"/>
          <w:color w:val="auto"/>
        </w:rPr>
      </w:pPr>
    </w:p>
    <w:p>
      <w:pPr>
        <w:ind w:left="1580" w:hanging="320"/>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1580" w:hanging="320"/>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27" w:lineRule="exact"/>
        <w:rPr>
          <w:sz w:val="24"/>
          <w:szCs w:val="24"/>
          <w:color w:val="auto"/>
        </w:rPr>
      </w:pPr>
    </w:p>
    <w:p>
      <w:pPr>
        <w:ind w:left="1580" w:hanging="320"/>
        <w:spacing w:after="0"/>
        <w:tabs>
          <w:tab w:leader="none" w:pos="1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13" w:lineRule="exact"/>
        <w:rPr>
          <w:sz w:val="24"/>
          <w:szCs w:val="24"/>
          <w:color w:val="auto"/>
        </w:rPr>
      </w:pPr>
    </w:p>
    <w:p>
      <w:pPr>
        <w:ind w:left="1580" w:hanging="320"/>
        <w:spacing w:after="0"/>
        <w:tabs>
          <w:tab w:leader="none" w:pos="1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1580" w:hanging="320"/>
        <w:spacing w:after="0"/>
        <w:tabs>
          <w:tab w:leader="none" w:pos="1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16"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APPLIED OPTOELECTRONICS,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55880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9" w:lineRule="exact"/>
        <w:rPr>
          <w:sz w:val="24"/>
          <w:szCs w:val="24"/>
          <w:color w:val="auto"/>
        </w:rPr>
      </w:pPr>
    </w:p>
    <w:p>
      <w:pPr>
        <w:jc w:val="center"/>
        <w:ind w:right="-860"/>
        <w:spacing w:after="0"/>
        <w:rPr>
          <w:sz w:val="20"/>
          <w:szCs w:val="20"/>
          <w:color w:val="auto"/>
        </w:rPr>
      </w:pPr>
      <w:r>
        <w:rPr>
          <w:rFonts w:ascii="Arial" w:cs="Arial" w:eastAsia="Arial" w:hAnsi="Arial"/>
          <w:sz w:val="14"/>
          <w:szCs w:val="14"/>
          <w:color w:val="auto"/>
        </w:rPr>
        <w:t>(Name of Registrant as Specified In Its Charter)</w:t>
      </w:r>
    </w:p>
    <w:p>
      <w:pPr>
        <w:spacing w:after="0" w:line="199"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8" w:lineRule="exact"/>
        <w:rPr>
          <w:sz w:val="24"/>
          <w:szCs w:val="24"/>
          <w:color w:val="auto"/>
        </w:rPr>
      </w:pPr>
    </w:p>
    <w:p>
      <w:pPr>
        <w:ind w:left="312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8"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Payment of Filing Fee (Check the appropriate box):</w:t>
      </w:r>
    </w:p>
    <w:p>
      <w:pPr>
        <w:spacing w:after="0" w:line="127" w:lineRule="exact"/>
        <w:rPr>
          <w:sz w:val="24"/>
          <w:szCs w:val="24"/>
          <w:color w:val="auto"/>
        </w:rPr>
      </w:pPr>
    </w:p>
    <w:p>
      <w:pPr>
        <w:ind w:left="1580" w:hanging="320"/>
        <w:spacing w:after="0"/>
        <w:tabs>
          <w:tab w:leader="none" w:pos="1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13" w:lineRule="exact"/>
        <w:rPr>
          <w:sz w:val="24"/>
          <w:szCs w:val="24"/>
          <w:color w:val="auto"/>
        </w:rPr>
      </w:pPr>
    </w:p>
    <w:p>
      <w:pPr>
        <w:ind w:left="1580" w:hanging="320"/>
        <w:spacing w:after="0"/>
        <w:tabs>
          <w:tab w:leader="none" w:pos="1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1580" w:hanging="320"/>
        <w:spacing w:after="0"/>
        <w:tabs>
          <w:tab w:leader="none" w:pos="15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4001770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3217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April 24, 2026</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Dear Stockholder:</w:t>
      </w:r>
    </w:p>
    <w:p>
      <w:pPr>
        <w:spacing w:after="0" w:line="126" w:lineRule="exact"/>
        <w:rPr>
          <w:sz w:val="20"/>
          <w:szCs w:val="20"/>
          <w:color w:val="auto"/>
        </w:rPr>
      </w:pPr>
    </w:p>
    <w:p>
      <w:pPr>
        <w:ind w:left="660" w:right="80"/>
        <w:spacing w:after="0" w:line="275" w:lineRule="auto"/>
        <w:rPr>
          <w:sz w:val="20"/>
          <w:szCs w:val="20"/>
          <w:color w:val="auto"/>
        </w:rPr>
      </w:pPr>
      <w:r>
        <w:rPr>
          <w:rFonts w:ascii="Arial" w:cs="Arial" w:eastAsia="Arial" w:hAnsi="Arial"/>
          <w:sz w:val="16"/>
          <w:szCs w:val="16"/>
          <w:color w:val="auto"/>
        </w:rPr>
        <w:t>You are cordially invited to attend the Annual Meeting of the Stockholders of Applied Optoelectronics, Inc. (the “Company”), on Thursday, June 4, 2026, at 9:30 a.m. Central Time. We will hold the meeting at our principal office located at 13139 Jess Pirtle Blvd., Sugar Land, TX 77478.</w:t>
      </w:r>
    </w:p>
    <w:p>
      <w:pPr>
        <w:spacing w:after="0" w:line="70" w:lineRule="exact"/>
        <w:rPr>
          <w:sz w:val="20"/>
          <w:szCs w:val="20"/>
          <w:color w:val="auto"/>
        </w:rPr>
      </w:pPr>
    </w:p>
    <w:p>
      <w:pPr>
        <w:ind w:left="660"/>
        <w:spacing w:after="0" w:line="262" w:lineRule="auto"/>
        <w:rPr>
          <w:sz w:val="20"/>
          <w:szCs w:val="20"/>
          <w:color w:val="auto"/>
        </w:rPr>
      </w:pPr>
      <w:r>
        <w:rPr>
          <w:rFonts w:ascii="Arial" w:cs="Arial" w:eastAsia="Arial" w:hAnsi="Arial"/>
          <w:sz w:val="16"/>
          <w:szCs w:val="16"/>
          <w:color w:val="auto"/>
        </w:rPr>
        <w:t>The items of business are listed in the following Notice of Annual Meeting of Stockholders and are more fully addressed in the Proxy Statement. At this meeting, you are being asked to (i) elect the two Class I directors named in the Proxy Statement to hold office for three-year terms, (ii) ratify the appointment of Grant Thornton LLP as our independent registered public accounting firm for fiscal year 2026, (iii) approve, on an advisory basis, the compensation of our named executive officers, (iv) consider and vote on the amendment of our Amended and Restated Certificate of Incorporation, as amended, to clarify the voting standard that applies to future amendments, (v) approve the 2026 equity incentive plan and (vi) adjourn the Annual Meeting to a later date or dates, if necessary or appropriate, to permit further solicitation and vote of proxies in the event that there are insufficient votes for, or otherwise in connection with, one or more of the other proposals to be voted on at the Annual Meeting.</w:t>
      </w:r>
    </w:p>
    <w:p>
      <w:pPr>
        <w:spacing w:after="0" w:line="81" w:lineRule="exact"/>
        <w:rPr>
          <w:sz w:val="20"/>
          <w:szCs w:val="20"/>
          <w:color w:val="auto"/>
        </w:rPr>
      </w:pPr>
    </w:p>
    <w:p>
      <w:pPr>
        <w:ind w:left="660" w:right="20"/>
        <w:spacing w:after="0" w:line="271" w:lineRule="auto"/>
        <w:rPr>
          <w:sz w:val="20"/>
          <w:szCs w:val="20"/>
          <w:color w:val="auto"/>
        </w:rPr>
      </w:pPr>
      <w:r>
        <w:rPr>
          <w:rFonts w:ascii="Arial" w:cs="Arial" w:eastAsia="Arial" w:hAnsi="Arial"/>
          <w:sz w:val="16"/>
          <w:szCs w:val="16"/>
          <w:color w:val="auto"/>
        </w:rPr>
        <w:t>As permitted by SEC rules, we are making this Proxy Statement and our 2025 Annual Report available to stockholders electronically via the Internet at www.proxyvote.com. On or about April 24, 2026, we will begin mailing to our stockholders a Notice of Internet Availability of Proxy Materials containing instructions on how to access this Proxy Statement and our 2025 Annual Report and how to vote online.</w:t>
      </w:r>
    </w:p>
    <w:p>
      <w:pPr>
        <w:spacing w:after="0" w:line="73" w:lineRule="exact"/>
        <w:rPr>
          <w:sz w:val="20"/>
          <w:szCs w:val="20"/>
          <w:color w:val="auto"/>
        </w:rPr>
      </w:pPr>
    </w:p>
    <w:p>
      <w:pPr>
        <w:ind w:left="660" w:right="40"/>
        <w:spacing w:after="0" w:line="265" w:lineRule="auto"/>
        <w:rPr>
          <w:sz w:val="20"/>
          <w:szCs w:val="20"/>
          <w:color w:val="auto"/>
        </w:rPr>
      </w:pPr>
      <w:r>
        <w:rPr>
          <w:rFonts w:ascii="Arial" w:cs="Arial" w:eastAsia="Arial" w:hAnsi="Arial"/>
          <w:sz w:val="16"/>
          <w:szCs w:val="16"/>
          <w:color w:val="auto"/>
        </w:rPr>
        <w:t>Please read the Proxy Statement, which presents important information about the Company and each of the items being presented for stockholder vote. Whether or not you intend to be present in person at the meeting, your vote is very important. Please submit your proxy or vote promptly by telephone or internet or by marking, signing, and returning your proxy card (if you have received one), so that your shares will be represented at the meeting. If you attend the meeting, you will have the right to revoke the proxy and vote your shares in person. If you hold your shares through an account with a bank, broker, or other nominee, please follow the instructions you receive from your bank, broker, or other nominee to vote your shares.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hope that you will be able to attend the meeting in person. We look forward to seeing you there.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106680</wp:posOffset>
            </wp:positionV>
            <wp:extent cx="99441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441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Chih-Hsiang (Thompson) Lin</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3103880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321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To Be Held On June 4, 2026</w:t>
      </w:r>
    </w:p>
    <w:p>
      <w:pPr>
        <w:spacing w:after="0" w:line="100" w:lineRule="exact"/>
        <w:rPr>
          <w:sz w:val="20"/>
          <w:szCs w:val="20"/>
          <w:color w:val="auto"/>
        </w:rPr>
      </w:pPr>
    </w:p>
    <w:p>
      <w:pPr>
        <w:ind w:left="660" w:right="340"/>
        <w:spacing w:after="0" w:line="266" w:lineRule="auto"/>
        <w:rPr>
          <w:sz w:val="20"/>
          <w:szCs w:val="20"/>
          <w:color w:val="auto"/>
        </w:rPr>
      </w:pPr>
      <w:r>
        <w:rPr>
          <w:rFonts w:ascii="Arial" w:cs="Arial" w:eastAsia="Arial" w:hAnsi="Arial"/>
          <w:sz w:val="16"/>
          <w:szCs w:val="16"/>
          <w:color w:val="auto"/>
        </w:rPr>
        <w:t>The 2026 Annual Meeting of Stockholders (“Annual Meeting”) of Applied Optoelectronics, Inc., a Delaware corporation (the “Company”), will be held on Thursday, June 4, 2026, at 9:30 a.m. Central Time, at our principal offices at 13139 Jess Pirtle Blvd., Sugar Land, TX 77478, for the following purposes:</w:t>
      </w:r>
    </w:p>
    <w:p>
      <w:pPr>
        <w:spacing w:after="0" w:line="91"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760" w:type="dxa"/>
            <w:vAlign w:val="bottom"/>
            <w:shd w:val="clear" w:color="auto" w:fill="4834BA"/>
          </w:tcPr>
          <w:p>
            <w:pPr>
              <w:jc w:val="center"/>
              <w:ind w:left="279"/>
              <w:spacing w:after="0"/>
              <w:rPr>
                <w:sz w:val="20"/>
                <w:szCs w:val="20"/>
                <w:color w:val="auto"/>
              </w:rPr>
            </w:pPr>
            <w:r>
              <w:rPr>
                <w:rFonts w:ascii="Arial" w:cs="Arial" w:eastAsia="Arial" w:hAnsi="Arial"/>
                <w:sz w:val="16"/>
                <w:szCs w:val="16"/>
                <w:b w:val="1"/>
                <w:bCs w:val="1"/>
                <w:color w:val="FFFFFF"/>
                <w:w w:val="91"/>
              </w:rPr>
              <w:t>DATE</w:t>
            </w:r>
          </w:p>
        </w:tc>
        <w:tc>
          <w:tcPr>
            <w:tcW w:w="340" w:type="dxa"/>
            <w:vAlign w:val="bottom"/>
            <w:shd w:val="clear" w:color="auto" w:fill="4834BA"/>
          </w:tcPr>
          <w:p>
            <w:pPr>
              <w:ind w:left="280"/>
              <w:spacing w:after="0"/>
              <w:rPr>
                <w:sz w:val="20"/>
                <w:szCs w:val="20"/>
                <w:color w:val="auto"/>
              </w:rPr>
            </w:pPr>
            <w:r>
              <w:rPr>
                <w:rFonts w:ascii="Arial" w:cs="Arial" w:eastAsia="Arial" w:hAnsi="Arial"/>
                <w:sz w:val="16"/>
                <w:szCs w:val="16"/>
                <w:b w:val="1"/>
                <w:bCs w:val="1"/>
                <w:color w:val="FFFFFF"/>
              </w:rPr>
              <w:t>​</w:t>
            </w:r>
          </w:p>
        </w:tc>
        <w:tc>
          <w:tcPr>
            <w:tcW w:w="200" w:type="dxa"/>
            <w:vAlign w:val="bottom"/>
            <w:shd w:val="clear" w:color="auto" w:fill="FEFEFE"/>
          </w:tcPr>
          <w:p>
            <w:pPr>
              <w:spacing w:after="0"/>
              <w:rPr>
                <w:sz w:val="22"/>
                <w:szCs w:val="22"/>
                <w:color w:val="auto"/>
              </w:rPr>
            </w:pPr>
          </w:p>
        </w:tc>
        <w:tc>
          <w:tcPr>
            <w:tcW w:w="380" w:type="dxa"/>
            <w:vAlign w:val="bottom"/>
            <w:shd w:val="clear" w:color="auto" w:fill="4834BA"/>
          </w:tcPr>
          <w:p>
            <w:pPr>
              <w:ind w:left="60"/>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4834BA"/>
          </w:tcPr>
          <w:p>
            <w:pPr>
              <w:jc w:val="center"/>
              <w:spacing w:after="0"/>
              <w:rPr>
                <w:sz w:val="20"/>
                <w:szCs w:val="20"/>
                <w:color w:val="auto"/>
              </w:rPr>
            </w:pPr>
            <w:r>
              <w:rPr>
                <w:rFonts w:ascii="Arial" w:cs="Arial" w:eastAsia="Arial" w:hAnsi="Arial"/>
                <w:sz w:val="16"/>
                <w:szCs w:val="16"/>
                <w:b w:val="1"/>
                <w:bCs w:val="1"/>
                <w:color w:val="FFFFFF"/>
                <w:w w:val="94"/>
              </w:rPr>
              <w:t>TIME</w:t>
            </w:r>
          </w:p>
        </w:tc>
        <w:tc>
          <w:tcPr>
            <w:tcW w:w="360" w:type="dxa"/>
            <w:vAlign w:val="bottom"/>
            <w:shd w:val="clear" w:color="auto" w:fill="4834BA"/>
          </w:tcPr>
          <w:p>
            <w:pPr>
              <w:ind w:left="300"/>
              <w:spacing w:after="0"/>
              <w:rPr>
                <w:sz w:val="20"/>
                <w:szCs w:val="20"/>
                <w:color w:val="auto"/>
              </w:rPr>
            </w:pPr>
            <w:r>
              <w:rPr>
                <w:rFonts w:ascii="Arial" w:cs="Arial" w:eastAsia="Arial" w:hAnsi="Arial"/>
                <w:sz w:val="16"/>
                <w:szCs w:val="16"/>
                <w:b w:val="1"/>
                <w:bCs w:val="1"/>
                <w:color w:val="FFFFFF"/>
              </w:rPr>
              <w:t>​</w:t>
            </w:r>
          </w:p>
        </w:tc>
        <w:tc>
          <w:tcPr>
            <w:tcW w:w="200" w:type="dxa"/>
            <w:vAlign w:val="bottom"/>
            <w:shd w:val="clear" w:color="auto" w:fill="FEFEFE"/>
          </w:tcPr>
          <w:p>
            <w:pPr>
              <w:spacing w:after="0"/>
              <w:rPr>
                <w:sz w:val="22"/>
                <w:szCs w:val="22"/>
                <w:color w:val="auto"/>
              </w:rPr>
            </w:pPr>
          </w:p>
        </w:tc>
        <w:tc>
          <w:tcPr>
            <w:tcW w:w="240" w:type="dxa"/>
            <w:vAlign w:val="bottom"/>
            <w:shd w:val="clear" w:color="auto" w:fill="4834BA"/>
          </w:tcPr>
          <w:p>
            <w:pPr>
              <w:ind w:left="60"/>
              <w:spacing w:after="0"/>
              <w:rPr>
                <w:sz w:val="20"/>
                <w:szCs w:val="20"/>
                <w:color w:val="auto"/>
              </w:rPr>
            </w:pPr>
            <w:r>
              <w:rPr>
                <w:rFonts w:ascii="Arial" w:cs="Arial" w:eastAsia="Arial" w:hAnsi="Arial"/>
                <w:sz w:val="16"/>
                <w:szCs w:val="16"/>
                <w:b w:val="1"/>
                <w:bCs w:val="1"/>
                <w:color w:val="FFFFFF"/>
              </w:rPr>
              <w:t>​</w:t>
            </w:r>
          </w:p>
        </w:tc>
        <w:tc>
          <w:tcPr>
            <w:tcW w:w="1900" w:type="dxa"/>
            <w:vAlign w:val="bottom"/>
            <w:shd w:val="clear" w:color="auto" w:fill="4834BA"/>
          </w:tcPr>
          <w:p>
            <w:pPr>
              <w:jc w:val="center"/>
              <w:spacing w:after="0"/>
              <w:rPr>
                <w:sz w:val="20"/>
                <w:szCs w:val="20"/>
                <w:color w:val="auto"/>
              </w:rPr>
            </w:pPr>
            <w:r>
              <w:rPr>
                <w:rFonts w:ascii="Arial" w:cs="Arial" w:eastAsia="Arial" w:hAnsi="Arial"/>
                <w:sz w:val="16"/>
                <w:szCs w:val="16"/>
                <w:b w:val="1"/>
                <w:bCs w:val="1"/>
                <w:color w:val="FFFFFF"/>
                <w:w w:val="93"/>
              </w:rPr>
              <w:t>LOCATION</w:t>
            </w:r>
          </w:p>
        </w:tc>
        <w:tc>
          <w:tcPr>
            <w:tcW w:w="200" w:type="dxa"/>
            <w:vAlign w:val="bottom"/>
            <w:shd w:val="clear" w:color="auto" w:fill="4834BA"/>
          </w:tcPr>
          <w:p>
            <w:pPr>
              <w:ind w:left="140"/>
              <w:spacing w:after="0"/>
              <w:rPr>
                <w:sz w:val="20"/>
                <w:szCs w:val="20"/>
                <w:color w:val="auto"/>
              </w:rPr>
            </w:pPr>
            <w:r>
              <w:rPr>
                <w:rFonts w:ascii="Arial" w:cs="Arial" w:eastAsia="Arial" w:hAnsi="Arial"/>
                <w:sz w:val="16"/>
                <w:szCs w:val="16"/>
                <w:b w:val="1"/>
                <w:bCs w:val="1"/>
                <w:color w:val="FFFFFF"/>
              </w:rPr>
              <w:t>​</w:t>
            </w:r>
          </w:p>
        </w:tc>
        <w:tc>
          <w:tcPr>
            <w:tcW w:w="200" w:type="dxa"/>
            <w:vAlign w:val="bottom"/>
            <w:shd w:val="clear" w:color="auto" w:fill="FEFEFE"/>
          </w:tcPr>
          <w:p>
            <w:pPr>
              <w:spacing w:after="0"/>
              <w:rPr>
                <w:sz w:val="22"/>
                <w:szCs w:val="22"/>
                <w:color w:val="auto"/>
              </w:rPr>
            </w:pPr>
          </w:p>
        </w:tc>
        <w:tc>
          <w:tcPr>
            <w:tcW w:w="320" w:type="dxa"/>
            <w:vAlign w:val="bottom"/>
            <w:shd w:val="clear" w:color="auto" w:fill="4834BA"/>
          </w:tcPr>
          <w:p>
            <w:pPr>
              <w:ind w:left="60"/>
              <w:spacing w:after="0"/>
              <w:rPr>
                <w:sz w:val="20"/>
                <w:szCs w:val="20"/>
                <w:color w:val="auto"/>
              </w:rPr>
            </w:pPr>
            <w:r>
              <w:rPr>
                <w:rFonts w:ascii="Arial" w:cs="Arial" w:eastAsia="Arial" w:hAnsi="Arial"/>
                <w:sz w:val="16"/>
                <w:szCs w:val="16"/>
                <w:b w:val="1"/>
                <w:bCs w:val="1"/>
                <w:color w:val="FFFFFF"/>
              </w:rPr>
              <w:t>​</w:t>
            </w:r>
          </w:p>
        </w:tc>
        <w:tc>
          <w:tcPr>
            <w:tcW w:w="1820" w:type="dxa"/>
            <w:vAlign w:val="bottom"/>
            <w:shd w:val="clear" w:color="auto" w:fill="4834BA"/>
          </w:tcPr>
          <w:p>
            <w:pPr>
              <w:jc w:val="center"/>
              <w:ind w:right="219"/>
              <w:spacing w:after="0"/>
              <w:rPr>
                <w:sz w:val="20"/>
                <w:szCs w:val="20"/>
                <w:color w:val="auto"/>
              </w:rPr>
            </w:pPr>
            <w:r>
              <w:rPr>
                <w:rFonts w:ascii="Arial" w:cs="Arial" w:eastAsia="Arial" w:hAnsi="Arial"/>
                <w:sz w:val="16"/>
                <w:szCs w:val="16"/>
                <w:b w:val="1"/>
                <w:bCs w:val="1"/>
                <w:color w:val="FFFFFF"/>
                <w:w w:val="92"/>
              </w:rPr>
              <w:t>RECORD DATE</w:t>
            </w:r>
          </w:p>
        </w:tc>
      </w:tr>
      <w:tr>
        <w:trPr>
          <w:trHeight w:val="215"/>
        </w:trPr>
        <w:tc>
          <w:tcPr>
            <w:tcW w:w="1760" w:type="dxa"/>
            <w:vAlign w:val="bottom"/>
          </w:tcPr>
          <w:p>
            <w:pPr>
              <w:spacing w:after="0"/>
              <w:rPr>
                <w:sz w:val="18"/>
                <w:szCs w:val="18"/>
                <w:color w:val="auto"/>
              </w:rPr>
            </w:pPr>
          </w:p>
        </w:tc>
        <w:tc>
          <w:tcPr>
            <w:tcW w:w="340" w:type="dxa"/>
            <w:vAlign w:val="bottom"/>
          </w:tcPr>
          <w:p>
            <w:pPr>
              <w:ind w:lef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EFEFE"/>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8"/>
                <w:szCs w:val="18"/>
                <w:color w:val="auto"/>
              </w:rPr>
            </w:pPr>
          </w:p>
        </w:tc>
        <w:tc>
          <w:tcPr>
            <w:tcW w:w="360" w:type="dxa"/>
            <w:vAlign w:val="bottom"/>
          </w:tcPr>
          <w:p>
            <w:pPr>
              <w:ind w:lef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FEFEFE"/>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FEFEFE"/>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6"/>
                <w:szCs w:val="16"/>
                <w:color w:val="auto"/>
              </w:rPr>
              <w:t>​</w:t>
            </w:r>
          </w:p>
        </w:tc>
        <w:tc>
          <w:tcPr>
            <w:tcW w:w="1820" w:type="dxa"/>
            <w:vAlign w:val="bottom"/>
          </w:tcPr>
          <w:p>
            <w:pPr>
              <w:spacing w:after="0"/>
              <w:rPr>
                <w:sz w:val="18"/>
                <w:szCs w:val="18"/>
                <w:color w:val="auto"/>
              </w:rPr>
            </w:pPr>
          </w:p>
        </w:tc>
      </w:tr>
      <w:tr>
        <w:trPr>
          <w:trHeight w:val="905"/>
        </w:trPr>
        <w:tc>
          <w:tcPr>
            <w:tcW w:w="1760" w:type="dxa"/>
            <w:vAlign w:val="bottom"/>
          </w:tcPr>
          <w:p>
            <w:pPr>
              <w:jc w:val="center"/>
              <w:ind w:left="219"/>
              <w:spacing w:after="0"/>
              <w:rPr>
                <w:sz w:val="20"/>
                <w:szCs w:val="20"/>
                <w:color w:val="auto"/>
              </w:rPr>
            </w:pPr>
            <w:r>
              <w:rPr>
                <w:rFonts w:ascii="Arial" w:cs="Arial" w:eastAsia="Arial" w:hAnsi="Arial"/>
                <w:sz w:val="16"/>
                <w:szCs w:val="16"/>
                <w:b w:val="1"/>
                <w:bCs w:val="1"/>
                <w:color w:val="auto"/>
                <w:w w:val="96"/>
              </w:rPr>
              <w:t>Thursday,</w:t>
            </w:r>
          </w:p>
        </w:tc>
        <w:tc>
          <w:tcPr>
            <w:tcW w:w="34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FEFEFE"/>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9:30 a.m.</w:t>
            </w:r>
          </w:p>
        </w:tc>
        <w:tc>
          <w:tcPr>
            <w:tcW w:w="36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FEFEFE"/>
          </w:tcPr>
          <w:p>
            <w:pPr>
              <w:spacing w:after="0"/>
              <w:rPr>
                <w:sz w:val="24"/>
                <w:szCs w:val="24"/>
                <w:color w:val="auto"/>
              </w:rPr>
            </w:pPr>
          </w:p>
        </w:tc>
        <w:tc>
          <w:tcPr>
            <w:tcW w:w="2140" w:type="dxa"/>
            <w:vAlign w:val="bottom"/>
            <w:gridSpan w:val="2"/>
          </w:tcPr>
          <w:p>
            <w:pPr>
              <w:ind w:left="60"/>
              <w:spacing w:after="0"/>
              <w:rPr>
                <w:sz w:val="20"/>
                <w:szCs w:val="20"/>
                <w:color w:val="auto"/>
              </w:rPr>
            </w:pPr>
            <w:r>
              <w:rPr>
                <w:rFonts w:ascii="Arial" w:cs="Arial" w:eastAsia="Arial" w:hAnsi="Arial"/>
                <w:sz w:val="16"/>
                <w:szCs w:val="16"/>
                <w:b w:val="1"/>
                <w:bCs w:val="1"/>
                <w:color w:val="auto"/>
              </w:rPr>
              <w:t>​  13139 Jess Pirtle Blvd.,</w:t>
            </w:r>
          </w:p>
        </w:tc>
        <w:tc>
          <w:tcPr>
            <w:tcW w:w="200" w:type="dxa"/>
            <w:vAlign w:val="bottom"/>
          </w:tcPr>
          <w:p>
            <w:pPr>
              <w:ind w:left="1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FEFEFE"/>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820" w:type="dxa"/>
            <w:vAlign w:val="bottom"/>
          </w:tcPr>
          <w:p>
            <w:pPr>
              <w:jc w:val="center"/>
              <w:ind w:right="279"/>
              <w:spacing w:after="0"/>
              <w:rPr>
                <w:sz w:val="20"/>
                <w:szCs w:val="20"/>
                <w:color w:val="auto"/>
              </w:rPr>
            </w:pPr>
            <w:r>
              <w:rPr>
                <w:rFonts w:ascii="Arial" w:cs="Arial" w:eastAsia="Arial" w:hAnsi="Arial"/>
                <w:sz w:val="16"/>
                <w:szCs w:val="16"/>
                <w:b w:val="1"/>
                <w:bCs w:val="1"/>
                <w:color w:val="auto"/>
                <w:w w:val="95"/>
              </w:rPr>
              <w:t>Friday</w:t>
            </w:r>
          </w:p>
        </w:tc>
      </w:tr>
      <w:tr>
        <w:trPr>
          <w:trHeight w:val="223"/>
        </w:trPr>
        <w:tc>
          <w:tcPr>
            <w:tcW w:w="1760" w:type="dxa"/>
            <w:vAlign w:val="bottom"/>
          </w:tcPr>
          <w:p>
            <w:pPr>
              <w:jc w:val="center"/>
              <w:ind w:left="259"/>
              <w:spacing w:after="0"/>
              <w:rPr>
                <w:sz w:val="20"/>
                <w:szCs w:val="20"/>
                <w:color w:val="auto"/>
              </w:rPr>
            </w:pPr>
            <w:r>
              <w:rPr>
                <w:rFonts w:ascii="Arial" w:cs="Arial" w:eastAsia="Arial" w:hAnsi="Arial"/>
                <w:sz w:val="16"/>
                <w:szCs w:val="16"/>
                <w:b w:val="1"/>
                <w:bCs w:val="1"/>
                <w:color w:val="auto"/>
                <w:w w:val="94"/>
              </w:rPr>
              <w:t>June 4, 2026</w:t>
            </w:r>
          </w:p>
        </w:tc>
        <w:tc>
          <w:tcPr>
            <w:tcW w:w="340" w:type="dxa"/>
            <w:vAlign w:val="bottom"/>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7"/>
              </w:rPr>
              <w:t>Central time</w:t>
            </w:r>
          </w:p>
        </w:tc>
        <w:tc>
          <w:tcPr>
            <w:tcW w:w="360" w:type="dxa"/>
            <w:vAlign w:val="bottom"/>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4"/>
              </w:rPr>
              <w:t>Sugar Land, TX 77478</w:t>
            </w:r>
          </w:p>
        </w:tc>
        <w:tc>
          <w:tcPr>
            <w:tcW w:w="200" w:type="dxa"/>
            <w:vAlign w:val="bottom"/>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center"/>
              <w:ind w:right="219"/>
              <w:spacing w:after="0"/>
              <w:rPr>
                <w:sz w:val="20"/>
                <w:szCs w:val="20"/>
                <w:color w:val="auto"/>
              </w:rPr>
            </w:pPr>
            <w:r>
              <w:rPr>
                <w:rFonts w:ascii="Arial" w:cs="Arial" w:eastAsia="Arial" w:hAnsi="Arial"/>
                <w:sz w:val="16"/>
                <w:szCs w:val="16"/>
                <w:b w:val="1"/>
                <w:bCs w:val="1"/>
                <w:color w:val="auto"/>
                <w:w w:val="93"/>
              </w:rPr>
              <w:t>April 10, 2026</w:t>
            </w:r>
          </w:p>
        </w:tc>
      </w:tr>
      <w:tr>
        <w:trPr>
          <w:trHeight w:val="21"/>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FEFEF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FEFEF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FEFEF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137160</wp:posOffset>
            </wp:positionV>
            <wp:extent cx="93980" cy="3454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3980" cy="34544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57404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040" cy="48831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-839470</wp:posOffset>
            </wp:positionV>
            <wp:extent cx="44577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-839470</wp:posOffset>
            </wp:positionV>
            <wp:extent cx="419735"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9735" cy="539750"/>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-839470</wp:posOffset>
            </wp:positionV>
            <wp:extent cx="548640"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640" cy="47180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63"/>
        </w:trPr>
        <w:tc>
          <w:tcPr>
            <w:tcW w:w="1020" w:type="dxa"/>
            <w:vAlign w:val="bottom"/>
            <w:shd w:val="clear" w:color="auto" w:fill="4834BA"/>
          </w:tcPr>
          <w:p>
            <w:pPr>
              <w:ind w:left="120"/>
              <w:spacing w:after="0"/>
              <w:rPr>
                <w:sz w:val="20"/>
                <w:szCs w:val="20"/>
                <w:color w:val="auto"/>
              </w:rPr>
            </w:pPr>
            <w:r>
              <w:rPr>
                <w:rFonts w:ascii="Arial" w:cs="Arial" w:eastAsia="Arial" w:hAnsi="Arial"/>
                <w:sz w:val="16"/>
                <w:szCs w:val="16"/>
                <w:b w:val="1"/>
                <w:bCs w:val="1"/>
                <w:color w:val="FFFFFF"/>
              </w:rPr>
              <w:t>Proposals</w:t>
            </w:r>
          </w:p>
        </w:tc>
        <w:tc>
          <w:tcPr>
            <w:tcW w:w="140" w:type="dxa"/>
            <w:vAlign w:val="bottom"/>
          </w:tcPr>
          <w:p>
            <w:pPr>
              <w:spacing w:after="0"/>
              <w:rPr>
                <w:sz w:val="22"/>
                <w:szCs w:val="22"/>
                <w:color w:val="auto"/>
              </w:rPr>
            </w:pPr>
          </w:p>
        </w:tc>
        <w:tc>
          <w:tcPr>
            <w:tcW w:w="4660" w:type="dxa"/>
            <w:vAlign w:val="bottom"/>
            <w:shd w:val="clear" w:color="auto" w:fill="4834BA"/>
          </w:tcPr>
          <w:p>
            <w:pPr>
              <w:ind w:left="100"/>
              <w:spacing w:after="0"/>
              <w:rPr>
                <w:sz w:val="20"/>
                <w:szCs w:val="20"/>
                <w:color w:val="auto"/>
              </w:rPr>
            </w:pPr>
            <w:r>
              <w:rPr>
                <w:rFonts w:ascii="Arial" w:cs="Arial" w:eastAsia="Arial" w:hAnsi="Arial"/>
                <w:sz w:val="16"/>
                <w:szCs w:val="16"/>
                <w:b w:val="1"/>
                <w:bCs w:val="1"/>
                <w:color w:val="FFFFFF"/>
              </w:rPr>
              <w:t>Items of Business</w:t>
            </w:r>
          </w:p>
        </w:tc>
      </w:tr>
      <w:tr>
        <w:trPr>
          <w:trHeight w:val="35"/>
        </w:trPr>
        <w:tc>
          <w:tcPr>
            <w:tcW w:w="1020" w:type="dxa"/>
            <w:vAlign w:val="bottom"/>
            <w:shd w:val="clear" w:color="auto" w:fill="4834BA"/>
          </w:tcPr>
          <w:p>
            <w:pPr>
              <w:spacing w:after="0"/>
              <w:rPr>
                <w:sz w:val="3"/>
                <w:szCs w:val="3"/>
                <w:color w:val="auto"/>
              </w:rPr>
            </w:pPr>
          </w:p>
        </w:tc>
        <w:tc>
          <w:tcPr>
            <w:tcW w:w="140" w:type="dxa"/>
            <w:vAlign w:val="bottom"/>
          </w:tcPr>
          <w:p>
            <w:pPr>
              <w:spacing w:after="0"/>
              <w:rPr>
                <w:sz w:val="3"/>
                <w:szCs w:val="3"/>
                <w:color w:val="auto"/>
              </w:rPr>
            </w:pPr>
          </w:p>
        </w:tc>
        <w:tc>
          <w:tcPr>
            <w:tcW w:w="4660" w:type="dxa"/>
            <w:vAlign w:val="bottom"/>
            <w:shd w:val="clear" w:color="auto" w:fill="4834BA"/>
          </w:tcPr>
          <w:p>
            <w:pPr>
              <w:spacing w:after="0"/>
              <w:rPr>
                <w:sz w:val="3"/>
                <w:szCs w:val="3"/>
                <w:color w:val="auto"/>
              </w:rPr>
            </w:pPr>
          </w:p>
        </w:tc>
      </w:tr>
    </w:tbl>
    <w:p>
      <w:pPr>
        <w:spacing w:after="0" w:line="94" w:lineRule="exact"/>
        <w:rPr>
          <w:sz w:val="20"/>
          <w:szCs w:val="20"/>
          <w:color w:val="auto"/>
        </w:rPr>
      </w:pPr>
    </w:p>
    <w:p>
      <w:pPr>
        <w:ind w:left="1920" w:right="60"/>
        <w:spacing w:after="0" w:line="291" w:lineRule="auto"/>
        <w:rPr>
          <w:sz w:val="20"/>
          <w:szCs w:val="20"/>
          <w:color w:val="auto"/>
        </w:rPr>
      </w:pPr>
      <w:r>
        <w:rPr>
          <w:rFonts w:ascii="Arial" w:cs="Arial" w:eastAsia="Arial" w:hAnsi="Arial"/>
          <w:sz w:val="15"/>
          <w:szCs w:val="15"/>
          <w:color w:val="auto"/>
        </w:rPr>
        <w:t>To elect the two Class I directors named in the Proxy Statement to serve for three-year terms until the 2029 annual meeting of stockholders and hold office until their respective successors are elected and qualified, which we refer to as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-521335</wp:posOffset>
            </wp:positionV>
            <wp:extent cx="28321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210" cy="283210"/>
                    </a:xfrm>
                    <a:prstGeom prst="rect">
                      <a:avLst/>
                    </a:prstGeom>
                    <a:noFill/>
                  </pic:spPr>
                </pic:pic>
              </a:graphicData>
            </a:graphic>
          </wp:anchor>
        </w:drawing>
      </w:r>
    </w:p>
    <w:p>
      <w:pPr>
        <w:ind w:left="1920" w:right="80"/>
        <w:spacing w:after="0" w:line="271" w:lineRule="auto"/>
        <w:rPr>
          <w:sz w:val="20"/>
          <w:szCs w:val="20"/>
          <w:color w:val="auto"/>
        </w:rPr>
      </w:pPr>
      <w:r>
        <w:rPr>
          <w:rFonts w:ascii="Arial" w:cs="Arial" w:eastAsia="Arial" w:hAnsi="Arial"/>
          <w:sz w:val="16"/>
          <w:szCs w:val="16"/>
          <w:color w:val="auto"/>
        </w:rPr>
        <w:t>To ratify the appointment of Grant Thornton LLP as our independent registered public accounting firm for the fiscal year ending December 31, 2026, which we refer to as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-518160</wp:posOffset>
            </wp:positionV>
            <wp:extent cx="283210"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210" cy="282575"/>
                    </a:xfrm>
                    <a:prstGeom prst="rect">
                      <a:avLst/>
                    </a:prstGeom>
                    <a:noFill/>
                  </pic:spPr>
                </pic:pic>
              </a:graphicData>
            </a:graphic>
          </wp:anchor>
        </w:drawing>
      </w:r>
    </w:p>
    <w:p>
      <w:pPr>
        <w:ind w:left="1920" w:right="180"/>
        <w:spacing w:after="0" w:line="281" w:lineRule="auto"/>
        <w:rPr>
          <w:sz w:val="20"/>
          <w:szCs w:val="20"/>
          <w:color w:val="auto"/>
        </w:rPr>
      </w:pPr>
      <w:r>
        <w:rPr>
          <w:rFonts w:ascii="Arial" w:cs="Arial" w:eastAsia="Arial" w:hAnsi="Arial"/>
          <w:sz w:val="16"/>
          <w:szCs w:val="16"/>
          <w:color w:val="auto"/>
        </w:rPr>
        <w:t>To approve, on an advisory basis, the compensation of our named executive officers, which we refer to as Proposal No. 3 or the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-400685</wp:posOffset>
            </wp:positionV>
            <wp:extent cx="28321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210" cy="282575"/>
                    </a:xfrm>
                    <a:prstGeom prst="rect">
                      <a:avLst/>
                    </a:prstGeom>
                    <a:noFill/>
                  </pic:spPr>
                </pic:pic>
              </a:graphicData>
            </a:graphic>
          </wp:anchor>
        </w:drawing>
      </w:r>
    </w:p>
    <w:p>
      <w:pPr>
        <w:ind w:left="1920" w:right="180"/>
        <w:spacing w:after="0" w:line="267" w:lineRule="auto"/>
        <w:rPr>
          <w:sz w:val="20"/>
          <w:szCs w:val="20"/>
          <w:color w:val="auto"/>
        </w:rPr>
      </w:pPr>
      <w:r>
        <w:rPr>
          <w:rFonts w:ascii="Arial" w:cs="Arial" w:eastAsia="Arial" w:hAnsi="Arial"/>
          <w:sz w:val="16"/>
          <w:szCs w:val="16"/>
          <w:color w:val="auto"/>
        </w:rPr>
        <w:t>To approve the amendment of our Amended and Restated Certificate of Incorporation, as amended (the “Certificate of Incorporation”), to clarify the voting standard that applies to certain future amendments, which we refer to as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-640080</wp:posOffset>
            </wp:positionV>
            <wp:extent cx="283210"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3210" cy="282575"/>
                    </a:xfrm>
                    <a:prstGeom prst="rect">
                      <a:avLst/>
                    </a:prstGeom>
                    <a:noFill/>
                  </pic:spPr>
                </pic:pic>
              </a:graphicData>
            </a:graphic>
          </wp:anchor>
        </w:drawing>
      </w:r>
    </w:p>
    <w:p>
      <w:pPr>
        <w:ind w:left="1920" w:right="100"/>
        <w:spacing w:after="0" w:line="304" w:lineRule="auto"/>
        <w:rPr>
          <w:sz w:val="20"/>
          <w:szCs w:val="20"/>
          <w:color w:val="auto"/>
        </w:rPr>
      </w:pPr>
      <w:r>
        <w:rPr>
          <w:rFonts w:ascii="Arial" w:cs="Arial" w:eastAsia="Arial" w:hAnsi="Arial"/>
          <w:sz w:val="16"/>
          <w:szCs w:val="16"/>
          <w:color w:val="auto"/>
        </w:rPr>
        <w:t>To approve the 2026 equity incentive plan, which we refer to as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-286385</wp:posOffset>
            </wp:positionV>
            <wp:extent cx="28321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210" cy="282575"/>
                    </a:xfrm>
                    <a:prstGeom prst="rect">
                      <a:avLst/>
                    </a:prstGeom>
                    <a:noFill/>
                  </pic:spPr>
                </pic:pic>
              </a:graphicData>
            </a:graphic>
          </wp:anchor>
        </w:drawing>
      </w:r>
    </w:p>
    <w:p>
      <w:pPr>
        <w:spacing w:after="0" w:line="54" w:lineRule="exact"/>
        <w:rPr>
          <w:sz w:val="20"/>
          <w:szCs w:val="20"/>
          <w:color w:val="auto"/>
        </w:rPr>
      </w:pPr>
    </w:p>
    <w:p>
      <w:pPr>
        <w:ind w:left="1920" w:right="160"/>
        <w:spacing w:after="0" w:line="304" w:lineRule="auto"/>
        <w:rPr>
          <w:sz w:val="20"/>
          <w:szCs w:val="20"/>
          <w:color w:val="auto"/>
        </w:rPr>
      </w:pPr>
      <w:r>
        <w:rPr>
          <w:rFonts w:ascii="Arial" w:cs="Arial" w:eastAsia="Arial" w:hAnsi="Arial"/>
          <w:sz w:val="16"/>
          <w:szCs w:val="16"/>
          <w:color w:val="auto"/>
        </w:rPr>
        <w:t>To adjourn the Annual Meeting to a later dated, if necessary or appropriate, which we refer to as Proposal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-286385</wp:posOffset>
            </wp:positionV>
            <wp:extent cx="283210"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210" cy="282575"/>
                    </a:xfrm>
                    <a:prstGeom prst="rect">
                      <a:avLst/>
                    </a:prstGeom>
                    <a:noFill/>
                  </pic:spPr>
                </pic:pic>
              </a:graphicData>
            </a:graphic>
          </wp:anchor>
        </w:drawing>
      </w:r>
    </w:p>
    <w:p>
      <w:pPr>
        <w:spacing w:after="0" w:line="54" w:lineRule="exact"/>
        <w:rPr>
          <w:sz w:val="20"/>
          <w:szCs w:val="20"/>
          <w:color w:val="auto"/>
        </w:rPr>
      </w:pPr>
    </w:p>
    <w:p>
      <w:pPr>
        <w:ind w:left="1920" w:right="200"/>
        <w:spacing w:after="0" w:line="284" w:lineRule="auto"/>
        <w:rPr>
          <w:sz w:val="20"/>
          <w:szCs w:val="20"/>
          <w:color w:val="auto"/>
        </w:rPr>
      </w:pPr>
      <w:r>
        <w:rPr>
          <w:rFonts w:ascii="Arial" w:cs="Arial" w:eastAsia="Arial" w:hAnsi="Arial"/>
          <w:sz w:val="16"/>
          <w:szCs w:val="16"/>
          <w:color w:val="auto"/>
        </w:rPr>
        <w:t>To transact such other business as may properly come before the meeting or any adjournment or postponement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-405130</wp:posOffset>
            </wp:positionV>
            <wp:extent cx="28321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21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140" w:type="dxa"/>
            <w:vAlign w:val="bottom"/>
            <w:tcBorders>
              <w:bottom w:val="single" w:sz="8" w:color="FEFEFE"/>
            </w:tcBorders>
            <w:shd w:val="clear" w:color="auto" w:fill="FEFEFE"/>
          </w:tcPr>
          <w:p>
            <w:pPr>
              <w:spacing w:after="0"/>
              <w:rPr>
                <w:sz w:val="24"/>
                <w:szCs w:val="24"/>
                <w:color w:val="auto"/>
              </w:rPr>
            </w:pPr>
          </w:p>
        </w:tc>
        <w:tc>
          <w:tcPr>
            <w:tcW w:w="2460" w:type="dxa"/>
            <w:vAlign w:val="bottom"/>
            <w:tcBorders>
              <w:bottom w:val="single" w:sz="8" w:color="4834BA"/>
            </w:tcBorders>
            <w:shd w:val="clear" w:color="auto" w:fill="4834BA"/>
          </w:tcPr>
          <w:p>
            <w:pPr>
              <w:ind w:left="300"/>
              <w:spacing w:after="0"/>
              <w:rPr>
                <w:sz w:val="20"/>
                <w:szCs w:val="20"/>
                <w:color w:val="auto"/>
              </w:rPr>
            </w:pPr>
            <w:r>
              <w:rPr>
                <w:rFonts w:ascii="Arial" w:cs="Arial" w:eastAsia="Arial" w:hAnsi="Arial"/>
                <w:sz w:val="16"/>
                <w:szCs w:val="16"/>
                <w:b w:val="1"/>
                <w:bCs w:val="1"/>
                <w:color w:val="FFFFFF"/>
              </w:rPr>
              <w:t>Board Recommendations</w:t>
            </w:r>
          </w:p>
        </w:tc>
        <w:tc>
          <w:tcPr>
            <w:tcW w:w="160" w:type="dxa"/>
            <w:vAlign w:val="bottom"/>
            <w:tcBorders>
              <w:bottom w:val="single" w:sz="8" w:color="FEFEFE"/>
            </w:tcBorders>
            <w:shd w:val="clear" w:color="auto" w:fill="FEFEFE"/>
          </w:tcPr>
          <w:p>
            <w:pPr>
              <w:spacing w:after="0"/>
              <w:rPr>
                <w:sz w:val="24"/>
                <w:szCs w:val="24"/>
                <w:color w:val="auto"/>
              </w:rPr>
            </w:pPr>
          </w:p>
        </w:tc>
        <w:tc>
          <w:tcPr>
            <w:tcW w:w="820" w:type="dxa"/>
            <w:vAlign w:val="bottom"/>
            <w:tcBorders>
              <w:bottom w:val="single" w:sz="8" w:color="4834BA"/>
            </w:tcBorders>
            <w:gridSpan w:val="5"/>
            <w:shd w:val="clear" w:color="auto" w:fill="4834BA"/>
          </w:tcPr>
          <w:p>
            <w:pPr>
              <w:ind w:left="180"/>
              <w:spacing w:after="0"/>
              <w:rPr>
                <w:sz w:val="20"/>
                <w:szCs w:val="20"/>
                <w:color w:val="auto"/>
              </w:rPr>
            </w:pPr>
            <w:r>
              <w:rPr>
                <w:rFonts w:ascii="Arial" w:cs="Arial" w:eastAsia="Arial" w:hAnsi="Arial"/>
                <w:sz w:val="16"/>
                <w:szCs w:val="16"/>
                <w:b w:val="1"/>
                <w:bCs w:val="1"/>
                <w:color w:val="FFFFFF"/>
              </w:rPr>
              <w:t>Page #</w:t>
            </w:r>
          </w:p>
        </w:tc>
        <w:tc>
          <w:tcPr>
            <w:tcW w:w="0" w:type="dxa"/>
            <w:vAlign w:val="bottom"/>
          </w:tcPr>
          <w:p>
            <w:pPr>
              <w:spacing w:after="0"/>
              <w:rPr>
                <w:sz w:val="1"/>
                <w:szCs w:val="1"/>
                <w:color w:val="auto"/>
              </w:rPr>
            </w:pPr>
          </w:p>
        </w:tc>
      </w:tr>
      <w:tr>
        <w:trPr>
          <w:trHeight w:val="445"/>
        </w:trPr>
        <w:tc>
          <w:tcPr>
            <w:tcW w:w="140" w:type="dxa"/>
            <w:vAlign w:val="bottom"/>
            <w:shd w:val="clear" w:color="auto" w:fill="FEFEFE"/>
          </w:tcPr>
          <w:p>
            <w:pPr>
              <w:spacing w:after="0"/>
              <w:rPr>
                <w:sz w:val="24"/>
                <w:szCs w:val="24"/>
                <w:color w:val="auto"/>
              </w:rPr>
            </w:pPr>
          </w:p>
        </w:tc>
        <w:tc>
          <w:tcPr>
            <w:tcW w:w="2460" w:type="dxa"/>
            <w:vAlign w:val="bottom"/>
          </w:tcPr>
          <w:p>
            <w:pPr>
              <w:ind w:left="28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w:t>
            </w:r>
          </w:p>
        </w:tc>
        <w:tc>
          <w:tcPr>
            <w:tcW w:w="160" w:type="dxa"/>
            <w:vAlign w:val="bottom"/>
            <w:shd w:val="clear" w:color="auto" w:fill="FEFEFE"/>
          </w:tcPr>
          <w:p>
            <w:pPr>
              <w:spacing w:after="0"/>
              <w:rPr>
                <w:sz w:val="24"/>
                <w:szCs w:val="24"/>
                <w:color w:val="auto"/>
              </w:rPr>
            </w:pPr>
          </w:p>
        </w:tc>
        <w:tc>
          <w:tcPr>
            <w:tcW w:w="520" w:type="dxa"/>
            <w:vAlign w:val="bottom"/>
            <w:gridSpan w:val="4"/>
            <w:vMerge w:val="restart"/>
          </w:tcPr>
          <w:p>
            <w:pPr>
              <w:jc w:val="center"/>
              <w:ind w:left="239"/>
              <w:spacing w:after="0"/>
              <w:rPr>
                <w:sz w:val="20"/>
                <w:szCs w:val="20"/>
                <w:color w:val="auto"/>
              </w:rPr>
            </w:pPr>
            <w:r>
              <w:rPr>
                <w:rFonts w:ascii="Arial" w:cs="Arial" w:eastAsia="Arial" w:hAnsi="Arial"/>
                <w:sz w:val="16"/>
                <w:szCs w:val="16"/>
                <w:color w:val="0000EE"/>
                <w:w w:val="89"/>
              </w:rPr>
              <w:t>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40" w:type="dxa"/>
            <w:vAlign w:val="bottom"/>
            <w:shd w:val="clear" w:color="auto" w:fill="FEFEFE"/>
          </w:tcPr>
          <w:p>
            <w:pPr>
              <w:spacing w:after="0"/>
              <w:rPr>
                <w:sz w:val="5"/>
                <w:szCs w:val="5"/>
                <w:color w:val="auto"/>
              </w:rPr>
            </w:pPr>
          </w:p>
        </w:tc>
        <w:tc>
          <w:tcPr>
            <w:tcW w:w="2460" w:type="dxa"/>
            <w:vAlign w:val="bottom"/>
            <w:vMerge w:val="restart"/>
          </w:tcPr>
          <w:p>
            <w:pPr>
              <w:ind w:left="180"/>
              <w:spacing w:after="0"/>
              <w:rPr>
                <w:sz w:val="20"/>
                <w:szCs w:val="20"/>
                <w:color w:val="auto"/>
              </w:rPr>
            </w:pPr>
            <w:r>
              <w:rPr>
                <w:rFonts w:ascii="Arial" w:cs="Arial" w:eastAsia="Arial" w:hAnsi="Arial"/>
                <w:sz w:val="16"/>
                <w:szCs w:val="16"/>
                <w:color w:val="auto"/>
              </w:rPr>
              <w:t>Director nominee</w:t>
            </w:r>
          </w:p>
        </w:tc>
        <w:tc>
          <w:tcPr>
            <w:tcW w:w="160" w:type="dxa"/>
            <w:vAlign w:val="bottom"/>
            <w:shd w:val="clear" w:color="auto" w:fill="FEFEFE"/>
          </w:tcPr>
          <w:p>
            <w:pPr>
              <w:spacing w:after="0"/>
              <w:rPr>
                <w:sz w:val="5"/>
                <w:szCs w:val="5"/>
                <w:color w:val="auto"/>
              </w:rPr>
            </w:pPr>
          </w:p>
        </w:tc>
        <w:tc>
          <w:tcPr>
            <w:tcW w:w="52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40" w:type="dxa"/>
            <w:vAlign w:val="bottom"/>
            <w:tcBorders>
              <w:top w:val="single" w:sz="8" w:color="FEFEFE"/>
            </w:tcBorders>
            <w:shd w:val="clear" w:color="auto" w:fill="FEFEFE"/>
          </w:tcPr>
          <w:p>
            <w:pPr>
              <w:spacing w:after="0"/>
              <w:rPr>
                <w:sz w:val="11"/>
                <w:szCs w:val="11"/>
                <w:color w:val="auto"/>
              </w:rPr>
            </w:pPr>
          </w:p>
        </w:tc>
        <w:tc>
          <w:tcPr>
            <w:tcW w:w="2460" w:type="dxa"/>
            <w:vAlign w:val="bottom"/>
            <w:vMerge w:val="continue"/>
          </w:tcPr>
          <w:p>
            <w:pPr>
              <w:spacing w:after="0"/>
              <w:rPr>
                <w:sz w:val="11"/>
                <w:szCs w:val="11"/>
                <w:color w:val="auto"/>
              </w:rPr>
            </w:pPr>
          </w:p>
        </w:tc>
        <w:tc>
          <w:tcPr>
            <w:tcW w:w="160" w:type="dxa"/>
            <w:vAlign w:val="bottom"/>
            <w:tcBorders>
              <w:top w:val="single" w:sz="8" w:color="FEFEFE"/>
            </w:tcBorders>
            <w:shd w:val="clear" w:color="auto" w:fill="FEFEFE"/>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8"/>
        </w:trPr>
        <w:tc>
          <w:tcPr>
            <w:tcW w:w="140" w:type="dxa"/>
            <w:vAlign w:val="bottom"/>
            <w:shd w:val="clear" w:color="auto" w:fill="FEFEFE"/>
          </w:tcPr>
          <w:p>
            <w:pPr>
              <w:spacing w:after="0"/>
              <w:rPr>
                <w:sz w:val="24"/>
                <w:szCs w:val="24"/>
                <w:color w:val="auto"/>
              </w:rPr>
            </w:pPr>
          </w:p>
        </w:tc>
        <w:tc>
          <w:tcPr>
            <w:tcW w:w="2460" w:type="dxa"/>
            <w:vAlign w:val="bottom"/>
          </w:tcPr>
          <w:p>
            <w:pPr>
              <w:ind w:left="7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p>
        </w:tc>
        <w:tc>
          <w:tcPr>
            <w:tcW w:w="160" w:type="dxa"/>
            <w:vAlign w:val="bottom"/>
            <w:shd w:val="clear" w:color="auto" w:fill="FEFEFE"/>
          </w:tcPr>
          <w:p>
            <w:pPr>
              <w:spacing w:after="0"/>
              <w:rPr>
                <w:sz w:val="24"/>
                <w:szCs w:val="24"/>
                <w:color w:val="auto"/>
              </w:rPr>
            </w:pPr>
          </w:p>
        </w:tc>
        <w:tc>
          <w:tcPr>
            <w:tcW w:w="520" w:type="dxa"/>
            <w:vAlign w:val="bottom"/>
            <w:gridSpan w:val="4"/>
          </w:tcPr>
          <w:p>
            <w:pPr>
              <w:jc w:val="center"/>
              <w:ind w:left="259"/>
              <w:spacing w:after="0"/>
              <w:rPr>
                <w:sz w:val="20"/>
                <w:szCs w:val="20"/>
                <w:color w:val="auto"/>
              </w:rPr>
            </w:pPr>
            <w:r>
              <w:rPr>
                <w:rFonts w:ascii="Arial" w:cs="Arial" w:eastAsia="Arial" w:hAnsi="Arial"/>
                <w:sz w:val="16"/>
                <w:szCs w:val="16"/>
                <w:color w:val="0000EE"/>
              </w:rPr>
              <w:t>20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FEFEF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FEFEF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140" w:type="dxa"/>
            <w:vAlign w:val="bottom"/>
            <w:shd w:val="clear" w:color="auto" w:fill="FEFEFE"/>
          </w:tcPr>
          <w:p>
            <w:pPr>
              <w:spacing w:after="0"/>
              <w:rPr>
                <w:sz w:val="24"/>
                <w:szCs w:val="24"/>
                <w:color w:val="auto"/>
              </w:rPr>
            </w:pPr>
          </w:p>
        </w:tc>
        <w:tc>
          <w:tcPr>
            <w:tcW w:w="2460" w:type="dxa"/>
            <w:vAlign w:val="bottom"/>
          </w:tcPr>
          <w:p>
            <w:pPr>
              <w:ind w:left="7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p>
        </w:tc>
        <w:tc>
          <w:tcPr>
            <w:tcW w:w="160" w:type="dxa"/>
            <w:vAlign w:val="bottom"/>
            <w:shd w:val="clear" w:color="auto" w:fill="FEFEFE"/>
          </w:tcPr>
          <w:p>
            <w:pPr>
              <w:spacing w:after="0"/>
              <w:rPr>
                <w:sz w:val="24"/>
                <w:szCs w:val="24"/>
                <w:color w:val="auto"/>
              </w:rPr>
            </w:pPr>
          </w:p>
        </w:tc>
        <w:tc>
          <w:tcPr>
            <w:tcW w:w="520" w:type="dxa"/>
            <w:vAlign w:val="bottom"/>
            <w:gridSpan w:val="4"/>
          </w:tcPr>
          <w:p>
            <w:pPr>
              <w:jc w:val="center"/>
              <w:ind w:left="259"/>
              <w:spacing w:after="0"/>
              <w:rPr>
                <w:sz w:val="20"/>
                <w:szCs w:val="20"/>
                <w:color w:val="auto"/>
              </w:rPr>
            </w:pPr>
            <w:r>
              <w:rPr>
                <w:rFonts w:ascii="Arial" w:cs="Arial" w:eastAsia="Arial" w:hAnsi="Arial"/>
                <w:sz w:val="16"/>
                <w:szCs w:val="16"/>
                <w:color w:val="0000EE"/>
              </w:rPr>
              <w:t>23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FEFEF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FEFEF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40" w:type="dxa"/>
            <w:vAlign w:val="bottom"/>
            <w:shd w:val="clear" w:color="auto" w:fill="FEFEFE"/>
          </w:tcPr>
          <w:p>
            <w:pPr>
              <w:spacing w:after="0"/>
              <w:rPr>
                <w:sz w:val="24"/>
                <w:szCs w:val="24"/>
                <w:color w:val="auto"/>
              </w:rPr>
            </w:pPr>
          </w:p>
        </w:tc>
        <w:tc>
          <w:tcPr>
            <w:tcW w:w="2460" w:type="dxa"/>
            <w:vAlign w:val="bottom"/>
          </w:tcPr>
          <w:p>
            <w:pPr>
              <w:ind w:left="7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p>
        </w:tc>
        <w:tc>
          <w:tcPr>
            <w:tcW w:w="160" w:type="dxa"/>
            <w:vAlign w:val="bottom"/>
            <w:shd w:val="clear" w:color="auto" w:fill="FEFEFE"/>
          </w:tcPr>
          <w:p>
            <w:pPr>
              <w:spacing w:after="0"/>
              <w:rPr>
                <w:sz w:val="24"/>
                <w:szCs w:val="24"/>
                <w:color w:val="auto"/>
              </w:rPr>
            </w:pPr>
          </w:p>
        </w:tc>
        <w:tc>
          <w:tcPr>
            <w:tcW w:w="520" w:type="dxa"/>
            <w:vAlign w:val="bottom"/>
            <w:gridSpan w:val="4"/>
          </w:tcPr>
          <w:p>
            <w:pPr>
              <w:jc w:val="center"/>
              <w:ind w:left="259"/>
              <w:spacing w:after="0"/>
              <w:rPr>
                <w:sz w:val="20"/>
                <w:szCs w:val="20"/>
                <w:color w:val="auto"/>
              </w:rPr>
            </w:pPr>
            <w:r>
              <w:rPr>
                <w:rFonts w:ascii="Arial" w:cs="Arial" w:eastAsia="Arial" w:hAnsi="Arial"/>
                <w:sz w:val="16"/>
                <w:szCs w:val="16"/>
                <w:color w:val="0000EE"/>
              </w:rPr>
              <w:t>51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FEFEF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FEFEF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40" w:type="dxa"/>
            <w:vAlign w:val="bottom"/>
            <w:shd w:val="clear" w:color="auto" w:fill="FEFEFE"/>
          </w:tcPr>
          <w:p>
            <w:pPr>
              <w:spacing w:after="0"/>
              <w:rPr>
                <w:sz w:val="24"/>
                <w:szCs w:val="24"/>
                <w:color w:val="auto"/>
              </w:rPr>
            </w:pPr>
          </w:p>
        </w:tc>
        <w:tc>
          <w:tcPr>
            <w:tcW w:w="2460" w:type="dxa"/>
            <w:vAlign w:val="bottom"/>
          </w:tcPr>
          <w:p>
            <w:pPr>
              <w:ind w:left="7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p>
        </w:tc>
        <w:tc>
          <w:tcPr>
            <w:tcW w:w="160" w:type="dxa"/>
            <w:vAlign w:val="bottom"/>
            <w:shd w:val="clear" w:color="auto" w:fill="FEFEFE"/>
          </w:tcPr>
          <w:p>
            <w:pPr>
              <w:spacing w:after="0"/>
              <w:rPr>
                <w:sz w:val="24"/>
                <w:szCs w:val="24"/>
                <w:color w:val="auto"/>
              </w:rPr>
            </w:pPr>
          </w:p>
        </w:tc>
        <w:tc>
          <w:tcPr>
            <w:tcW w:w="520" w:type="dxa"/>
            <w:vAlign w:val="bottom"/>
            <w:gridSpan w:val="4"/>
          </w:tcPr>
          <w:p>
            <w:pPr>
              <w:jc w:val="center"/>
              <w:ind w:left="259"/>
              <w:spacing w:after="0"/>
              <w:rPr>
                <w:sz w:val="20"/>
                <w:szCs w:val="20"/>
                <w:color w:val="auto"/>
              </w:rPr>
            </w:pPr>
            <w:r>
              <w:rPr>
                <w:rFonts w:ascii="Arial" w:cs="Arial" w:eastAsia="Arial" w:hAnsi="Arial"/>
                <w:sz w:val="16"/>
                <w:szCs w:val="16"/>
                <w:color w:val="0000EE"/>
              </w:rPr>
              <w:t>53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FEFEF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FEFEF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40" w:type="dxa"/>
            <w:vAlign w:val="bottom"/>
            <w:shd w:val="clear" w:color="auto" w:fill="FEFEFE"/>
          </w:tcPr>
          <w:p>
            <w:pPr>
              <w:spacing w:after="0"/>
              <w:rPr>
                <w:sz w:val="24"/>
                <w:szCs w:val="24"/>
                <w:color w:val="auto"/>
              </w:rPr>
            </w:pPr>
          </w:p>
        </w:tc>
        <w:tc>
          <w:tcPr>
            <w:tcW w:w="2460" w:type="dxa"/>
            <w:vAlign w:val="bottom"/>
          </w:tcPr>
          <w:p>
            <w:pPr>
              <w:ind w:left="7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p>
        </w:tc>
        <w:tc>
          <w:tcPr>
            <w:tcW w:w="160" w:type="dxa"/>
            <w:vAlign w:val="bottom"/>
            <w:shd w:val="clear" w:color="auto" w:fill="FEFEFE"/>
          </w:tcPr>
          <w:p>
            <w:pPr>
              <w:spacing w:after="0"/>
              <w:rPr>
                <w:sz w:val="24"/>
                <w:szCs w:val="24"/>
                <w:color w:val="auto"/>
              </w:rPr>
            </w:pPr>
          </w:p>
        </w:tc>
        <w:tc>
          <w:tcPr>
            <w:tcW w:w="520" w:type="dxa"/>
            <w:vAlign w:val="bottom"/>
            <w:gridSpan w:val="4"/>
          </w:tcPr>
          <w:p>
            <w:pPr>
              <w:jc w:val="center"/>
              <w:ind w:left="259"/>
              <w:spacing w:after="0"/>
              <w:rPr>
                <w:sz w:val="20"/>
                <w:szCs w:val="20"/>
                <w:color w:val="auto"/>
              </w:rPr>
            </w:pPr>
            <w:r>
              <w:rPr>
                <w:rFonts w:ascii="Arial" w:cs="Arial" w:eastAsia="Arial" w:hAnsi="Arial"/>
                <w:sz w:val="16"/>
                <w:szCs w:val="16"/>
                <w:color w:val="0000EE"/>
              </w:rPr>
              <w:t>63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140" w:type="dxa"/>
            <w:vAlign w:val="bottom"/>
            <w:tcBorders>
              <w:top w:val="single" w:sz="8" w:color="FEFEFE"/>
            </w:tcBorders>
            <w:shd w:val="clear" w:color="auto" w:fill="FEFEFE"/>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Borders>
              <w:top w:val="single" w:sz="8" w:color="FEFEFE"/>
            </w:tcBorders>
            <w:shd w:val="clear" w:color="auto" w:fill="FEFEFE"/>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-3102610</wp:posOffset>
            </wp:positionV>
            <wp:extent cx="24003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-2545715</wp:posOffset>
            </wp:positionV>
            <wp:extent cx="24003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-2073910</wp:posOffset>
            </wp:positionV>
            <wp:extent cx="24003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-1542415</wp:posOffset>
            </wp:positionV>
            <wp:extent cx="24003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-1045210</wp:posOffset>
            </wp:positionV>
            <wp:extent cx="24003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-702310</wp:posOffset>
            </wp:positionV>
            <wp:extent cx="24003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6480" w:space="0"/>
            <w:col w:w="3580"/>
          </w:cols>
          <w:pgMar w:left="580" w:top="97" w:right="1259" w:bottom="1440" w:gutter="0" w:footer="0" w:header="0"/>
          <w:type w:val="continuous"/>
        </w:sectPr>
      </w:pPr>
    </w:p>
    <w:p>
      <w:pPr>
        <w:spacing w:after="0" w:line="92"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Our Board of Directors recommends a vote FOR Proposals No. 1, 2, 3, 4, 5 and 6. Stockholders of record at the close of business on April 10, 2026 are entitled to notice of, and to vote at, the Annual Meeting and any adjournment or postponement thereof.</w:t>
      </w:r>
    </w:p>
    <w:p>
      <w:pPr>
        <w:spacing w:after="0" w:line="34" w:lineRule="exact"/>
        <w:rPr>
          <w:sz w:val="20"/>
          <w:szCs w:val="20"/>
          <w:color w:val="auto"/>
        </w:rPr>
      </w:pPr>
    </w:p>
    <w:p>
      <w:pPr>
        <w:ind w:left="660" w:right="40"/>
        <w:spacing w:after="0" w:line="254" w:lineRule="auto"/>
        <w:rPr>
          <w:sz w:val="20"/>
          <w:szCs w:val="20"/>
          <w:color w:val="auto"/>
        </w:rPr>
      </w:pPr>
      <w:r>
        <w:rPr>
          <w:rFonts w:ascii="Arial" w:cs="Arial" w:eastAsia="Arial" w:hAnsi="Arial"/>
          <w:sz w:val="16"/>
          <w:szCs w:val="16"/>
          <w:color w:val="auto"/>
        </w:rPr>
        <w:t>U.S. Securities and Exchange Commission (“SEC”) rules permit us to furnish proxy materials to stockholders over the Internet. We will be mailing to our stockholders a Notice of Internet Availability of Proxy Materials, which indicates how to access our proxy materials on the Internet. We are constantly focused on improving the ways people connect with information, and believe that providing our proxy materials over the Internet increases the ease and ability of our stockholders to connect with the information they need while reducing the environmental impact of our Annual Meeting. If you would prefer to receive a paper copy of the proxy materials, you may request them by following the procedures set forth in the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64135</wp:posOffset>
            </wp:positionV>
            <wp:extent cx="5966460" cy="676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6460" cy="676910"/>
                    </a:xfrm>
                    <a:prstGeom prst="rect">
                      <a:avLst/>
                    </a:prstGeom>
                    <a:noFill/>
                  </pic:spPr>
                </pic:pic>
              </a:graphicData>
            </a:graphic>
          </wp:anchor>
        </w:drawing>
      </w:r>
    </w:p>
    <w:p>
      <w:pPr>
        <w:spacing w:after="0" w:line="189" w:lineRule="exact"/>
        <w:rPr>
          <w:sz w:val="20"/>
          <w:szCs w:val="20"/>
          <w:color w:val="auto"/>
        </w:rPr>
      </w:pPr>
    </w:p>
    <w:p>
      <w:pPr>
        <w:ind w:left="780" w:right="160"/>
        <w:spacing w:after="0" w:line="275" w:lineRule="auto"/>
        <w:rPr>
          <w:sz w:val="20"/>
          <w:szCs w:val="20"/>
          <w:color w:val="auto"/>
        </w:rPr>
      </w:pPr>
      <w:r>
        <w:rPr>
          <w:rFonts w:ascii="Arial" w:cs="Arial" w:eastAsia="Arial" w:hAnsi="Arial"/>
          <w:sz w:val="16"/>
          <w:szCs w:val="16"/>
          <w:b w:val="1"/>
          <w:bCs w:val="1"/>
          <w:color w:val="FFFFFF"/>
        </w:rPr>
        <w:t>IMPORTANT NOTICE REGARDING THE AVAILABILITY OF PROXY MATERIALS FOR THE ANNUAL MEETING OF STOCKHOLDERS TO BE HELD ON JUNE 4, 2026: The Notice of 2026 Annual Meeting of Stockholders, Proxy Statement and the 2025 Annual Report on Form 10-K are available at www.proxyvote.com and free of charge at the “Investor Relations” section of our website at https://investors.ao-inc.com/.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377825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9" w:lineRule="exact"/>
        <w:rPr>
          <w:sz w:val="20"/>
          <w:szCs w:val="20"/>
          <w:color w:val="auto"/>
        </w:rPr>
      </w:pPr>
    </w:p>
    <w:p>
      <w:pPr>
        <w:ind w:left="2400" w:hanging="154"/>
        <w:spacing w:after="0" w:line="188" w:lineRule="auto"/>
        <w:rPr>
          <w:sz w:val="20"/>
          <w:szCs w:val="20"/>
          <w:color w:val="auto"/>
        </w:rPr>
      </w:pPr>
      <w:r>
        <w:rPr>
          <w:rFonts w:ascii="Arial" w:cs="Arial" w:eastAsia="Arial" w:hAnsi="Arial"/>
          <w:sz w:val="32"/>
          <w:szCs w:val="32"/>
          <w:b w:val="1"/>
          <w:bCs w:val="1"/>
          <w:color w:val="FFFFFF"/>
          <w:vertAlign w:val="superscript"/>
        </w:rPr>
        <w:t>​ ​</w:t>
      </w:r>
      <w:r>
        <w:rPr>
          <w:rFonts w:ascii="Arial" w:cs="Arial" w:eastAsia="Arial" w:hAnsi="Arial"/>
          <w:sz w:val="16"/>
          <w:szCs w:val="16"/>
          <w:b w:val="1"/>
          <w:bCs w:val="1"/>
          <w:color w:val="FFFFFF"/>
        </w:rPr>
        <w:t xml:space="preserve">Your vote is very important. Whether or not you plan to attend the Annual Meeting, we encourage you to </w:t>
      </w:r>
      <w:r>
        <w:rPr>
          <w:rFonts w:ascii="Arial" w:cs="Arial" w:eastAsia="Arial" w:hAnsi="Arial"/>
          <w:sz w:val="32"/>
          <w:szCs w:val="32"/>
          <w:b w:val="1"/>
          <w:bCs w:val="1"/>
          <w:color w:val="FFFFFF"/>
          <w:vertAlign w:val="superscript"/>
        </w:rPr>
        <w:t>​</w:t>
      </w:r>
      <w:r>
        <w:rPr>
          <w:rFonts w:ascii="Arial" w:cs="Arial" w:eastAsia="Arial" w:hAnsi="Arial"/>
          <w:sz w:val="16"/>
          <w:szCs w:val="16"/>
          <w:b w:val="1"/>
          <w:bCs w:val="1"/>
          <w:color w:val="FFFFFF"/>
        </w:rPr>
        <w:t xml:space="preserve"> read the accompanying Proxy Statement and submit your proxy or voting instructions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-447675</wp:posOffset>
            </wp:positionV>
            <wp:extent cx="5966460" cy="540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540385"/>
                    </a:xfrm>
                    <a:prstGeom prst="rect">
                      <a:avLst/>
                    </a:prstGeom>
                    <a:noFill/>
                  </pic:spPr>
                </pic:pic>
              </a:graphicData>
            </a:graphic>
          </wp:anchor>
        </w:drawing>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How to vote:</w:t>
      </w:r>
    </w:p>
    <w:p>
      <w:pPr>
        <w:spacing w:after="0" w:line="315" w:lineRule="exact"/>
        <w:rPr>
          <w:sz w:val="20"/>
          <w:szCs w:val="20"/>
          <w:color w:val="auto"/>
        </w:rPr>
      </w:pPr>
    </w:p>
    <w:p>
      <w:pPr>
        <w:ind w:left="1500" w:right="380" w:hanging="800"/>
        <w:spacing w:after="0" w:line="181" w:lineRule="auto"/>
        <w:tabs>
          <w:tab w:leader="none" w:pos="1500" w:val="left"/>
        </w:tabs>
        <w:numPr>
          <w:ilvl w:val="0"/>
          <w:numId w:val="6"/>
        </w:numPr>
        <w:rPr>
          <w:rFonts w:ascii="Arial" w:cs="Arial" w:eastAsia="Arial" w:hAnsi="Arial"/>
          <w:sz w:val="32"/>
          <w:szCs w:val="32"/>
          <w:color w:val="auto"/>
          <w:vertAlign w:val="subscript"/>
        </w:rPr>
      </w:pPr>
      <w:r>
        <w:rPr>
          <w:rFonts w:ascii="Arial" w:cs="Arial" w:eastAsia="Arial" w:hAnsi="Arial"/>
          <w:sz w:val="16"/>
          <w:szCs w:val="16"/>
          <w:b w:val="1"/>
          <w:bCs w:val="1"/>
          <w:color w:val="4834BA"/>
        </w:rPr>
        <w:t xml:space="preserve">By Internet. </w:t>
      </w:r>
      <w:r>
        <w:rPr>
          <w:rFonts w:ascii="Arial" w:cs="Arial" w:eastAsia="Arial" w:hAnsi="Arial"/>
          <w:sz w:val="16"/>
          <w:szCs w:val="16"/>
          <w:color w:val="000000"/>
        </w:rPr>
        <w:t>Go to the website at www.proxyvote.com, 24 hours a day, seven days a week. You will need the control</w:t>
      </w:r>
      <w:r>
        <w:rPr>
          <w:rFonts w:ascii="Arial" w:cs="Arial" w:eastAsia="Arial" w:hAnsi="Arial"/>
          <w:sz w:val="16"/>
          <w:szCs w:val="16"/>
          <w:b w:val="1"/>
          <w:bCs w:val="1"/>
          <w:color w:val="4834BA"/>
        </w:rPr>
        <w:t xml:space="preserve"> </w:t>
      </w:r>
      <w:r>
        <w:rPr>
          <w:rFonts w:ascii="Arial" w:cs="Arial" w:eastAsia="Arial" w:hAnsi="Arial"/>
          <w:sz w:val="16"/>
          <w:szCs w:val="16"/>
          <w:color w:val="000000"/>
        </w:rPr>
        <w:t>number that appears on your proxy card or on your Notice of Internet Availability of Proxy Materials.</w:t>
      </w:r>
    </w:p>
    <w:p>
      <w:pPr>
        <w:spacing w:after="0" w:line="312" w:lineRule="exact"/>
        <w:rPr>
          <w:rFonts w:ascii="Arial" w:cs="Arial" w:eastAsia="Arial" w:hAnsi="Arial"/>
          <w:sz w:val="32"/>
          <w:szCs w:val="32"/>
          <w:color w:val="auto"/>
          <w:vertAlign w:val="subscript"/>
        </w:rPr>
      </w:pPr>
    </w:p>
    <w:p>
      <w:pPr>
        <w:ind w:left="1500"/>
        <w:spacing w:after="0"/>
        <w:rPr>
          <w:rFonts w:ascii="Arial" w:cs="Arial" w:eastAsia="Arial" w:hAnsi="Arial"/>
          <w:sz w:val="32"/>
          <w:szCs w:val="32"/>
          <w:color w:val="auto"/>
          <w:vertAlign w:val="subscript"/>
        </w:rPr>
      </w:pPr>
      <w:r>
        <w:rPr>
          <w:rFonts w:ascii="Arial" w:cs="Arial" w:eastAsia="Arial" w:hAnsi="Arial"/>
          <w:sz w:val="15"/>
          <w:szCs w:val="15"/>
          <w:b w:val="1"/>
          <w:bCs w:val="1"/>
          <w:color w:val="4834BA"/>
        </w:rPr>
        <w:t xml:space="preserve">By Telephone. </w:t>
      </w:r>
      <w:r>
        <w:rPr>
          <w:rFonts w:ascii="Arial" w:cs="Arial" w:eastAsia="Arial" w:hAnsi="Arial"/>
          <w:sz w:val="15"/>
          <w:szCs w:val="15"/>
          <w:color w:val="000000"/>
        </w:rPr>
        <w:t>Call 1-800-690-6903, 24 hours a day, seven days a week. You will need the control number that appears</w:t>
      </w:r>
    </w:p>
    <w:p>
      <w:pPr>
        <w:spacing w:after="0" w:line="46" w:lineRule="exact"/>
        <w:rPr>
          <w:rFonts w:ascii="Arial" w:cs="Arial" w:eastAsia="Arial" w:hAnsi="Arial"/>
          <w:sz w:val="32"/>
          <w:szCs w:val="32"/>
          <w:color w:val="auto"/>
          <w:vertAlign w:val="subscript"/>
        </w:rPr>
      </w:pPr>
    </w:p>
    <w:p>
      <w:pPr>
        <w:ind w:left="1500" w:hanging="800"/>
        <w:spacing w:after="0" w:line="180" w:lineRule="auto"/>
        <w:tabs>
          <w:tab w:leader="none" w:pos="1500"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on your proxy card.</w:t>
      </w:r>
    </w:p>
    <w:p>
      <w:pPr>
        <w:spacing w:after="0" w:line="271" w:lineRule="exact"/>
        <w:rPr>
          <w:rFonts w:ascii="Arial" w:cs="Arial" w:eastAsia="Arial" w:hAnsi="Arial"/>
          <w:sz w:val="23"/>
          <w:szCs w:val="23"/>
          <w:color w:val="auto"/>
          <w:vertAlign w:val="superscript"/>
        </w:rPr>
      </w:pPr>
    </w:p>
    <w:p>
      <w:pPr>
        <w:ind w:left="1500" w:right="200" w:hanging="800"/>
        <w:spacing w:after="0" w:line="210" w:lineRule="auto"/>
        <w:tabs>
          <w:tab w:leader="none" w:pos="1500" w:val="left"/>
        </w:tabs>
        <w:numPr>
          <w:ilvl w:val="0"/>
          <w:numId w:val="6"/>
        </w:numPr>
        <w:rPr>
          <w:rFonts w:ascii="Arial" w:cs="Arial" w:eastAsia="Arial" w:hAnsi="Arial"/>
          <w:sz w:val="32"/>
          <w:szCs w:val="32"/>
          <w:color w:val="auto"/>
          <w:vertAlign w:val="superscript"/>
        </w:rPr>
      </w:pPr>
      <w:r>
        <w:rPr>
          <w:rFonts w:ascii="Arial" w:cs="Arial" w:eastAsia="Arial" w:hAnsi="Arial"/>
          <w:sz w:val="16"/>
          <w:szCs w:val="16"/>
          <w:b w:val="1"/>
          <w:bCs w:val="1"/>
          <w:color w:val="4834BA"/>
        </w:rPr>
        <w:t xml:space="preserve">By Mail. </w:t>
      </w:r>
      <w:r>
        <w:rPr>
          <w:rFonts w:ascii="Arial" w:cs="Arial" w:eastAsia="Arial" w:hAnsi="Arial"/>
          <w:sz w:val="16"/>
          <w:szCs w:val="16"/>
          <w:color w:val="000000"/>
        </w:rPr>
        <w:t>If you received a full paper set of materials, date and sign your proxy card exactly as your name appears on</w:t>
      </w:r>
      <w:r>
        <w:rPr>
          <w:rFonts w:ascii="Arial" w:cs="Arial" w:eastAsia="Arial" w:hAnsi="Arial"/>
          <w:sz w:val="16"/>
          <w:szCs w:val="16"/>
          <w:b w:val="1"/>
          <w:bCs w:val="1"/>
          <w:color w:val="4834BA"/>
        </w:rPr>
        <w:t xml:space="preserve"> </w:t>
      </w:r>
      <w:r>
        <w:rPr>
          <w:rFonts w:ascii="Arial" w:cs="Arial" w:eastAsia="Arial" w:hAnsi="Arial"/>
          <w:sz w:val="16"/>
          <w:szCs w:val="16"/>
          <w:color w:val="000000"/>
        </w:rPr>
        <w:t>your proxy card and mail it in the postage-paid envelope provided. If you received a Notice of Internet Availability of Proxy Materials, you may request a proxy card by following the instructions in your Notice. You do not need to mail the proxy card if you are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-1435735</wp:posOffset>
            </wp:positionV>
            <wp:extent cx="351155"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31750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-981710</wp:posOffset>
            </wp:positionV>
            <wp:extent cx="30861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8610" cy="34290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-501650</wp:posOffset>
            </wp:positionV>
            <wp:extent cx="334010" cy="231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4010" cy="231140"/>
                    </a:xfrm>
                    <a:prstGeom prst="rect">
                      <a:avLst/>
                    </a:prstGeom>
                    <a:noFill/>
                  </pic:spPr>
                </pic:pic>
              </a:graphicData>
            </a:graphic>
          </wp:anchor>
        </w:drawing>
      </w:r>
    </w:p>
    <w:p>
      <w:pPr>
        <w:spacing w:after="0" w:line="296" w:lineRule="exact"/>
        <w:rPr>
          <w:sz w:val="20"/>
          <w:szCs w:val="20"/>
          <w:color w:val="auto"/>
        </w:rPr>
      </w:pPr>
    </w:p>
    <w:p>
      <w:pPr>
        <w:jc w:val="both"/>
        <w:ind w:left="660" w:right="60"/>
        <w:spacing w:after="0" w:line="284" w:lineRule="auto"/>
        <w:rPr>
          <w:sz w:val="20"/>
          <w:szCs w:val="20"/>
          <w:color w:val="auto"/>
        </w:rPr>
      </w:pPr>
      <w:r>
        <w:rPr>
          <w:rFonts w:ascii="Arial" w:cs="Arial" w:eastAsia="Arial" w:hAnsi="Arial"/>
          <w:sz w:val="16"/>
          <w:szCs w:val="16"/>
          <w:color w:val="auto"/>
        </w:rPr>
        <w:t>If the shares you own are held in “street name” by a bank, broker, or other nominee, your bank, broker, or other nominee will provide a voting instruction form, or, if requested, a printed set of proxy materials together with a voting instruction form, which you may use to direct how your shares will be voted.</w:t>
      </w:r>
    </w:p>
    <w:p>
      <w:pPr>
        <w:spacing w:after="0" w:line="49" w:lineRule="exact"/>
        <w:rPr>
          <w:sz w:val="20"/>
          <w:szCs w:val="20"/>
          <w:color w:val="auto"/>
        </w:rPr>
      </w:pPr>
    </w:p>
    <w:p>
      <w:pPr>
        <w:jc w:val="both"/>
        <w:ind w:left="660" w:right="180"/>
        <w:spacing w:after="0" w:line="271" w:lineRule="auto"/>
        <w:rPr>
          <w:sz w:val="20"/>
          <w:szCs w:val="20"/>
          <w:color w:val="auto"/>
        </w:rPr>
      </w:pPr>
      <w:r>
        <w:rPr>
          <w:rFonts w:ascii="Arial" w:cs="Arial" w:eastAsia="Arial" w:hAnsi="Arial"/>
          <w:sz w:val="16"/>
          <w:szCs w:val="16"/>
          <w:color w:val="auto"/>
        </w:rPr>
        <w:t>You are cordially invited to join us at the Annual Meeting. However, to ensure your representation, we request that you submit your proxy and vote at your earliest convenience, whether or not you plan to attend the Annual Meeting. You may revoke your proxy at any time prior to the Annual Meeting by following the instructions in the accompanying Proxy Statement or by attending the Annual Meeting and voting in person. We look forward to seeing you at the Annual Meeting.</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106680</wp:posOffset>
            </wp:positionV>
            <wp:extent cx="90043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043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David C. Kuo</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Senior Vice President,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Chief Legal Officer, Chief Compliance Officer and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3343910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167640</wp:posOffset>
            </wp:positionV>
            <wp:extent cx="5966460" cy="2871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2871470"/>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32170" cy="57404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660" w:type="dxa"/>
        <w:tblCellMar>
          <w:top w:w="0" w:type="dxa"/>
          <w:left w:w="0" w:type="dxa"/>
          <w:bottom w:w="0" w:type="dxa"/>
          <w:right w:w="0" w:type="dxa"/>
        </w:tblCellMar>
      </w:tblPr>
      <w:tr>
        <w:trPr>
          <w:trHeight w:val="204"/>
        </w:trPr>
        <w:tc>
          <w:tcPr>
            <w:tcW w:w="2100" w:type="dxa"/>
            <w:vAlign w:val="bottom"/>
            <w:tcBorders>
              <w:bottom w:val="single" w:sz="8" w:color="4834BA"/>
            </w:tcBorders>
            <w:gridSpan w:val="18"/>
            <w:shd w:val="clear" w:color="auto" w:fill="CCEEFF"/>
          </w:tcPr>
          <w:p>
            <w:pPr>
              <w:spacing w:after="0"/>
              <w:rPr>
                <w:sz w:val="20"/>
                <w:szCs w:val="20"/>
                <w:color w:val="auto"/>
              </w:rPr>
            </w:pPr>
            <w:r>
              <w:rPr>
                <w:rFonts w:ascii="Arial" w:cs="Arial" w:eastAsia="Arial" w:hAnsi="Arial"/>
                <w:sz w:val="16"/>
                <w:szCs w:val="16"/>
                <w:b w:val="1"/>
                <w:bCs w:val="1"/>
                <w:color w:val="4834BA"/>
                <w:w w:val="91"/>
              </w:rPr>
              <w:t>LETTER TO STOCKHOLDERS</w:t>
            </w: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80" w:type="dxa"/>
            <w:vAlign w:val="bottom"/>
            <w:tcBorders>
              <w:bottom w:val="single" w:sz="8" w:color="CCEEFF"/>
            </w:tcBorders>
            <w:vMerge w:val="restart"/>
            <w:shd w:val="clear" w:color="auto" w:fill="CCEEFF"/>
          </w:tcPr>
          <w:p>
            <w:pPr>
              <w:spacing w:after="0"/>
              <w:rPr>
                <w:sz w:val="17"/>
                <w:szCs w:val="17"/>
                <w:color w:val="auto"/>
              </w:rPr>
            </w:pPr>
          </w:p>
        </w:tc>
        <w:tc>
          <w:tcPr>
            <w:tcW w:w="300" w:type="dxa"/>
            <w:vAlign w:val="bottom"/>
            <w:tcBorders>
              <w:bottom w:val="single" w:sz="8" w:color="CCEEFF"/>
            </w:tcBorders>
            <w:vMerge w:val="restart"/>
            <w:shd w:val="clear" w:color="auto" w:fill="CCEEFF"/>
          </w:tcPr>
          <w:p>
            <w:pPr>
              <w:spacing w:after="0"/>
              <w:rPr>
                <w:sz w:val="17"/>
                <w:szCs w:val="17"/>
                <w:color w:val="auto"/>
              </w:rPr>
            </w:pP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120" w:type="dxa"/>
            <w:vAlign w:val="bottom"/>
            <w:tcBorders>
              <w:bottom w:val="single" w:sz="8" w:color="CCEEFF"/>
            </w:tcBorders>
            <w:vMerge w:val="restart"/>
            <w:shd w:val="clear" w:color="auto" w:fill="CCEEFF"/>
          </w:tcPr>
          <w:p>
            <w:pPr>
              <w:spacing w:after="0"/>
              <w:rPr>
                <w:sz w:val="17"/>
                <w:szCs w:val="17"/>
                <w:color w:val="auto"/>
              </w:rPr>
            </w:pPr>
          </w:p>
        </w:tc>
        <w:tc>
          <w:tcPr>
            <w:tcW w:w="60" w:type="dxa"/>
            <w:vAlign w:val="bottom"/>
            <w:tcBorders>
              <w:bottom w:val="single" w:sz="8" w:color="CCEEFF"/>
            </w:tcBorders>
            <w:vMerge w:val="restart"/>
            <w:shd w:val="clear" w:color="auto" w:fill="CCEEFF"/>
          </w:tcPr>
          <w:p>
            <w:pPr>
              <w:spacing w:after="0"/>
              <w:rPr>
                <w:sz w:val="17"/>
                <w:szCs w:val="17"/>
                <w:color w:val="auto"/>
              </w:rPr>
            </w:pPr>
          </w:p>
        </w:tc>
        <w:tc>
          <w:tcPr>
            <w:tcW w:w="160" w:type="dxa"/>
            <w:vAlign w:val="bottom"/>
            <w:tcBorders>
              <w:bottom w:val="single" w:sz="8" w:color="CCEEFF"/>
            </w:tcBorders>
            <w:vMerge w:val="restart"/>
            <w:shd w:val="clear" w:color="auto" w:fill="CCEEFF"/>
          </w:tcPr>
          <w:p>
            <w:pPr>
              <w:spacing w:after="0"/>
              <w:rPr>
                <w:sz w:val="17"/>
                <w:szCs w:val="17"/>
                <w:color w:val="auto"/>
              </w:rPr>
            </w:pPr>
          </w:p>
        </w:tc>
        <w:tc>
          <w:tcPr>
            <w:tcW w:w="140" w:type="dxa"/>
            <w:vAlign w:val="bottom"/>
            <w:tcBorders>
              <w:bottom w:val="single" w:sz="8" w:color="CCEEFF"/>
              <w:right w:val="single" w:sz="8" w:color="CCEEFF"/>
            </w:tcBorders>
            <w:vMerge w:val="restart"/>
            <w:shd w:val="clear" w:color="auto" w:fill="CCEEFF"/>
          </w:tcPr>
          <w:p>
            <w:pPr>
              <w:spacing w:after="0"/>
              <w:rPr>
                <w:sz w:val="17"/>
                <w:szCs w:val="17"/>
                <w:color w:val="auto"/>
              </w:rPr>
            </w:pPr>
          </w:p>
        </w:tc>
        <w:tc>
          <w:tcPr>
            <w:tcW w:w="80" w:type="dxa"/>
            <w:vAlign w:val="bottom"/>
            <w:tcBorders>
              <w:bottom w:val="single" w:sz="8" w:color="CCEEFF"/>
            </w:tcBorders>
            <w:vMerge w:val="restart"/>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340" w:type="dxa"/>
            <w:vAlign w:val="bottom"/>
            <w:tcBorders>
              <w:bottom w:val="single" w:sz="8" w:color="CCEEFF"/>
            </w:tcBorders>
            <w:vMerge w:val="restart"/>
            <w:shd w:val="clear" w:color="auto" w:fill="CCEEFF"/>
          </w:tcPr>
          <w:p>
            <w:pPr>
              <w:spacing w:after="0"/>
              <w:rPr>
                <w:sz w:val="17"/>
                <w:szCs w:val="17"/>
                <w:color w:val="auto"/>
              </w:rPr>
            </w:pPr>
          </w:p>
        </w:tc>
        <w:tc>
          <w:tcPr>
            <w:tcW w:w="140" w:type="dxa"/>
            <w:vAlign w:val="bottom"/>
            <w:tcBorders>
              <w:bottom w:val="single" w:sz="8" w:color="CCEEFF"/>
            </w:tcBorders>
            <w:vMerge w:val="restart"/>
            <w:shd w:val="clear" w:color="auto" w:fill="CCEEFF"/>
          </w:tcPr>
          <w:p>
            <w:pPr>
              <w:spacing w:after="0"/>
              <w:rPr>
                <w:sz w:val="17"/>
                <w:szCs w:val="17"/>
                <w:color w:val="auto"/>
              </w:rPr>
            </w:pPr>
          </w:p>
        </w:tc>
        <w:tc>
          <w:tcPr>
            <w:tcW w:w="160" w:type="dxa"/>
            <w:vAlign w:val="bottom"/>
            <w:tcBorders>
              <w:bottom w:val="single" w:sz="8" w:color="CCEEFF"/>
            </w:tcBorders>
            <w:vMerge w:val="restart"/>
            <w:shd w:val="clear" w:color="auto" w:fill="CCEEFF"/>
          </w:tcPr>
          <w:p>
            <w:pPr>
              <w:spacing w:after="0"/>
              <w:rPr>
                <w:sz w:val="17"/>
                <w:szCs w:val="17"/>
                <w:color w:val="auto"/>
              </w:rPr>
            </w:pPr>
          </w:p>
        </w:tc>
        <w:tc>
          <w:tcPr>
            <w:tcW w:w="40" w:type="dxa"/>
            <w:vAlign w:val="bottom"/>
            <w:tcBorders>
              <w:bottom w:val="single" w:sz="8" w:color="CCEEFF"/>
            </w:tcBorders>
            <w:vMerge w:val="restart"/>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140" w:type="dxa"/>
            <w:vAlign w:val="bottom"/>
            <w:tcBorders>
              <w:bottom w:val="single" w:sz="8" w:color="CCEEFF"/>
            </w:tcBorders>
            <w:vMerge w:val="restart"/>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140" w:type="dxa"/>
            <w:vAlign w:val="bottom"/>
            <w:tcBorders>
              <w:bottom w:val="single" w:sz="8" w:color="CCEEFF"/>
            </w:tcBorders>
            <w:vMerge w:val="restart"/>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180" w:type="dxa"/>
            <w:vAlign w:val="bottom"/>
            <w:tcBorders>
              <w:bottom w:val="single" w:sz="8" w:color="CCEEFF"/>
            </w:tcBorders>
            <w:gridSpan w:val="3"/>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40" w:type="dxa"/>
            <w:vAlign w:val="bottom"/>
            <w:tcBorders>
              <w:bottom w:val="single" w:sz="8" w:color="auto"/>
            </w:tcBorders>
            <w:gridSpan w:val="2"/>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vMerge w:val="continue"/>
            <w:shd w:val="clear" w:color="auto" w:fill="CCEEFF"/>
          </w:tcPr>
          <w:p>
            <w:pPr>
              <w:spacing w:after="0"/>
              <w:rPr>
                <w:sz w:val="5"/>
                <w:szCs w:val="5"/>
                <w:color w:val="auto"/>
              </w:rPr>
            </w:pPr>
          </w:p>
        </w:tc>
        <w:tc>
          <w:tcPr>
            <w:tcW w:w="8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0" w:type="dxa"/>
            <w:vAlign w:val="bottom"/>
            <w:tcBorders>
              <w:bottom w:val="single" w:sz="8" w:color="auto"/>
            </w:tcBorders>
            <w:vMerge w:val="continue"/>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auto"/>
              <w:right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auto"/>
            </w:tcBorders>
            <w:vMerge w:val="continue"/>
            <w:shd w:val="clear" w:color="auto" w:fill="CCEEFF"/>
          </w:tcPr>
          <w:p>
            <w:pPr>
              <w:spacing w:after="0"/>
              <w:rPr>
                <w:sz w:val="5"/>
                <w:szCs w:val="5"/>
                <w:color w:val="auto"/>
              </w:rPr>
            </w:pPr>
          </w:p>
        </w:tc>
        <w:tc>
          <w:tcPr>
            <w:tcW w:w="2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vMerge w:val="continue"/>
            <w:shd w:val="clear" w:color="auto" w:fill="CCEEFF"/>
          </w:tcPr>
          <w:p>
            <w:pPr>
              <w:spacing w:after="0"/>
              <w:rPr>
                <w:sz w:val="5"/>
                <w:szCs w:val="5"/>
                <w:color w:val="auto"/>
              </w:rPr>
            </w:pPr>
          </w:p>
        </w:tc>
        <w:tc>
          <w:tcPr>
            <w:tcW w:w="2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20" w:type="dxa"/>
            <w:vAlign w:val="bottom"/>
            <w:tcBorders>
              <w:bottom w:val="single" w:sz="8" w:color="auto"/>
            </w:tcBorders>
            <w:vMerge w:val="continue"/>
            <w:shd w:val="clear" w:color="auto" w:fill="CCEEFF"/>
          </w:tcPr>
          <w:p>
            <w:pPr>
              <w:spacing w:after="0"/>
              <w:rPr>
                <w:sz w:val="5"/>
                <w:szCs w:val="5"/>
                <w:color w:val="auto"/>
              </w:rPr>
            </w:pPr>
          </w:p>
        </w:tc>
        <w:tc>
          <w:tcPr>
            <w:tcW w:w="2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20" w:type="dxa"/>
            <w:vAlign w:val="bottom"/>
            <w:tcBorders>
              <w:bottom w:val="single" w:sz="8" w:color="auto"/>
            </w:tcBorders>
            <w:vMerge w:val="continue"/>
            <w:shd w:val="clear" w:color="auto" w:fill="CCEEFF"/>
          </w:tcPr>
          <w:p>
            <w:pPr>
              <w:spacing w:after="0"/>
              <w:rPr>
                <w:sz w:val="5"/>
                <w:szCs w:val="5"/>
                <w:color w:val="auto"/>
              </w:rPr>
            </w:pPr>
          </w:p>
        </w:tc>
        <w:tc>
          <w:tcPr>
            <w:tcW w:w="180" w:type="dxa"/>
            <w:vAlign w:val="bottom"/>
            <w:tcBorders>
              <w:bottom w:val="single" w:sz="8" w:color="auto"/>
            </w:tcBorders>
            <w:gridSpan w:val="3"/>
            <w:vMerge w:val="continue"/>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220" w:type="dxa"/>
            <w:vAlign w:val="bottom"/>
            <w:gridSpan w:val="38"/>
          </w:tcPr>
          <w:p>
            <w:pPr>
              <w:spacing w:after="0"/>
              <w:rPr>
                <w:sz w:val="20"/>
                <w:szCs w:val="20"/>
                <w:color w:val="auto"/>
              </w:rPr>
            </w:pPr>
            <w:r>
              <w:rPr>
                <w:rFonts w:ascii="Arial" w:cs="Arial" w:eastAsia="Arial" w:hAnsi="Arial"/>
                <w:sz w:val="16"/>
                <w:szCs w:val="16"/>
                <w:b w:val="1"/>
                <w:bCs w:val="1"/>
                <w:color w:val="4834BA"/>
                <w:w w:val="95"/>
              </w:rPr>
              <w:t>NOTICE OF 2026 ANNUAL MEETING OF STOCKHOLDERS</w:t>
            </w:r>
          </w:p>
        </w:tc>
        <w:tc>
          <w:tcPr>
            <w:tcW w:w="1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4834BA"/>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20" w:type="dxa"/>
            <w:vAlign w:val="bottom"/>
            <w:tcBorders>
              <w:top w:val="single" w:sz="8" w:color="4834BA"/>
              <w:bottom w:val="single" w:sz="8" w:color="auto"/>
            </w:tcBorders>
          </w:tcPr>
          <w:p>
            <w:pPr>
              <w:spacing w:after="0"/>
              <w:rPr>
                <w:sz w:val="10"/>
                <w:szCs w:val="10"/>
                <w:color w:val="auto"/>
              </w:rPr>
            </w:pPr>
          </w:p>
        </w:tc>
        <w:tc>
          <w:tcPr>
            <w:tcW w:w="20" w:type="dxa"/>
            <w:vAlign w:val="bottom"/>
            <w:tcBorders>
              <w:top w:val="single" w:sz="8" w:color="4834BA"/>
              <w:bottom w:val="single" w:sz="8" w:color="auto"/>
            </w:tcBorders>
          </w:tcPr>
          <w:p>
            <w:pPr>
              <w:spacing w:after="0"/>
              <w:rPr>
                <w:sz w:val="10"/>
                <w:szCs w:val="10"/>
                <w:color w:val="auto"/>
              </w:rPr>
            </w:pPr>
          </w:p>
        </w:tc>
        <w:tc>
          <w:tcPr>
            <w:tcW w:w="620" w:type="dxa"/>
            <w:vAlign w:val="bottom"/>
            <w:tcBorders>
              <w:top w:val="single" w:sz="8" w:color="4834BA"/>
              <w:bottom w:val="single" w:sz="8" w:color="auto"/>
            </w:tcBorders>
          </w:tcPr>
          <w:p>
            <w:pPr>
              <w:spacing w:after="0"/>
              <w:rPr>
                <w:sz w:val="10"/>
                <w:szCs w:val="10"/>
                <w:color w:val="auto"/>
              </w:rPr>
            </w:pPr>
          </w:p>
        </w:tc>
        <w:tc>
          <w:tcPr>
            <w:tcW w:w="40" w:type="dxa"/>
            <w:vAlign w:val="bottom"/>
            <w:tcBorders>
              <w:top w:val="single" w:sz="8" w:color="4834BA"/>
              <w:bottom w:val="single" w:sz="8" w:color="auto"/>
            </w:tcBorders>
          </w:tcPr>
          <w:p>
            <w:pPr>
              <w:spacing w:after="0"/>
              <w:rPr>
                <w:sz w:val="10"/>
                <w:szCs w:val="10"/>
                <w:color w:val="auto"/>
              </w:rPr>
            </w:pPr>
          </w:p>
        </w:tc>
        <w:tc>
          <w:tcPr>
            <w:tcW w:w="220" w:type="dxa"/>
            <w:vAlign w:val="bottom"/>
            <w:tcBorders>
              <w:top w:val="single" w:sz="8" w:color="4834BA"/>
              <w:bottom w:val="single" w:sz="8" w:color="auto"/>
            </w:tcBorders>
          </w:tcPr>
          <w:p>
            <w:pPr>
              <w:spacing w:after="0"/>
              <w:rPr>
                <w:sz w:val="10"/>
                <w:szCs w:val="10"/>
                <w:color w:val="auto"/>
              </w:rPr>
            </w:pPr>
          </w:p>
        </w:tc>
        <w:tc>
          <w:tcPr>
            <w:tcW w:w="160" w:type="dxa"/>
            <w:vAlign w:val="bottom"/>
            <w:tcBorders>
              <w:top w:val="single" w:sz="8" w:color="4834BA"/>
              <w:bottom w:val="single" w:sz="8" w:color="auto"/>
            </w:tcBorders>
          </w:tcPr>
          <w:p>
            <w:pPr>
              <w:spacing w:after="0"/>
              <w:rPr>
                <w:sz w:val="10"/>
                <w:szCs w:val="10"/>
                <w:color w:val="auto"/>
              </w:rPr>
            </w:pPr>
          </w:p>
        </w:tc>
        <w:tc>
          <w:tcPr>
            <w:tcW w:w="40" w:type="dxa"/>
            <w:vAlign w:val="bottom"/>
            <w:tcBorders>
              <w:top w:val="single" w:sz="8" w:color="4834BA"/>
              <w:bottom w:val="single" w:sz="8" w:color="auto"/>
            </w:tcBorders>
          </w:tcPr>
          <w:p>
            <w:pPr>
              <w:spacing w:after="0"/>
              <w:rPr>
                <w:sz w:val="10"/>
                <w:szCs w:val="10"/>
                <w:color w:val="auto"/>
              </w:rPr>
            </w:pPr>
          </w:p>
        </w:tc>
        <w:tc>
          <w:tcPr>
            <w:tcW w:w="120" w:type="dxa"/>
            <w:vAlign w:val="bottom"/>
            <w:tcBorders>
              <w:top w:val="single" w:sz="8" w:color="4834BA"/>
              <w:bottom w:val="single" w:sz="8" w:color="auto"/>
            </w:tcBorders>
          </w:tcPr>
          <w:p>
            <w:pPr>
              <w:spacing w:after="0"/>
              <w:rPr>
                <w:sz w:val="10"/>
                <w:szCs w:val="10"/>
                <w:color w:val="auto"/>
              </w:rPr>
            </w:pPr>
          </w:p>
        </w:tc>
        <w:tc>
          <w:tcPr>
            <w:tcW w:w="160" w:type="dxa"/>
            <w:vAlign w:val="bottom"/>
            <w:tcBorders>
              <w:top w:val="single" w:sz="8" w:color="4834BA"/>
              <w:bottom w:val="single" w:sz="8" w:color="auto"/>
            </w:tcBorders>
          </w:tcPr>
          <w:p>
            <w:pPr>
              <w:spacing w:after="0"/>
              <w:rPr>
                <w:sz w:val="10"/>
                <w:szCs w:val="10"/>
                <w:color w:val="auto"/>
              </w:rPr>
            </w:pPr>
          </w:p>
        </w:tc>
        <w:tc>
          <w:tcPr>
            <w:tcW w:w="20" w:type="dxa"/>
            <w:vAlign w:val="bottom"/>
            <w:tcBorders>
              <w:top w:val="single" w:sz="8" w:color="4834BA"/>
              <w:bottom w:val="single" w:sz="8" w:color="auto"/>
            </w:tcBorders>
          </w:tcPr>
          <w:p>
            <w:pPr>
              <w:spacing w:after="0"/>
              <w:rPr>
                <w:sz w:val="10"/>
                <w:szCs w:val="10"/>
                <w:color w:val="auto"/>
              </w:rPr>
            </w:pPr>
          </w:p>
        </w:tc>
        <w:tc>
          <w:tcPr>
            <w:tcW w:w="20" w:type="dxa"/>
            <w:vAlign w:val="bottom"/>
            <w:tcBorders>
              <w:top w:val="single" w:sz="8" w:color="4834BA"/>
              <w:bottom w:val="single" w:sz="8" w:color="auto"/>
            </w:tcBorders>
          </w:tcPr>
          <w:p>
            <w:pPr>
              <w:spacing w:after="0"/>
              <w:rPr>
                <w:sz w:val="10"/>
                <w:szCs w:val="10"/>
                <w:color w:val="auto"/>
              </w:rPr>
            </w:pPr>
          </w:p>
        </w:tc>
        <w:tc>
          <w:tcPr>
            <w:tcW w:w="20" w:type="dxa"/>
            <w:vAlign w:val="bottom"/>
            <w:tcBorders>
              <w:top w:val="single" w:sz="8" w:color="4834BA"/>
              <w:bottom w:val="single" w:sz="8" w:color="auto"/>
            </w:tcBorders>
          </w:tcPr>
          <w:p>
            <w:pPr>
              <w:spacing w:after="0"/>
              <w:rPr>
                <w:sz w:val="10"/>
                <w:szCs w:val="10"/>
                <w:color w:val="auto"/>
              </w:rPr>
            </w:pPr>
          </w:p>
        </w:tc>
        <w:tc>
          <w:tcPr>
            <w:tcW w:w="80" w:type="dxa"/>
            <w:vAlign w:val="bottom"/>
            <w:tcBorders>
              <w:top w:val="single" w:sz="8" w:color="4834BA"/>
              <w:bottom w:val="single" w:sz="8" w:color="auto"/>
            </w:tcBorders>
          </w:tcPr>
          <w:p>
            <w:pPr>
              <w:spacing w:after="0"/>
              <w:rPr>
                <w:sz w:val="10"/>
                <w:szCs w:val="10"/>
                <w:color w:val="auto"/>
              </w:rPr>
            </w:pPr>
          </w:p>
        </w:tc>
        <w:tc>
          <w:tcPr>
            <w:tcW w:w="120" w:type="dxa"/>
            <w:vAlign w:val="bottom"/>
            <w:tcBorders>
              <w:top w:val="single" w:sz="8" w:color="4834BA"/>
              <w:bottom w:val="single" w:sz="8" w:color="auto"/>
            </w:tcBorders>
          </w:tcPr>
          <w:p>
            <w:pPr>
              <w:spacing w:after="0"/>
              <w:rPr>
                <w:sz w:val="10"/>
                <w:szCs w:val="10"/>
                <w:color w:val="auto"/>
              </w:rPr>
            </w:pPr>
          </w:p>
        </w:tc>
        <w:tc>
          <w:tcPr>
            <w:tcW w:w="40" w:type="dxa"/>
            <w:vAlign w:val="bottom"/>
            <w:tcBorders>
              <w:top w:val="single" w:sz="8" w:color="4834BA"/>
              <w:bottom w:val="single" w:sz="8" w:color="auto"/>
            </w:tcBorders>
          </w:tcPr>
          <w:p>
            <w:pPr>
              <w:spacing w:after="0"/>
              <w:rPr>
                <w:sz w:val="10"/>
                <w:szCs w:val="10"/>
                <w:color w:val="auto"/>
              </w:rPr>
            </w:pPr>
          </w:p>
        </w:tc>
        <w:tc>
          <w:tcPr>
            <w:tcW w:w="140" w:type="dxa"/>
            <w:vAlign w:val="bottom"/>
            <w:tcBorders>
              <w:top w:val="single" w:sz="8" w:color="4834BA"/>
              <w:bottom w:val="single" w:sz="8" w:color="auto"/>
            </w:tcBorders>
          </w:tcPr>
          <w:p>
            <w:pPr>
              <w:spacing w:after="0"/>
              <w:rPr>
                <w:sz w:val="10"/>
                <w:szCs w:val="10"/>
                <w:color w:val="auto"/>
              </w:rPr>
            </w:pPr>
          </w:p>
        </w:tc>
        <w:tc>
          <w:tcPr>
            <w:tcW w:w="20" w:type="dxa"/>
            <w:vAlign w:val="bottom"/>
            <w:tcBorders>
              <w:top w:val="single" w:sz="8" w:color="4834BA"/>
              <w:bottom w:val="single" w:sz="8" w:color="auto"/>
            </w:tcBorders>
          </w:tcPr>
          <w:p>
            <w:pPr>
              <w:spacing w:after="0"/>
              <w:rPr>
                <w:sz w:val="10"/>
                <w:szCs w:val="10"/>
                <w:color w:val="auto"/>
              </w:rPr>
            </w:pPr>
          </w:p>
        </w:tc>
        <w:tc>
          <w:tcPr>
            <w:tcW w:w="40" w:type="dxa"/>
            <w:vAlign w:val="bottom"/>
            <w:tcBorders>
              <w:top w:val="single" w:sz="8" w:color="4834BA"/>
              <w:bottom w:val="single" w:sz="8" w:color="auto"/>
            </w:tcBorders>
          </w:tcPr>
          <w:p>
            <w:pPr>
              <w:spacing w:after="0"/>
              <w:rPr>
                <w:sz w:val="10"/>
                <w:szCs w:val="10"/>
                <w:color w:val="auto"/>
              </w:rPr>
            </w:pPr>
          </w:p>
        </w:tc>
        <w:tc>
          <w:tcPr>
            <w:tcW w:w="20" w:type="dxa"/>
            <w:vAlign w:val="bottom"/>
            <w:tcBorders>
              <w:top w:val="single" w:sz="8" w:color="4834BA"/>
              <w:bottom w:val="single" w:sz="8" w:color="auto"/>
            </w:tcBorders>
          </w:tcPr>
          <w:p>
            <w:pPr>
              <w:spacing w:after="0"/>
              <w:rPr>
                <w:sz w:val="10"/>
                <w:szCs w:val="10"/>
                <w:color w:val="auto"/>
              </w:rPr>
            </w:pPr>
          </w:p>
        </w:tc>
        <w:tc>
          <w:tcPr>
            <w:tcW w:w="80" w:type="dxa"/>
            <w:vAlign w:val="bottom"/>
            <w:tcBorders>
              <w:top w:val="single" w:sz="8" w:color="4834BA"/>
              <w:bottom w:val="single" w:sz="8" w:color="auto"/>
            </w:tcBorders>
          </w:tcPr>
          <w:p>
            <w:pPr>
              <w:spacing w:after="0"/>
              <w:rPr>
                <w:sz w:val="10"/>
                <w:szCs w:val="10"/>
                <w:color w:val="auto"/>
              </w:rPr>
            </w:pPr>
          </w:p>
        </w:tc>
        <w:tc>
          <w:tcPr>
            <w:tcW w:w="300" w:type="dxa"/>
            <w:vAlign w:val="bottom"/>
            <w:tcBorders>
              <w:top w:val="single" w:sz="8" w:color="4834BA"/>
              <w:bottom w:val="single" w:sz="8" w:color="auto"/>
            </w:tcBorders>
          </w:tcPr>
          <w:p>
            <w:pPr>
              <w:spacing w:after="0"/>
              <w:rPr>
                <w:sz w:val="10"/>
                <w:szCs w:val="10"/>
                <w:color w:val="auto"/>
              </w:rPr>
            </w:pPr>
          </w:p>
        </w:tc>
        <w:tc>
          <w:tcPr>
            <w:tcW w:w="100" w:type="dxa"/>
            <w:vAlign w:val="bottom"/>
            <w:tcBorders>
              <w:top w:val="single" w:sz="8" w:color="4834BA"/>
              <w:bottom w:val="single" w:sz="8" w:color="auto"/>
            </w:tcBorders>
          </w:tcPr>
          <w:p>
            <w:pPr>
              <w:spacing w:after="0"/>
              <w:rPr>
                <w:sz w:val="10"/>
                <w:szCs w:val="10"/>
                <w:color w:val="auto"/>
              </w:rPr>
            </w:pPr>
          </w:p>
        </w:tc>
        <w:tc>
          <w:tcPr>
            <w:tcW w:w="120" w:type="dxa"/>
            <w:vAlign w:val="bottom"/>
            <w:tcBorders>
              <w:top w:val="single" w:sz="8" w:color="4834BA"/>
              <w:bottom w:val="single" w:sz="8" w:color="auto"/>
            </w:tcBorders>
          </w:tcPr>
          <w:p>
            <w:pPr>
              <w:spacing w:after="0"/>
              <w:rPr>
                <w:sz w:val="10"/>
                <w:szCs w:val="10"/>
                <w:color w:val="auto"/>
              </w:rPr>
            </w:pPr>
          </w:p>
        </w:tc>
        <w:tc>
          <w:tcPr>
            <w:tcW w:w="60" w:type="dxa"/>
            <w:vAlign w:val="bottom"/>
            <w:tcBorders>
              <w:top w:val="single" w:sz="8" w:color="4834BA"/>
              <w:bottom w:val="single" w:sz="8" w:color="auto"/>
            </w:tcBorders>
          </w:tcPr>
          <w:p>
            <w:pPr>
              <w:spacing w:after="0"/>
              <w:rPr>
                <w:sz w:val="10"/>
                <w:szCs w:val="10"/>
                <w:color w:val="auto"/>
              </w:rPr>
            </w:pPr>
          </w:p>
        </w:tc>
        <w:tc>
          <w:tcPr>
            <w:tcW w:w="160" w:type="dxa"/>
            <w:vAlign w:val="bottom"/>
            <w:tcBorders>
              <w:top w:val="single" w:sz="8" w:color="4834BA"/>
              <w:bottom w:val="single" w:sz="8" w:color="auto"/>
            </w:tcBorders>
          </w:tcPr>
          <w:p>
            <w:pPr>
              <w:spacing w:after="0"/>
              <w:rPr>
                <w:sz w:val="10"/>
                <w:szCs w:val="10"/>
                <w:color w:val="auto"/>
              </w:rPr>
            </w:pPr>
          </w:p>
        </w:tc>
        <w:tc>
          <w:tcPr>
            <w:tcW w:w="140" w:type="dxa"/>
            <w:vAlign w:val="bottom"/>
            <w:tcBorders>
              <w:top w:val="single" w:sz="8" w:color="4834BA"/>
              <w:bottom w:val="single" w:sz="8" w:color="auto"/>
            </w:tcBorders>
          </w:tcPr>
          <w:p>
            <w:pPr>
              <w:spacing w:after="0"/>
              <w:rPr>
                <w:sz w:val="10"/>
                <w:szCs w:val="10"/>
                <w:color w:val="auto"/>
              </w:rPr>
            </w:pPr>
          </w:p>
        </w:tc>
        <w:tc>
          <w:tcPr>
            <w:tcW w:w="80" w:type="dxa"/>
            <w:vAlign w:val="bottom"/>
            <w:tcBorders>
              <w:top w:val="single" w:sz="8" w:color="4834BA"/>
              <w:bottom w:val="single" w:sz="8" w:color="auto"/>
            </w:tcBorders>
          </w:tcPr>
          <w:p>
            <w:pPr>
              <w:spacing w:after="0"/>
              <w:rPr>
                <w:sz w:val="10"/>
                <w:szCs w:val="10"/>
                <w:color w:val="auto"/>
              </w:rPr>
            </w:pPr>
          </w:p>
        </w:tc>
        <w:tc>
          <w:tcPr>
            <w:tcW w:w="20" w:type="dxa"/>
            <w:vAlign w:val="bottom"/>
            <w:tcBorders>
              <w:top w:val="single" w:sz="8" w:color="4834BA"/>
              <w:bottom w:val="single" w:sz="8" w:color="auto"/>
            </w:tcBorders>
          </w:tcPr>
          <w:p>
            <w:pPr>
              <w:spacing w:after="0"/>
              <w:rPr>
                <w:sz w:val="10"/>
                <w:szCs w:val="10"/>
                <w:color w:val="auto"/>
              </w:rPr>
            </w:pPr>
          </w:p>
        </w:tc>
        <w:tc>
          <w:tcPr>
            <w:tcW w:w="340" w:type="dxa"/>
            <w:vAlign w:val="bottom"/>
            <w:tcBorders>
              <w:top w:val="single" w:sz="8" w:color="4834BA"/>
              <w:bottom w:val="single" w:sz="8" w:color="auto"/>
            </w:tcBorders>
          </w:tcPr>
          <w:p>
            <w:pPr>
              <w:spacing w:after="0"/>
              <w:rPr>
                <w:sz w:val="10"/>
                <w:szCs w:val="10"/>
                <w:color w:val="auto"/>
              </w:rPr>
            </w:pPr>
          </w:p>
        </w:tc>
        <w:tc>
          <w:tcPr>
            <w:tcW w:w="140" w:type="dxa"/>
            <w:vAlign w:val="bottom"/>
            <w:tcBorders>
              <w:top w:val="single" w:sz="8" w:color="4834BA"/>
              <w:bottom w:val="single" w:sz="8" w:color="auto"/>
            </w:tcBorders>
          </w:tcPr>
          <w:p>
            <w:pPr>
              <w:spacing w:after="0"/>
              <w:rPr>
                <w:sz w:val="10"/>
                <w:szCs w:val="10"/>
                <w:color w:val="auto"/>
              </w:rPr>
            </w:pPr>
          </w:p>
        </w:tc>
        <w:tc>
          <w:tcPr>
            <w:tcW w:w="160" w:type="dxa"/>
            <w:vAlign w:val="bottom"/>
            <w:tcBorders>
              <w:top w:val="single" w:sz="8" w:color="4834BA"/>
              <w:bottom w:val="single" w:sz="8" w:color="auto"/>
            </w:tcBorders>
          </w:tcPr>
          <w:p>
            <w:pPr>
              <w:spacing w:after="0"/>
              <w:rPr>
                <w:sz w:val="10"/>
                <w:szCs w:val="10"/>
                <w:color w:val="auto"/>
              </w:rPr>
            </w:pPr>
          </w:p>
        </w:tc>
        <w:tc>
          <w:tcPr>
            <w:tcW w:w="40" w:type="dxa"/>
            <w:vAlign w:val="bottom"/>
            <w:tcBorders>
              <w:top w:val="single" w:sz="8" w:color="4834BA"/>
              <w:bottom w:val="single" w:sz="8" w:color="auto"/>
            </w:tcBorders>
          </w:tcPr>
          <w:p>
            <w:pPr>
              <w:spacing w:after="0"/>
              <w:rPr>
                <w:sz w:val="10"/>
                <w:szCs w:val="10"/>
                <w:color w:val="auto"/>
              </w:rPr>
            </w:pPr>
          </w:p>
        </w:tc>
        <w:tc>
          <w:tcPr>
            <w:tcW w:w="20" w:type="dxa"/>
            <w:vAlign w:val="bottom"/>
            <w:tcBorders>
              <w:top w:val="single" w:sz="8" w:color="4834BA"/>
              <w:bottom w:val="single" w:sz="8" w:color="auto"/>
            </w:tcBorders>
          </w:tcPr>
          <w:p>
            <w:pPr>
              <w:spacing w:after="0"/>
              <w:rPr>
                <w:sz w:val="10"/>
                <w:szCs w:val="10"/>
                <w:color w:val="auto"/>
              </w:rPr>
            </w:pPr>
          </w:p>
        </w:tc>
        <w:tc>
          <w:tcPr>
            <w:tcW w:w="140" w:type="dxa"/>
            <w:vAlign w:val="bottom"/>
            <w:tcBorders>
              <w:top w:val="single" w:sz="8" w:color="4834BA"/>
              <w:bottom w:val="single" w:sz="8" w:color="auto"/>
            </w:tcBorders>
          </w:tcPr>
          <w:p>
            <w:pPr>
              <w:spacing w:after="0"/>
              <w:rPr>
                <w:sz w:val="10"/>
                <w:szCs w:val="10"/>
                <w:color w:val="auto"/>
              </w:rPr>
            </w:pPr>
          </w:p>
        </w:tc>
        <w:tc>
          <w:tcPr>
            <w:tcW w:w="20" w:type="dxa"/>
            <w:vAlign w:val="bottom"/>
            <w:tcBorders>
              <w:top w:val="single" w:sz="8" w:color="4834BA"/>
              <w:bottom w:val="single" w:sz="8" w:color="auto"/>
            </w:tcBorders>
          </w:tcPr>
          <w:p>
            <w:pPr>
              <w:spacing w:after="0"/>
              <w:rPr>
                <w:sz w:val="10"/>
                <w:szCs w:val="10"/>
                <w:color w:val="auto"/>
              </w:rPr>
            </w:pPr>
          </w:p>
        </w:tc>
        <w:tc>
          <w:tcPr>
            <w:tcW w:w="20" w:type="dxa"/>
            <w:vAlign w:val="bottom"/>
            <w:tcBorders>
              <w:top w:val="single" w:sz="8" w:color="4834BA"/>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3"/>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gridSpan w:val="38"/>
            <w:shd w:val="clear" w:color="auto" w:fill="CCEEFF"/>
          </w:tcPr>
          <w:p>
            <w:pPr>
              <w:spacing w:after="0"/>
              <w:rPr>
                <w:sz w:val="20"/>
                <w:szCs w:val="20"/>
                <w:color w:val="auto"/>
              </w:rPr>
            </w:pPr>
            <w:r>
              <w:rPr>
                <w:rFonts w:ascii="Arial" w:cs="Arial" w:eastAsia="Arial" w:hAnsi="Arial"/>
                <w:sz w:val="16"/>
                <w:szCs w:val="16"/>
                <w:b w:val="1"/>
                <w:bCs w:val="1"/>
                <w:color w:val="4834BA"/>
              </w:rPr>
              <w:t>HELPFUL RESOURCES</w:t>
            </w:r>
          </w:p>
        </w:tc>
        <w:tc>
          <w:tcPr>
            <w:tcW w:w="180" w:type="dxa"/>
            <w:vAlign w:val="bottom"/>
            <w:gridSpan w:val="3"/>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21"/>
                <w:szCs w:val="21"/>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4834BA"/>
                <w:w w:val="71"/>
              </w:rPr>
              <w:t>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4834BA"/>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CCEEFF"/>
            </w:tcBorders>
            <w:gridSpan w:val="3"/>
            <w:vMerge w:val="continue"/>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60" w:type="dxa"/>
            <w:vAlign w:val="bottom"/>
            <w:tcBorders>
              <w:top w:val="single" w:sz="8" w:color="CCEEFF"/>
              <w:bottom w:val="single" w:sz="8" w:color="4834BA"/>
            </w:tcBorders>
            <w:vMerge w:val="continue"/>
            <w:shd w:val="clear" w:color="auto" w:fill="CCEEFF"/>
          </w:tcPr>
          <w:p>
            <w:pPr>
              <w:spacing w:after="0" w:line="20" w:lineRule="exact"/>
              <w:rPr>
                <w:sz w:val="1"/>
                <w:szCs w:val="1"/>
                <w:color w:val="auto"/>
              </w:rPr>
            </w:pPr>
          </w:p>
        </w:tc>
        <w:tc>
          <w:tcPr>
            <w:tcW w:w="6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2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right w:val="single" w:sz="8" w:color="CCEEFF"/>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gridSpan w:val="3"/>
            <w:vMerge w:val="continue"/>
            <w:shd w:val="clear" w:color="auto" w:fill="CCEEFF"/>
          </w:tcPr>
          <w:p>
            <w:pPr>
              <w:spacing w:after="0"/>
              <w:rPr>
                <w:sz w:val="6"/>
                <w:szCs w:val="6"/>
                <w:color w:val="auto"/>
              </w:rPr>
            </w:pPr>
          </w:p>
        </w:tc>
        <w:tc>
          <w:tcPr>
            <w:tcW w:w="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20" w:type="dxa"/>
            <w:vAlign w:val="bottom"/>
            <w:gridSpan w:val="38"/>
          </w:tcPr>
          <w:p>
            <w:pPr>
              <w:spacing w:after="0"/>
              <w:rPr>
                <w:sz w:val="20"/>
                <w:szCs w:val="20"/>
                <w:color w:val="auto"/>
              </w:rPr>
            </w:pPr>
            <w:r>
              <w:rPr>
                <w:rFonts w:ascii="Arial" w:cs="Arial" w:eastAsia="Arial" w:hAnsi="Arial"/>
                <w:sz w:val="16"/>
                <w:szCs w:val="16"/>
                <w:b w:val="1"/>
                <w:bCs w:val="1"/>
                <w:color w:val="4834BA"/>
              </w:rPr>
              <w:t>PROXY SUMMARY</w:t>
            </w:r>
          </w:p>
        </w:tc>
        <w:tc>
          <w:tcPr>
            <w:tcW w:w="1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1"/>
                <w:szCs w:val="21"/>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4834BA"/>
                <w:w w:val="71"/>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20" w:type="dxa"/>
            <w:vAlign w:val="bottom"/>
            <w:tcBorders>
              <w:top w:val="single" w:sz="8" w:color="4834BA"/>
            </w:tcBorders>
          </w:tcPr>
          <w:p>
            <w:pPr>
              <w:spacing w:after="0" w:line="20" w:lineRule="exact"/>
              <w:rPr>
                <w:sz w:val="1"/>
                <w:szCs w:val="1"/>
                <w:color w:val="auto"/>
              </w:rPr>
            </w:pPr>
          </w:p>
        </w:tc>
        <w:tc>
          <w:tcPr>
            <w:tcW w:w="20" w:type="dxa"/>
            <w:vAlign w:val="bottom"/>
            <w:tcBorders>
              <w:top w:val="single" w:sz="8" w:color="4834BA"/>
            </w:tcBorders>
          </w:tcPr>
          <w:p>
            <w:pPr>
              <w:spacing w:after="0" w:line="20" w:lineRule="exact"/>
              <w:rPr>
                <w:sz w:val="1"/>
                <w:szCs w:val="1"/>
                <w:color w:val="auto"/>
              </w:rPr>
            </w:pPr>
          </w:p>
        </w:tc>
        <w:tc>
          <w:tcPr>
            <w:tcW w:w="620" w:type="dxa"/>
            <w:vAlign w:val="bottom"/>
            <w:tcBorders>
              <w:top w:val="single" w:sz="8" w:color="4834BA"/>
            </w:tcBorders>
          </w:tcPr>
          <w:p>
            <w:pPr>
              <w:spacing w:after="0" w:line="20" w:lineRule="exact"/>
              <w:rPr>
                <w:sz w:val="1"/>
                <w:szCs w:val="1"/>
                <w:color w:val="auto"/>
              </w:rPr>
            </w:pPr>
          </w:p>
        </w:tc>
        <w:tc>
          <w:tcPr>
            <w:tcW w:w="40" w:type="dxa"/>
            <w:vAlign w:val="bottom"/>
            <w:tcBorders>
              <w:top w:val="single" w:sz="8" w:color="4834BA"/>
            </w:tcBorders>
          </w:tcPr>
          <w:p>
            <w:pPr>
              <w:spacing w:after="0" w:line="20" w:lineRule="exact"/>
              <w:rPr>
                <w:sz w:val="1"/>
                <w:szCs w:val="1"/>
                <w:color w:val="auto"/>
              </w:rPr>
            </w:pPr>
          </w:p>
        </w:tc>
        <w:tc>
          <w:tcPr>
            <w:tcW w:w="220" w:type="dxa"/>
            <w:vAlign w:val="bottom"/>
            <w:tcBorders>
              <w:top w:val="single" w:sz="8" w:color="4834BA"/>
            </w:tcBorders>
          </w:tcPr>
          <w:p>
            <w:pPr>
              <w:spacing w:after="0" w:line="20" w:lineRule="exact"/>
              <w:rPr>
                <w:sz w:val="1"/>
                <w:szCs w:val="1"/>
                <w:color w:val="auto"/>
              </w:rPr>
            </w:pPr>
          </w:p>
        </w:tc>
        <w:tc>
          <w:tcPr>
            <w:tcW w:w="160" w:type="dxa"/>
            <w:vAlign w:val="bottom"/>
            <w:tcBorders>
              <w:top w:val="single" w:sz="8" w:color="4834BA"/>
            </w:tcBorders>
          </w:tcPr>
          <w:p>
            <w:pPr>
              <w:spacing w:after="0" w:line="20" w:lineRule="exact"/>
              <w:rPr>
                <w:sz w:val="1"/>
                <w:szCs w:val="1"/>
                <w:color w:val="auto"/>
              </w:rPr>
            </w:pPr>
          </w:p>
        </w:tc>
        <w:tc>
          <w:tcPr>
            <w:tcW w:w="40" w:type="dxa"/>
            <w:vAlign w:val="bottom"/>
            <w:tcBorders>
              <w:top w:val="single" w:sz="8" w:color="4834BA"/>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4834BA"/>
            </w:tcBorders>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980" w:type="dxa"/>
            <w:vAlign w:val="bottom"/>
            <w:gridSpan w:val="36"/>
            <w:shd w:val="clear" w:color="auto" w:fill="CCEEFF"/>
          </w:tcPr>
          <w:p>
            <w:pPr>
              <w:spacing w:after="0" w:line="155" w:lineRule="exact"/>
              <w:rPr>
                <w:sz w:val="20"/>
                <w:szCs w:val="20"/>
                <w:color w:val="auto"/>
              </w:rPr>
            </w:pPr>
            <w:r>
              <w:rPr>
                <w:rFonts w:ascii="Arial" w:cs="Arial" w:eastAsia="Arial" w:hAnsi="Arial"/>
                <w:sz w:val="16"/>
                <w:szCs w:val="16"/>
                <w:color w:val="0000EE"/>
              </w:rPr>
              <w:t>About Us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60"/>
              <w:spacing w:after="0" w:line="156" w:lineRule="exact"/>
              <w:rPr>
                <w:sz w:val="20"/>
                <w:szCs w:val="20"/>
                <w:color w:val="auto"/>
              </w:rPr>
            </w:pPr>
            <w:r>
              <w:rPr>
                <w:rFonts w:ascii="Arial" w:cs="Arial" w:eastAsia="Arial" w:hAnsi="Arial"/>
                <w:sz w:val="15"/>
                <w:szCs w:val="15"/>
                <w:color w:val="0000EE"/>
                <w:w w:val="71"/>
              </w:rPr>
              <w:t>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3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36"/>
          </w:tcPr>
          <w:p>
            <w:pPr>
              <w:spacing w:after="0" w:line="155" w:lineRule="exact"/>
              <w:rPr>
                <w:sz w:val="20"/>
                <w:szCs w:val="20"/>
                <w:color w:val="auto"/>
              </w:rPr>
            </w:pPr>
            <w:r>
              <w:rPr>
                <w:rFonts w:ascii="Arial" w:cs="Arial" w:eastAsia="Arial" w:hAnsi="Arial"/>
                <w:sz w:val="16"/>
                <w:szCs w:val="16"/>
                <w:color w:val="0000EE"/>
              </w:rPr>
              <w:t>Voting Roadmap</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3"/>
          </w:tcPr>
          <w:p>
            <w:pPr>
              <w:jc w:val="right"/>
              <w:ind w:right="60"/>
              <w:spacing w:after="0" w:line="156" w:lineRule="exact"/>
              <w:rPr>
                <w:sz w:val="20"/>
                <w:szCs w:val="20"/>
                <w:color w:val="auto"/>
              </w:rPr>
            </w:pPr>
            <w:r>
              <w:rPr>
                <w:rFonts w:ascii="Arial" w:cs="Arial" w:eastAsia="Arial" w:hAnsi="Arial"/>
                <w:sz w:val="15"/>
                <w:szCs w:val="15"/>
                <w:color w:val="0000EE"/>
                <w:w w:val="71"/>
              </w:rPr>
              <w:t>3</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gridSpan w:val="36"/>
            <w:shd w:val="clear" w:color="auto" w:fill="CCEEFF"/>
          </w:tcPr>
          <w:p>
            <w:pPr>
              <w:spacing w:after="0" w:line="155" w:lineRule="exact"/>
              <w:rPr>
                <w:sz w:val="20"/>
                <w:szCs w:val="20"/>
                <w:color w:val="auto"/>
              </w:rPr>
            </w:pPr>
            <w:r>
              <w:rPr>
                <w:rFonts w:ascii="Arial" w:cs="Arial" w:eastAsia="Arial" w:hAnsi="Arial"/>
                <w:sz w:val="16"/>
                <w:szCs w:val="16"/>
                <w:color w:val="0000EE"/>
              </w:rPr>
              <w:t>Directors Overview</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gridSpan w:val="3"/>
            <w:shd w:val="clear" w:color="auto" w:fill="CCEEFF"/>
          </w:tcPr>
          <w:p>
            <w:pPr>
              <w:jc w:val="right"/>
              <w:ind w:right="60"/>
              <w:spacing w:after="0" w:line="156" w:lineRule="exact"/>
              <w:rPr>
                <w:sz w:val="20"/>
                <w:szCs w:val="20"/>
                <w:color w:val="auto"/>
              </w:rPr>
            </w:pPr>
            <w:r>
              <w:rPr>
                <w:rFonts w:ascii="Arial" w:cs="Arial" w:eastAsia="Arial" w:hAnsi="Arial"/>
                <w:sz w:val="15"/>
                <w:szCs w:val="15"/>
                <w:color w:val="0000EE"/>
                <w:w w:val="71"/>
              </w:rPr>
              <w:t>4</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4834BA"/>
            </w:tcBorders>
            <w:gridSpan w:val="27"/>
          </w:tcPr>
          <w:p>
            <w:pPr>
              <w:spacing w:after="0"/>
              <w:rPr>
                <w:sz w:val="20"/>
                <w:szCs w:val="20"/>
                <w:color w:val="auto"/>
              </w:rPr>
            </w:pPr>
            <w:r>
              <w:rPr>
                <w:rFonts w:ascii="Arial" w:cs="Arial" w:eastAsia="Arial" w:hAnsi="Arial"/>
                <w:sz w:val="16"/>
                <w:szCs w:val="16"/>
                <w:b w:val="1"/>
                <w:bCs w:val="1"/>
                <w:color w:val="4834BA"/>
                <w:w w:val="90"/>
              </w:rPr>
              <w:t>PROPOSAL NO. 1 ELECTION OF DIRECTORS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20" w:type="dxa"/>
            <w:vAlign w:val="bottom"/>
            <w:vMerge w:val="restart"/>
          </w:tcPr>
          <w:p>
            <w:pPr>
              <w:spacing w:after="0"/>
              <w:rPr>
                <w:sz w:val="20"/>
                <w:szCs w:val="20"/>
                <w:color w:val="auto"/>
              </w:rPr>
            </w:pPr>
          </w:p>
        </w:tc>
        <w:tc>
          <w:tcPr>
            <w:tcW w:w="60" w:type="dxa"/>
            <w:vAlign w:val="bottom"/>
            <w:tcBorders>
              <w:bottom w:val="single" w:sz="8" w:color="4834BA"/>
            </w:tcBorders>
          </w:tcPr>
          <w:p>
            <w:pPr>
              <w:jc w:val="right"/>
              <w:spacing w:after="0"/>
              <w:rPr>
                <w:sz w:val="20"/>
                <w:szCs w:val="20"/>
                <w:color w:val="auto"/>
              </w:rPr>
            </w:pPr>
            <w:r>
              <w:rPr>
                <w:rFonts w:ascii="Arial" w:cs="Arial" w:eastAsia="Arial" w:hAnsi="Arial"/>
                <w:sz w:val="10"/>
                <w:szCs w:val="10"/>
                <w:b w:val="1"/>
                <w:bCs w:val="1"/>
                <w:color w:val="4834BA"/>
                <w:w w:val="71"/>
              </w:rPr>
              <w:t>6</w:t>
            </w: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gridSpan w:val="3"/>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gridSpan w:val="36"/>
            <w:shd w:val="clear" w:color="auto" w:fill="CCEEFF"/>
          </w:tcPr>
          <w:p>
            <w:pPr>
              <w:spacing w:after="0" w:line="155" w:lineRule="exact"/>
              <w:rPr>
                <w:sz w:val="20"/>
                <w:szCs w:val="20"/>
                <w:color w:val="auto"/>
              </w:rPr>
            </w:pPr>
            <w:r>
              <w:rPr>
                <w:rFonts w:ascii="Arial" w:cs="Arial" w:eastAsia="Arial" w:hAnsi="Arial"/>
                <w:sz w:val="16"/>
                <w:szCs w:val="16"/>
                <w:color w:val="0000EE"/>
                <w:w w:val="99"/>
              </w:rPr>
              <w:t>Vote Required and Board of Directors Recommendation</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gridSpan w:val="3"/>
            <w:shd w:val="clear" w:color="auto" w:fill="CCEEFF"/>
          </w:tcPr>
          <w:p>
            <w:pPr>
              <w:jc w:val="right"/>
              <w:ind w:right="60"/>
              <w:spacing w:after="0" w:line="156" w:lineRule="exact"/>
              <w:rPr>
                <w:sz w:val="20"/>
                <w:szCs w:val="20"/>
                <w:color w:val="auto"/>
              </w:rPr>
            </w:pPr>
            <w:r>
              <w:rPr>
                <w:rFonts w:ascii="Arial" w:cs="Arial" w:eastAsia="Arial" w:hAnsi="Arial"/>
                <w:sz w:val="15"/>
                <w:szCs w:val="15"/>
                <w:color w:val="0000EE"/>
                <w:w w:val="71"/>
              </w:rPr>
              <w:t>6</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4834BA"/>
            </w:tcBorders>
            <w:gridSpan w:val="16"/>
          </w:tcPr>
          <w:p>
            <w:pPr>
              <w:spacing w:after="0"/>
              <w:rPr>
                <w:sz w:val="20"/>
                <w:szCs w:val="20"/>
                <w:color w:val="auto"/>
              </w:rPr>
            </w:pPr>
            <w:r>
              <w:rPr>
                <w:rFonts w:ascii="Arial" w:cs="Arial" w:eastAsia="Arial" w:hAnsi="Arial"/>
                <w:sz w:val="16"/>
                <w:szCs w:val="16"/>
                <w:b w:val="1"/>
                <w:bCs w:val="1"/>
                <w:color w:val="4834BA"/>
                <w:w w:val="91"/>
              </w:rPr>
              <w:t>CORPORATE GOVERNANCE</w:t>
            </w: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834BA"/>
            </w:tcBorders>
            <w:gridSpan w:val="3"/>
          </w:tcPr>
          <w:p>
            <w:pPr>
              <w:jc w:val="right"/>
              <w:spacing w:after="0"/>
              <w:rPr>
                <w:sz w:val="20"/>
                <w:szCs w:val="20"/>
                <w:color w:val="auto"/>
              </w:rPr>
            </w:pPr>
            <w:r>
              <w:rPr>
                <w:rFonts w:ascii="Arial" w:cs="Arial" w:eastAsia="Arial" w:hAnsi="Arial"/>
                <w:sz w:val="16"/>
                <w:szCs w:val="16"/>
                <w:b w:val="1"/>
                <w:bCs w:val="1"/>
                <w:color w:val="4834BA"/>
                <w:w w:val="78"/>
              </w:rPr>
              <w:t>12</w:t>
            </w: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gridSpan w:val="2"/>
            <w:vMerge w:val="continue"/>
          </w:tcPr>
          <w:p>
            <w:pPr>
              <w:spacing w:after="0"/>
              <w:rPr>
                <w:sz w:val="5"/>
                <w:szCs w:val="5"/>
                <w:color w:val="auto"/>
              </w:rPr>
            </w:pPr>
          </w:p>
        </w:tc>
        <w:tc>
          <w:tcPr>
            <w:tcW w:w="16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980" w:type="dxa"/>
            <w:vAlign w:val="bottom"/>
            <w:gridSpan w:val="36"/>
            <w:shd w:val="clear" w:color="auto" w:fill="CCEEFF"/>
          </w:tcPr>
          <w:p>
            <w:pPr>
              <w:spacing w:after="0" w:line="169" w:lineRule="exact"/>
              <w:rPr>
                <w:sz w:val="20"/>
                <w:szCs w:val="20"/>
                <w:color w:val="auto"/>
              </w:rPr>
            </w:pPr>
            <w:r>
              <w:rPr>
                <w:rFonts w:ascii="Arial" w:cs="Arial" w:eastAsia="Arial" w:hAnsi="Arial"/>
                <w:sz w:val="16"/>
                <w:szCs w:val="16"/>
                <w:color w:val="0000EE"/>
              </w:rPr>
              <w:t>Director Independence</w:t>
            </w:r>
          </w:p>
        </w:tc>
        <w:tc>
          <w:tcPr>
            <w:tcW w:w="320" w:type="dxa"/>
            <w:vAlign w:val="bottom"/>
            <w:gridSpan w:val="6"/>
            <w:shd w:val="clear" w:color="auto" w:fill="CCEEFF"/>
          </w:tcPr>
          <w:p>
            <w:pPr>
              <w:jc w:val="right"/>
              <w:ind w:right="60"/>
              <w:spacing w:after="0" w:line="169" w:lineRule="exact"/>
              <w:rPr>
                <w:sz w:val="20"/>
                <w:szCs w:val="20"/>
                <w:color w:val="auto"/>
              </w:rPr>
            </w:pPr>
            <w:r>
              <w:rPr>
                <w:rFonts w:ascii="Arial" w:cs="Arial" w:eastAsia="Arial" w:hAnsi="Arial"/>
                <w:sz w:val="16"/>
                <w:szCs w:val="16"/>
                <w:color w:val="0000EE"/>
              </w:rPr>
              <w:t>12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3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gridSpan w:val="2"/>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36"/>
          </w:tcPr>
          <w:p>
            <w:pPr>
              <w:spacing w:after="0" w:line="155" w:lineRule="exact"/>
              <w:rPr>
                <w:sz w:val="20"/>
                <w:szCs w:val="20"/>
                <w:color w:val="auto"/>
              </w:rPr>
            </w:pPr>
            <w:r>
              <w:rPr>
                <w:rFonts w:ascii="Arial" w:cs="Arial" w:eastAsia="Arial" w:hAnsi="Arial"/>
                <w:sz w:val="16"/>
                <w:szCs w:val="16"/>
                <w:color w:val="0000EE"/>
              </w:rPr>
              <w:t>Board Leadership Structure</w:t>
            </w:r>
          </w:p>
        </w:tc>
        <w:tc>
          <w:tcPr>
            <w:tcW w:w="320" w:type="dxa"/>
            <w:vAlign w:val="bottom"/>
            <w:gridSpan w:val="6"/>
          </w:tcPr>
          <w:p>
            <w:pPr>
              <w:jc w:val="right"/>
              <w:ind w:right="60"/>
              <w:spacing w:after="0" w:line="155" w:lineRule="exact"/>
              <w:rPr>
                <w:sz w:val="20"/>
                <w:szCs w:val="20"/>
                <w:color w:val="auto"/>
              </w:rPr>
            </w:pPr>
            <w:r>
              <w:rPr>
                <w:rFonts w:ascii="Arial" w:cs="Arial" w:eastAsia="Arial" w:hAnsi="Arial"/>
                <w:sz w:val="16"/>
                <w:szCs w:val="16"/>
                <w:color w:val="0000EE"/>
              </w:rPr>
              <w:t>12</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0" w:type="dxa"/>
            <w:vAlign w:val="bottom"/>
            <w:gridSpan w:val="9"/>
            <w:shd w:val="clear" w:color="auto" w:fill="CCEEFF"/>
          </w:tcPr>
          <w:p>
            <w:pPr>
              <w:spacing w:after="0" w:line="155" w:lineRule="exact"/>
              <w:rPr>
                <w:sz w:val="20"/>
                <w:szCs w:val="20"/>
                <w:color w:val="auto"/>
              </w:rPr>
            </w:pPr>
            <w:r>
              <w:rPr>
                <w:rFonts w:ascii="Arial" w:cs="Arial" w:eastAsia="Arial" w:hAnsi="Arial"/>
                <w:sz w:val="16"/>
                <w:szCs w:val="16"/>
                <w:color w:val="0000EE"/>
                <w:w w:val="99"/>
              </w:rPr>
              <w:t>Executive Sessions</w:t>
            </w:r>
          </w:p>
        </w:tc>
        <w:tc>
          <w:tcPr>
            <w:tcW w:w="2580" w:type="dxa"/>
            <w:vAlign w:val="bottom"/>
            <w:gridSpan w:val="27"/>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5"/>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12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3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gridSpan w:val="2"/>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36"/>
          </w:tcPr>
          <w:p>
            <w:pPr>
              <w:spacing w:after="0" w:line="155" w:lineRule="exact"/>
              <w:rPr>
                <w:sz w:val="20"/>
                <w:szCs w:val="20"/>
                <w:color w:val="auto"/>
              </w:rPr>
            </w:pPr>
            <w:r>
              <w:rPr>
                <w:rFonts w:ascii="Arial" w:cs="Arial" w:eastAsia="Arial" w:hAnsi="Arial"/>
                <w:sz w:val="16"/>
                <w:szCs w:val="16"/>
                <w:color w:val="0000EE"/>
              </w:rPr>
              <w:t>Meetings of the Board of Directors and Committees</w:t>
            </w:r>
          </w:p>
        </w:tc>
        <w:tc>
          <w:tcPr>
            <w:tcW w:w="320" w:type="dxa"/>
            <w:vAlign w:val="bottom"/>
            <w:gridSpan w:val="6"/>
          </w:tcPr>
          <w:p>
            <w:pPr>
              <w:jc w:val="right"/>
              <w:ind w:right="60"/>
              <w:spacing w:after="0" w:line="155" w:lineRule="exact"/>
              <w:rPr>
                <w:sz w:val="20"/>
                <w:szCs w:val="20"/>
                <w:color w:val="auto"/>
              </w:rPr>
            </w:pPr>
            <w:r>
              <w:rPr>
                <w:rFonts w:ascii="Arial" w:cs="Arial" w:eastAsia="Arial" w:hAnsi="Arial"/>
                <w:sz w:val="16"/>
                <w:szCs w:val="16"/>
                <w:color w:val="0000EE"/>
              </w:rPr>
              <w:t>13</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30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3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gridSpan w:val="6"/>
            <w:shd w:val="clear" w:color="auto" w:fill="CCEEFF"/>
          </w:tcPr>
          <w:p>
            <w:pPr>
              <w:spacing w:after="0" w:line="155" w:lineRule="exact"/>
              <w:rPr>
                <w:sz w:val="20"/>
                <w:szCs w:val="20"/>
                <w:color w:val="auto"/>
              </w:rPr>
            </w:pPr>
            <w:r>
              <w:rPr>
                <w:rFonts w:ascii="Arial" w:cs="Arial" w:eastAsia="Arial" w:hAnsi="Arial"/>
                <w:sz w:val="16"/>
                <w:szCs w:val="16"/>
                <w:color w:val="0000EE"/>
                <w:w w:val="99"/>
              </w:rPr>
              <w:t>Audit Committee</w:t>
            </w:r>
          </w:p>
        </w:tc>
        <w:tc>
          <w:tcPr>
            <w:tcW w:w="2780" w:type="dxa"/>
            <w:vAlign w:val="bottom"/>
            <w:gridSpan w:val="30"/>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5"/>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14</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3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gridSpan w:val="2"/>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36"/>
          </w:tcPr>
          <w:p>
            <w:pPr>
              <w:spacing w:after="0" w:line="155" w:lineRule="exact"/>
              <w:rPr>
                <w:sz w:val="20"/>
                <w:szCs w:val="20"/>
                <w:color w:val="auto"/>
              </w:rPr>
            </w:pPr>
            <w:r>
              <w:rPr>
                <w:rFonts w:ascii="Arial" w:cs="Arial" w:eastAsia="Arial" w:hAnsi="Arial"/>
                <w:sz w:val="16"/>
                <w:szCs w:val="16"/>
                <w:color w:val="0000EE"/>
              </w:rPr>
              <w:t>Compensation Committee</w:t>
            </w:r>
          </w:p>
        </w:tc>
        <w:tc>
          <w:tcPr>
            <w:tcW w:w="320" w:type="dxa"/>
            <w:vAlign w:val="bottom"/>
            <w:gridSpan w:val="6"/>
          </w:tcPr>
          <w:p>
            <w:pPr>
              <w:jc w:val="right"/>
              <w:ind w:right="60"/>
              <w:spacing w:after="0" w:line="155" w:lineRule="exact"/>
              <w:rPr>
                <w:sz w:val="20"/>
                <w:szCs w:val="20"/>
                <w:color w:val="auto"/>
              </w:rPr>
            </w:pPr>
            <w:r>
              <w:rPr>
                <w:rFonts w:ascii="Arial" w:cs="Arial" w:eastAsia="Arial" w:hAnsi="Arial"/>
                <w:sz w:val="16"/>
                <w:szCs w:val="16"/>
                <w:color w:val="0000EE"/>
              </w:rPr>
              <w:t>15</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20" w:type="dxa"/>
            <w:vAlign w:val="bottom"/>
            <w:gridSpan w:val="30"/>
            <w:shd w:val="clear" w:color="auto" w:fill="CCEEFF"/>
          </w:tcPr>
          <w:p>
            <w:pPr>
              <w:spacing w:after="0" w:line="155" w:lineRule="exact"/>
              <w:rPr>
                <w:sz w:val="20"/>
                <w:szCs w:val="20"/>
                <w:color w:val="auto"/>
              </w:rPr>
            </w:pPr>
            <w:r>
              <w:rPr>
                <w:rFonts w:ascii="Arial" w:cs="Arial" w:eastAsia="Arial" w:hAnsi="Arial"/>
                <w:sz w:val="16"/>
                <w:szCs w:val="16"/>
                <w:color w:val="0000EE"/>
                <w:w w:val="99"/>
              </w:rPr>
              <w:t>Nominating and Corporate Governance Committee</w:t>
            </w:r>
          </w:p>
        </w:tc>
        <w:tc>
          <w:tcPr>
            <w:tcW w:w="360" w:type="dxa"/>
            <w:vAlign w:val="bottom"/>
            <w:gridSpan w:val="6"/>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5"/>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16</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30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right w:val="single" w:sz="8" w:color="999999"/>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34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gridSpan w:val="2"/>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30"/>
          </w:tcPr>
          <w:p>
            <w:pPr>
              <w:spacing w:after="0" w:line="155" w:lineRule="exact"/>
              <w:rPr>
                <w:sz w:val="20"/>
                <w:szCs w:val="20"/>
                <w:color w:val="auto"/>
              </w:rPr>
            </w:pPr>
            <w:r>
              <w:rPr>
                <w:rFonts w:ascii="Arial" w:cs="Arial" w:eastAsia="Arial" w:hAnsi="Arial"/>
                <w:sz w:val="16"/>
                <w:szCs w:val="16"/>
                <w:color w:val="0000EE"/>
              </w:rPr>
              <w:t>Director Nominations</w:t>
            </w:r>
          </w:p>
        </w:tc>
        <w:tc>
          <w:tcPr>
            <w:tcW w:w="360" w:type="dxa"/>
            <w:vAlign w:val="bottom"/>
            <w:gridSpan w:val="6"/>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5"/>
          </w:tcPr>
          <w:p>
            <w:pPr>
              <w:jc w:val="right"/>
              <w:ind w:right="60"/>
              <w:spacing w:after="0" w:line="155" w:lineRule="exact"/>
              <w:rPr>
                <w:sz w:val="20"/>
                <w:szCs w:val="20"/>
                <w:color w:val="auto"/>
              </w:rPr>
            </w:pPr>
            <w:r>
              <w:rPr>
                <w:rFonts w:ascii="Arial" w:cs="Arial" w:eastAsia="Arial" w:hAnsi="Arial"/>
                <w:sz w:val="16"/>
                <w:szCs w:val="16"/>
                <w:color w:val="0000EE"/>
                <w:w w:val="89"/>
              </w:rPr>
              <w:t>17</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980" w:type="dxa"/>
            <w:vAlign w:val="bottom"/>
            <w:gridSpan w:val="36"/>
            <w:shd w:val="clear" w:color="auto" w:fill="CCEEFF"/>
          </w:tcPr>
          <w:p>
            <w:pPr>
              <w:spacing w:after="0" w:line="155" w:lineRule="exact"/>
              <w:rPr>
                <w:sz w:val="20"/>
                <w:szCs w:val="20"/>
                <w:color w:val="auto"/>
              </w:rPr>
            </w:pPr>
            <w:r>
              <w:rPr>
                <w:rFonts w:ascii="Arial" w:cs="Arial" w:eastAsia="Arial" w:hAnsi="Arial"/>
                <w:sz w:val="16"/>
                <w:szCs w:val="16"/>
                <w:color w:val="0000EE"/>
              </w:rPr>
              <w:t>Communications with the Board</w:t>
            </w:r>
          </w:p>
        </w:tc>
        <w:tc>
          <w:tcPr>
            <w:tcW w:w="320" w:type="dxa"/>
            <w:vAlign w:val="bottom"/>
            <w:gridSpan w:val="6"/>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rPr>
              <w:t>17</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30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3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gridSpan w:val="2"/>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19"/>
          </w:tcPr>
          <w:p>
            <w:pPr>
              <w:spacing w:after="0" w:line="155" w:lineRule="exact"/>
              <w:rPr>
                <w:sz w:val="20"/>
                <w:szCs w:val="20"/>
                <w:color w:val="auto"/>
              </w:rPr>
            </w:pPr>
            <w:r>
              <w:rPr>
                <w:rFonts w:ascii="Arial" w:cs="Arial" w:eastAsia="Arial" w:hAnsi="Arial"/>
                <w:sz w:val="16"/>
                <w:szCs w:val="16"/>
                <w:color w:val="0000EE"/>
              </w:rPr>
              <w:t>Stockholder Engagement</w:t>
            </w:r>
          </w:p>
        </w:tc>
        <w:tc>
          <w:tcPr>
            <w:tcW w:w="1720" w:type="dxa"/>
            <w:vAlign w:val="bottom"/>
            <w:gridSpan w:val="17"/>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5"/>
          </w:tcPr>
          <w:p>
            <w:pPr>
              <w:jc w:val="right"/>
              <w:ind w:right="60"/>
              <w:spacing w:after="0" w:line="155" w:lineRule="exact"/>
              <w:rPr>
                <w:sz w:val="20"/>
                <w:szCs w:val="20"/>
                <w:color w:val="auto"/>
              </w:rPr>
            </w:pPr>
            <w:r>
              <w:rPr>
                <w:rFonts w:ascii="Arial" w:cs="Arial" w:eastAsia="Arial" w:hAnsi="Arial"/>
                <w:sz w:val="16"/>
                <w:szCs w:val="16"/>
                <w:color w:val="0000EE"/>
                <w:w w:val="89"/>
              </w:rPr>
              <w:t>18</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80" w:type="dxa"/>
            <w:vAlign w:val="bottom"/>
            <w:gridSpan w:val="21"/>
            <w:shd w:val="clear" w:color="auto" w:fill="CCEEFF"/>
          </w:tcPr>
          <w:p>
            <w:pPr>
              <w:spacing w:after="0" w:line="155" w:lineRule="exact"/>
              <w:rPr>
                <w:sz w:val="20"/>
                <w:szCs w:val="20"/>
                <w:color w:val="auto"/>
              </w:rPr>
            </w:pPr>
            <w:r>
              <w:rPr>
                <w:rFonts w:ascii="Arial" w:cs="Arial" w:eastAsia="Arial" w:hAnsi="Arial"/>
                <w:sz w:val="16"/>
                <w:szCs w:val="16"/>
                <w:color w:val="0000EE"/>
                <w:w w:val="99"/>
              </w:rPr>
              <w:t>Management Succession Planning</w:t>
            </w:r>
          </w:p>
        </w:tc>
        <w:tc>
          <w:tcPr>
            <w:tcW w:w="1500" w:type="dxa"/>
            <w:vAlign w:val="bottom"/>
            <w:gridSpan w:val="15"/>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5"/>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18</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30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3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gridSpan w:val="2"/>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36"/>
          </w:tcPr>
          <w:p>
            <w:pPr>
              <w:spacing w:after="0" w:line="155" w:lineRule="exact"/>
              <w:rPr>
                <w:sz w:val="20"/>
                <w:szCs w:val="20"/>
                <w:color w:val="auto"/>
              </w:rPr>
            </w:pPr>
            <w:r>
              <w:rPr>
                <w:rFonts w:ascii="Arial" w:cs="Arial" w:eastAsia="Arial" w:hAnsi="Arial"/>
                <w:sz w:val="16"/>
                <w:szCs w:val="16"/>
                <w:color w:val="0000EE"/>
              </w:rPr>
              <w:t>Director Attendance at Annual Meetings</w:t>
            </w:r>
          </w:p>
        </w:tc>
        <w:tc>
          <w:tcPr>
            <w:tcW w:w="320" w:type="dxa"/>
            <w:vAlign w:val="bottom"/>
            <w:gridSpan w:val="6"/>
          </w:tcPr>
          <w:p>
            <w:pPr>
              <w:jc w:val="right"/>
              <w:ind w:right="60"/>
              <w:spacing w:after="0" w:line="155" w:lineRule="exact"/>
              <w:rPr>
                <w:sz w:val="20"/>
                <w:szCs w:val="20"/>
                <w:color w:val="auto"/>
              </w:rPr>
            </w:pPr>
            <w:r>
              <w:rPr>
                <w:rFonts w:ascii="Arial" w:cs="Arial" w:eastAsia="Arial" w:hAnsi="Arial"/>
                <w:sz w:val="16"/>
                <w:szCs w:val="16"/>
                <w:color w:val="0000EE"/>
              </w:rPr>
              <w:t>18</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30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700" w:type="dxa"/>
            <w:vAlign w:val="bottom"/>
            <w:gridSpan w:val="23"/>
            <w:shd w:val="clear" w:color="auto" w:fill="CCEEFF"/>
          </w:tcPr>
          <w:p>
            <w:pPr>
              <w:spacing w:after="0" w:line="155" w:lineRule="exact"/>
              <w:rPr>
                <w:sz w:val="20"/>
                <w:szCs w:val="20"/>
                <w:color w:val="auto"/>
              </w:rPr>
            </w:pPr>
            <w:r>
              <w:rPr>
                <w:rFonts w:ascii="Arial" w:cs="Arial" w:eastAsia="Arial" w:hAnsi="Arial"/>
                <w:sz w:val="16"/>
                <w:szCs w:val="16"/>
                <w:color w:val="0000EE"/>
                <w:w w:val="99"/>
              </w:rPr>
              <w:t>Code of Business Conduct and Ethics</w:t>
            </w:r>
          </w:p>
        </w:tc>
        <w:tc>
          <w:tcPr>
            <w:tcW w:w="1280" w:type="dxa"/>
            <w:vAlign w:val="bottom"/>
            <w:gridSpan w:val="13"/>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5"/>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18</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30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3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Borders>
              <w:bottom w:val="single" w:sz="8" w:color="0000EE"/>
            </w:tcBorders>
            <w:gridSpan w:val="28"/>
          </w:tcPr>
          <w:p>
            <w:pPr>
              <w:spacing w:after="0" w:line="163" w:lineRule="exact"/>
              <w:rPr>
                <w:sz w:val="20"/>
                <w:szCs w:val="20"/>
                <w:color w:val="auto"/>
              </w:rPr>
            </w:pPr>
            <w:r>
              <w:rPr>
                <w:rFonts w:ascii="Arial" w:cs="Arial" w:eastAsia="Arial" w:hAnsi="Arial"/>
                <w:sz w:val="16"/>
                <w:szCs w:val="16"/>
                <w:color w:val="0000EE"/>
                <w:w w:val="99"/>
              </w:rPr>
              <w:t>Compensation Committee Interlocks and Insider</w:t>
            </w:r>
          </w:p>
        </w:tc>
        <w:tc>
          <w:tcPr>
            <w:tcW w:w="560" w:type="dxa"/>
            <w:vAlign w:val="bottom"/>
            <w:gridSpan w:val="8"/>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36"/>
          </w:tcPr>
          <w:p>
            <w:pPr>
              <w:spacing w:after="0" w:line="183" w:lineRule="exact"/>
              <w:rPr>
                <w:sz w:val="20"/>
                <w:szCs w:val="20"/>
                <w:color w:val="auto"/>
              </w:rPr>
            </w:pPr>
            <w:r>
              <w:rPr>
                <w:rFonts w:ascii="Arial" w:cs="Arial" w:eastAsia="Arial" w:hAnsi="Arial"/>
                <w:sz w:val="16"/>
                <w:szCs w:val="16"/>
                <w:color w:val="0000EE"/>
              </w:rPr>
              <w:t>Participation</w:t>
            </w:r>
          </w:p>
        </w:tc>
        <w:tc>
          <w:tcPr>
            <w:tcW w:w="320" w:type="dxa"/>
            <w:vAlign w:val="bottom"/>
            <w:gridSpan w:val="6"/>
          </w:tcPr>
          <w:p>
            <w:pPr>
              <w:jc w:val="right"/>
              <w:ind w:right="60"/>
              <w:spacing w:after="0" w:line="183" w:lineRule="exact"/>
              <w:rPr>
                <w:sz w:val="20"/>
                <w:szCs w:val="20"/>
                <w:color w:val="auto"/>
              </w:rPr>
            </w:pPr>
            <w:r>
              <w:rPr>
                <w:rFonts w:ascii="Arial" w:cs="Arial" w:eastAsia="Arial" w:hAnsi="Arial"/>
                <w:sz w:val="16"/>
                <w:szCs w:val="16"/>
                <w:color w:val="0000EE"/>
              </w:rPr>
              <w:t>18</w:t>
            </w:r>
          </w:p>
        </w:tc>
        <w:tc>
          <w:tcPr>
            <w:tcW w:w="0" w:type="dxa"/>
            <w:vAlign w:val="bottom"/>
          </w:tcPr>
          <w:p>
            <w:pPr>
              <w:spacing w:after="0"/>
              <w:rPr>
                <w:sz w:val="1"/>
                <w:szCs w:val="1"/>
                <w:color w:val="auto"/>
              </w:rPr>
            </w:pPr>
          </w:p>
        </w:tc>
      </w:tr>
      <w:tr>
        <w:trPr>
          <w:trHeight w:val="21"/>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280" w:type="dxa"/>
            <w:vAlign w:val="bottom"/>
            <w:tcBorders>
              <w:bottom w:val="single" w:sz="8" w:color="0000EE"/>
            </w:tcBorders>
            <w:gridSpan w:val="27"/>
            <w:shd w:val="clear" w:color="auto" w:fill="CCEEFF"/>
          </w:tcPr>
          <w:p>
            <w:pPr>
              <w:spacing w:after="0" w:line="169" w:lineRule="exact"/>
              <w:rPr>
                <w:sz w:val="20"/>
                <w:szCs w:val="20"/>
                <w:color w:val="auto"/>
              </w:rPr>
            </w:pPr>
            <w:r>
              <w:rPr>
                <w:rFonts w:ascii="Arial" w:cs="Arial" w:eastAsia="Arial" w:hAnsi="Arial"/>
                <w:sz w:val="16"/>
                <w:szCs w:val="16"/>
                <w:color w:val="0000EE"/>
                <w:w w:val="99"/>
              </w:rPr>
              <w:t>Compensation Policies and Risk Management</w:t>
            </w:r>
          </w:p>
        </w:tc>
        <w:tc>
          <w:tcPr>
            <w:tcW w:w="700" w:type="dxa"/>
            <w:vAlign w:val="bottom"/>
            <w:tcBorders>
              <w:bottom w:val="single" w:sz="8" w:color="CCEEFF"/>
            </w:tcBorders>
            <w:gridSpan w:val="9"/>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gridSpan w:val="36"/>
            <w:shd w:val="clear" w:color="auto" w:fill="CCEEFF"/>
          </w:tcPr>
          <w:p>
            <w:pPr>
              <w:spacing w:after="0" w:line="183" w:lineRule="exact"/>
              <w:rPr>
                <w:sz w:val="20"/>
                <w:szCs w:val="20"/>
                <w:color w:val="auto"/>
              </w:rPr>
            </w:pPr>
            <w:r>
              <w:rPr>
                <w:rFonts w:ascii="Arial" w:cs="Arial" w:eastAsia="Arial" w:hAnsi="Arial"/>
                <w:sz w:val="16"/>
                <w:szCs w:val="16"/>
                <w:color w:val="0000EE"/>
              </w:rPr>
              <w:t>Practices</w:t>
            </w:r>
          </w:p>
        </w:tc>
        <w:tc>
          <w:tcPr>
            <w:tcW w:w="320" w:type="dxa"/>
            <w:vAlign w:val="bottom"/>
            <w:tcBorders>
              <w:bottom w:val="single" w:sz="8" w:color="auto"/>
            </w:tcBorders>
            <w:gridSpan w:val="6"/>
            <w:shd w:val="clear" w:color="auto" w:fill="CCEEFF"/>
          </w:tcPr>
          <w:p>
            <w:pPr>
              <w:jc w:val="right"/>
              <w:ind w:right="60"/>
              <w:spacing w:after="0" w:line="183" w:lineRule="exact"/>
              <w:rPr>
                <w:sz w:val="20"/>
                <w:szCs w:val="20"/>
                <w:color w:val="auto"/>
              </w:rPr>
            </w:pPr>
            <w:r>
              <w:rPr>
                <w:rFonts w:ascii="Arial" w:cs="Arial" w:eastAsia="Arial" w:hAnsi="Arial"/>
                <w:sz w:val="16"/>
                <w:szCs w:val="16"/>
                <w:color w:val="0000EE"/>
              </w:rPr>
              <w:t>19</w:t>
            </w:r>
          </w:p>
        </w:tc>
        <w:tc>
          <w:tcPr>
            <w:tcW w:w="0" w:type="dxa"/>
            <w:vAlign w:val="bottom"/>
          </w:tcPr>
          <w:p>
            <w:pPr>
              <w:spacing w:after="0"/>
              <w:rPr>
                <w:sz w:val="1"/>
                <w:szCs w:val="1"/>
                <w:color w:val="auto"/>
              </w:rPr>
            </w:pPr>
          </w:p>
        </w:tc>
      </w:tr>
      <w:tr>
        <w:trPr>
          <w:trHeight w:val="223"/>
        </w:trPr>
        <w:tc>
          <w:tcPr>
            <w:tcW w:w="4220" w:type="dxa"/>
            <w:vAlign w:val="bottom"/>
            <w:gridSpan w:val="38"/>
          </w:tcPr>
          <w:p>
            <w:pPr>
              <w:spacing w:after="0"/>
              <w:rPr>
                <w:sz w:val="20"/>
                <w:szCs w:val="20"/>
                <w:color w:val="auto"/>
              </w:rPr>
            </w:pPr>
            <w:r>
              <w:rPr>
                <w:rFonts w:ascii="Arial" w:cs="Arial" w:eastAsia="Arial" w:hAnsi="Arial"/>
                <w:sz w:val="16"/>
                <w:szCs w:val="16"/>
                <w:b w:val="1"/>
                <w:bCs w:val="1"/>
                <w:color w:val="4834BA"/>
                <w:w w:val="98"/>
              </w:rPr>
              <w:t>PROPOSAL NO. 2 RATIFICATION OF APPOINTMENT OF</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gridSpan w:val="3"/>
            <w:shd w:val="clear" w:color="auto" w:fill="4834BA"/>
          </w:tcPr>
          <w:p>
            <w:pPr>
              <w:spacing w:after="0" w:line="20" w:lineRule="exact"/>
              <w:rPr>
                <w:sz w:val="1"/>
                <w:szCs w:val="1"/>
                <w:color w:val="auto"/>
              </w:rPr>
            </w:pPr>
          </w:p>
        </w:tc>
        <w:tc>
          <w:tcPr>
            <w:tcW w:w="420" w:type="dxa"/>
            <w:vAlign w:val="bottom"/>
            <w:gridSpan w:val="3"/>
            <w:shd w:val="clear" w:color="auto" w:fill="4834BA"/>
          </w:tcPr>
          <w:p>
            <w:pPr>
              <w:spacing w:after="0" w:line="20" w:lineRule="exact"/>
              <w:rPr>
                <w:sz w:val="1"/>
                <w:szCs w:val="1"/>
                <w:color w:val="auto"/>
              </w:rPr>
            </w:pPr>
          </w:p>
        </w:tc>
        <w:tc>
          <w:tcPr>
            <w:tcW w:w="340" w:type="dxa"/>
            <w:vAlign w:val="bottom"/>
            <w:gridSpan w:val="4"/>
            <w:shd w:val="clear" w:color="auto" w:fill="4834BA"/>
          </w:tcPr>
          <w:p>
            <w:pPr>
              <w:spacing w:after="0" w:line="20" w:lineRule="exact"/>
              <w:rPr>
                <w:sz w:val="1"/>
                <w:szCs w:val="1"/>
                <w:color w:val="auto"/>
              </w:rPr>
            </w:pPr>
          </w:p>
        </w:tc>
        <w:tc>
          <w:tcPr>
            <w:tcW w:w="280" w:type="dxa"/>
            <w:vAlign w:val="bottom"/>
            <w:gridSpan w:val="5"/>
            <w:shd w:val="clear" w:color="auto" w:fill="4834BA"/>
          </w:tcPr>
          <w:p>
            <w:pPr>
              <w:spacing w:after="0" w:line="20" w:lineRule="exact"/>
              <w:rPr>
                <w:sz w:val="1"/>
                <w:szCs w:val="1"/>
                <w:color w:val="auto"/>
              </w:rPr>
            </w:pPr>
          </w:p>
        </w:tc>
        <w:tc>
          <w:tcPr>
            <w:tcW w:w="700" w:type="dxa"/>
            <w:vAlign w:val="bottom"/>
            <w:gridSpan w:val="7"/>
            <w:shd w:val="clear" w:color="auto" w:fill="4834BA"/>
          </w:tcPr>
          <w:p>
            <w:pPr>
              <w:spacing w:after="0" w:line="20" w:lineRule="exact"/>
              <w:rPr>
                <w:sz w:val="1"/>
                <w:szCs w:val="1"/>
                <w:color w:val="auto"/>
              </w:rPr>
            </w:pPr>
          </w:p>
        </w:tc>
        <w:tc>
          <w:tcPr>
            <w:tcW w:w="180" w:type="dxa"/>
            <w:vAlign w:val="bottom"/>
            <w:gridSpan w:val="2"/>
            <w:shd w:val="clear" w:color="auto" w:fill="4834BA"/>
          </w:tcPr>
          <w:p>
            <w:pPr>
              <w:spacing w:after="0" w:line="20" w:lineRule="exact"/>
              <w:rPr>
                <w:sz w:val="1"/>
                <w:szCs w:val="1"/>
                <w:color w:val="auto"/>
              </w:rPr>
            </w:pPr>
          </w:p>
        </w:tc>
        <w:tc>
          <w:tcPr>
            <w:tcW w:w="300" w:type="dxa"/>
            <w:vAlign w:val="bottom"/>
            <w:tcBorders>
              <w:right w:val="single" w:sz="8" w:color="4834BA"/>
            </w:tcBorders>
            <w:gridSpan w:val="2"/>
            <w:shd w:val="clear" w:color="auto" w:fill="4834BA"/>
          </w:tcPr>
          <w:p>
            <w:pPr>
              <w:spacing w:after="0" w:line="20" w:lineRule="exact"/>
              <w:rPr>
                <w:sz w:val="1"/>
                <w:szCs w:val="1"/>
                <w:color w:val="auto"/>
              </w:rPr>
            </w:pPr>
          </w:p>
        </w:tc>
        <w:tc>
          <w:tcPr>
            <w:tcW w:w="100" w:type="dxa"/>
            <w:vAlign w:val="bottom"/>
            <w:gridSpan w:val="2"/>
            <w:shd w:val="clear" w:color="auto" w:fill="4834BA"/>
          </w:tcPr>
          <w:p>
            <w:pPr>
              <w:spacing w:after="0" w:line="20" w:lineRule="exact"/>
              <w:rPr>
                <w:sz w:val="1"/>
                <w:szCs w:val="1"/>
                <w:color w:val="auto"/>
              </w:rPr>
            </w:pPr>
          </w:p>
        </w:tc>
        <w:tc>
          <w:tcPr>
            <w:tcW w:w="640" w:type="dxa"/>
            <w:vAlign w:val="bottom"/>
            <w:gridSpan w:val="3"/>
            <w:shd w:val="clear" w:color="auto" w:fill="4834BA"/>
          </w:tcPr>
          <w:p>
            <w:pPr>
              <w:spacing w:after="0" w:line="20" w:lineRule="exact"/>
              <w:rPr>
                <w:sz w:val="1"/>
                <w:szCs w:val="1"/>
                <w:color w:val="auto"/>
              </w:rPr>
            </w:pPr>
          </w:p>
        </w:tc>
        <w:tc>
          <w:tcPr>
            <w:tcW w:w="60" w:type="dxa"/>
            <w:vAlign w:val="bottom"/>
            <w:gridSpan w:val="2"/>
            <w:shd w:val="clear" w:color="auto" w:fill="4834BA"/>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tcBorders>
              <w:bottom w:val="single" w:sz="8" w:color="4834BA"/>
            </w:tcBorders>
            <w:gridSpan w:val="36"/>
          </w:tcPr>
          <w:p>
            <w:pPr>
              <w:spacing w:after="0" w:line="169" w:lineRule="exact"/>
              <w:rPr>
                <w:sz w:val="20"/>
                <w:szCs w:val="20"/>
                <w:color w:val="auto"/>
              </w:rPr>
            </w:pPr>
            <w:r>
              <w:rPr>
                <w:rFonts w:ascii="Arial" w:cs="Arial" w:eastAsia="Arial" w:hAnsi="Arial"/>
                <w:sz w:val="16"/>
                <w:szCs w:val="16"/>
                <w:b w:val="1"/>
                <w:bCs w:val="1"/>
                <w:color w:val="4834BA"/>
                <w:w w:val="91"/>
              </w:rPr>
              <w:t>INDEPENDENT REGISTERED PUBLIC ACCOUNTING FIRM</w:t>
            </w:r>
          </w:p>
        </w:tc>
        <w:tc>
          <w:tcPr>
            <w:tcW w:w="160" w:type="dxa"/>
            <w:vAlign w:val="bottom"/>
            <w:gridSpan w:val="2"/>
          </w:tcPr>
          <w:p>
            <w:pPr>
              <w:spacing w:after="0"/>
              <w:rPr>
                <w:sz w:val="17"/>
                <w:szCs w:val="17"/>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834BA"/>
            </w:tcBorders>
            <w:gridSpan w:val="3"/>
          </w:tcPr>
          <w:p>
            <w:pPr>
              <w:jc w:val="right"/>
              <w:spacing w:after="0" w:line="183" w:lineRule="exact"/>
              <w:rPr>
                <w:sz w:val="20"/>
                <w:szCs w:val="20"/>
                <w:color w:val="auto"/>
              </w:rPr>
            </w:pPr>
            <w:r>
              <w:rPr>
                <w:rFonts w:ascii="Arial" w:cs="Arial" w:eastAsia="Arial" w:hAnsi="Arial"/>
                <w:sz w:val="16"/>
                <w:szCs w:val="16"/>
                <w:b w:val="1"/>
                <w:bCs w:val="1"/>
                <w:color w:val="4834BA"/>
                <w:w w:val="78"/>
              </w:rPr>
              <w:t>20</w:t>
            </w: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gridSpan w:val="2"/>
            <w:vMerge w:val="continue"/>
          </w:tcPr>
          <w:p>
            <w:pPr>
              <w:spacing w:after="0"/>
              <w:rPr>
                <w:sz w:val="5"/>
                <w:szCs w:val="5"/>
                <w:color w:val="auto"/>
              </w:rPr>
            </w:pPr>
          </w:p>
        </w:tc>
        <w:tc>
          <w:tcPr>
            <w:tcW w:w="16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980" w:type="dxa"/>
            <w:vAlign w:val="bottom"/>
            <w:tcBorders>
              <w:bottom w:val="single" w:sz="8" w:color="auto"/>
            </w:tcBorders>
            <w:gridSpan w:val="36"/>
            <w:shd w:val="clear" w:color="auto" w:fill="CCEEFF"/>
          </w:tcPr>
          <w:p>
            <w:pPr>
              <w:spacing w:after="0" w:line="169" w:lineRule="exact"/>
              <w:rPr>
                <w:sz w:val="20"/>
                <w:szCs w:val="20"/>
                <w:color w:val="auto"/>
              </w:rPr>
            </w:pPr>
            <w:r>
              <w:rPr>
                <w:rFonts w:ascii="Arial" w:cs="Arial" w:eastAsia="Arial" w:hAnsi="Arial"/>
                <w:sz w:val="16"/>
                <w:szCs w:val="16"/>
                <w:color w:val="0000EE"/>
                <w:w w:val="99"/>
              </w:rPr>
              <w:t>Vote Required and Board of Directors Recommendation</w:t>
            </w:r>
          </w:p>
        </w:tc>
        <w:tc>
          <w:tcPr>
            <w:tcW w:w="320" w:type="dxa"/>
            <w:vAlign w:val="bottom"/>
            <w:tcBorders>
              <w:bottom w:val="single" w:sz="8" w:color="auto"/>
            </w:tcBorders>
            <w:gridSpan w:val="6"/>
            <w:shd w:val="clear" w:color="auto" w:fill="CCEEFF"/>
          </w:tcPr>
          <w:p>
            <w:pPr>
              <w:jc w:val="right"/>
              <w:ind w:right="60"/>
              <w:spacing w:after="0" w:line="169" w:lineRule="exact"/>
              <w:rPr>
                <w:sz w:val="20"/>
                <w:szCs w:val="20"/>
                <w:color w:val="auto"/>
              </w:rPr>
            </w:pPr>
            <w:r>
              <w:rPr>
                <w:rFonts w:ascii="Arial" w:cs="Arial" w:eastAsia="Arial" w:hAnsi="Arial"/>
                <w:sz w:val="16"/>
                <w:szCs w:val="16"/>
                <w:color w:val="0000EE"/>
              </w:rPr>
              <w:t>21</w:t>
            </w:r>
          </w:p>
        </w:tc>
        <w:tc>
          <w:tcPr>
            <w:tcW w:w="0" w:type="dxa"/>
            <w:vAlign w:val="bottom"/>
          </w:tcPr>
          <w:p>
            <w:pPr>
              <w:spacing w:after="0"/>
              <w:rPr>
                <w:sz w:val="1"/>
                <w:szCs w:val="1"/>
                <w:color w:val="auto"/>
              </w:rPr>
            </w:pPr>
          </w:p>
        </w:tc>
      </w:tr>
      <w:tr>
        <w:trPr>
          <w:trHeight w:val="217"/>
        </w:trPr>
        <w:tc>
          <w:tcPr>
            <w:tcW w:w="2600" w:type="dxa"/>
            <w:vAlign w:val="bottom"/>
            <w:tcBorders>
              <w:bottom w:val="single" w:sz="8" w:color="4834BA"/>
            </w:tcBorders>
            <w:gridSpan w:val="22"/>
          </w:tcPr>
          <w:p>
            <w:pPr>
              <w:spacing w:after="0"/>
              <w:rPr>
                <w:sz w:val="20"/>
                <w:szCs w:val="20"/>
                <w:color w:val="auto"/>
              </w:rPr>
            </w:pPr>
            <w:r>
              <w:rPr>
                <w:rFonts w:ascii="Arial" w:cs="Arial" w:eastAsia="Arial" w:hAnsi="Arial"/>
                <w:sz w:val="16"/>
                <w:szCs w:val="16"/>
                <w:b w:val="1"/>
                <w:bCs w:val="1"/>
                <w:color w:val="4834BA"/>
                <w:w w:val="90"/>
              </w:rPr>
              <w:t>REPORT OF THE AUDIT COMMITTEE</w:t>
            </w:r>
          </w:p>
        </w:tc>
        <w:tc>
          <w:tcPr>
            <w:tcW w:w="180" w:type="dxa"/>
            <w:vAlign w:val="bottom"/>
            <w:gridSpan w:val="2"/>
            <w:vMerge w:val="restart"/>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640" w:type="dxa"/>
            <w:vAlign w:val="bottom"/>
            <w:gridSpan w:val="3"/>
            <w:vMerge w:val="restart"/>
          </w:tcPr>
          <w:p>
            <w:pPr>
              <w:spacing w:after="0"/>
              <w:rPr>
                <w:sz w:val="18"/>
                <w:szCs w:val="18"/>
                <w:color w:val="auto"/>
              </w:rPr>
            </w:pPr>
          </w:p>
        </w:tc>
        <w:tc>
          <w:tcPr>
            <w:tcW w:w="20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gridSpan w:val="3"/>
            <w:vMerge w:val="restart"/>
          </w:tcPr>
          <w:p>
            <w:pPr>
              <w:spacing w:after="0"/>
              <w:rPr>
                <w:sz w:val="18"/>
                <w:szCs w:val="18"/>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4834BA"/>
              </w:rPr>
              <w:t>​​</w:t>
            </w:r>
          </w:p>
        </w:tc>
        <w:tc>
          <w:tcPr>
            <w:tcW w:w="160" w:type="dxa"/>
            <w:vAlign w:val="bottom"/>
            <w:tcBorders>
              <w:bottom w:val="single" w:sz="8" w:color="4834BA"/>
            </w:tcBorders>
            <w:gridSpan w:val="3"/>
          </w:tcPr>
          <w:p>
            <w:pPr>
              <w:jc w:val="right"/>
              <w:spacing w:after="0"/>
              <w:rPr>
                <w:sz w:val="20"/>
                <w:szCs w:val="20"/>
                <w:color w:val="auto"/>
              </w:rPr>
            </w:pPr>
            <w:r>
              <w:rPr>
                <w:rFonts w:ascii="Arial" w:cs="Arial" w:eastAsia="Arial" w:hAnsi="Arial"/>
                <w:sz w:val="16"/>
                <w:szCs w:val="16"/>
                <w:b w:val="1"/>
                <w:bCs w:val="1"/>
                <w:color w:val="4834BA"/>
                <w:w w:val="78"/>
              </w:rPr>
              <w:t>22</w:t>
            </w: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860" w:type="dxa"/>
            <w:vAlign w:val="bottom"/>
            <w:tcBorders>
              <w:bottom w:val="single" w:sz="8" w:color="auto"/>
            </w:tcBorders>
            <w:gridSpan w:val="3"/>
          </w:tcPr>
          <w:p>
            <w:pPr>
              <w:spacing w:after="0"/>
              <w:rPr>
                <w:sz w:val="6"/>
                <w:szCs w:val="6"/>
                <w:color w:val="auto"/>
              </w:rPr>
            </w:pPr>
          </w:p>
        </w:tc>
        <w:tc>
          <w:tcPr>
            <w:tcW w:w="4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gridSpan w:val="4"/>
          </w:tcPr>
          <w:p>
            <w:pPr>
              <w:spacing w:after="0"/>
              <w:rPr>
                <w:sz w:val="6"/>
                <w:szCs w:val="6"/>
                <w:color w:val="auto"/>
              </w:rPr>
            </w:pPr>
          </w:p>
        </w:tc>
        <w:tc>
          <w:tcPr>
            <w:tcW w:w="280" w:type="dxa"/>
            <w:vAlign w:val="bottom"/>
            <w:tcBorders>
              <w:bottom w:val="single" w:sz="8" w:color="auto"/>
            </w:tcBorders>
            <w:gridSpan w:val="5"/>
          </w:tcPr>
          <w:p>
            <w:pPr>
              <w:spacing w:after="0"/>
              <w:rPr>
                <w:sz w:val="6"/>
                <w:szCs w:val="6"/>
                <w:color w:val="auto"/>
              </w:rPr>
            </w:pPr>
          </w:p>
        </w:tc>
        <w:tc>
          <w:tcPr>
            <w:tcW w:w="700" w:type="dxa"/>
            <w:vAlign w:val="bottom"/>
            <w:tcBorders>
              <w:bottom w:val="single" w:sz="8" w:color="auto"/>
            </w:tcBorders>
            <w:gridSpan w:val="7"/>
          </w:tcPr>
          <w:p>
            <w:pPr>
              <w:spacing w:after="0"/>
              <w:rPr>
                <w:sz w:val="6"/>
                <w:szCs w:val="6"/>
                <w:color w:val="auto"/>
              </w:rPr>
            </w:pPr>
          </w:p>
        </w:tc>
        <w:tc>
          <w:tcPr>
            <w:tcW w:w="180" w:type="dxa"/>
            <w:vAlign w:val="bottom"/>
            <w:tcBorders>
              <w:bottom w:val="single" w:sz="8" w:color="auto"/>
            </w:tcBorders>
            <w:gridSpan w:val="2"/>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gridSpan w:val="2"/>
            <w:vMerge w:val="continue"/>
          </w:tcPr>
          <w:p>
            <w:pPr>
              <w:spacing w:after="0"/>
              <w:rPr>
                <w:sz w:val="6"/>
                <w:szCs w:val="6"/>
                <w:color w:val="auto"/>
              </w:rPr>
            </w:pPr>
          </w:p>
        </w:tc>
        <w:tc>
          <w:tcPr>
            <w:tcW w:w="64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gridSpan w:val="3"/>
            <w:vMerge w:val="continue"/>
          </w:tcPr>
          <w:p>
            <w:pPr>
              <w:spacing w:after="0"/>
              <w:rPr>
                <w:sz w:val="6"/>
                <w:szCs w:val="6"/>
                <w:color w:val="auto"/>
              </w:rPr>
            </w:pPr>
          </w:p>
        </w:tc>
        <w:tc>
          <w:tcPr>
            <w:tcW w:w="10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220" w:type="dxa"/>
            <w:vAlign w:val="bottom"/>
            <w:gridSpan w:val="38"/>
            <w:shd w:val="clear" w:color="auto" w:fill="CCEEFF"/>
          </w:tcPr>
          <w:p>
            <w:pPr>
              <w:spacing w:after="0"/>
              <w:rPr>
                <w:sz w:val="20"/>
                <w:szCs w:val="20"/>
                <w:color w:val="auto"/>
              </w:rPr>
            </w:pPr>
            <w:r>
              <w:rPr>
                <w:rFonts w:ascii="Arial" w:cs="Arial" w:eastAsia="Arial" w:hAnsi="Arial"/>
                <w:sz w:val="16"/>
                <w:szCs w:val="16"/>
                <w:b w:val="1"/>
                <w:bCs w:val="1"/>
                <w:color w:val="4834BA"/>
              </w:rPr>
              <w:t>PROPOSAL NO. 3 ADVISORY VOTE ON THE</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gridSpan w:val="3"/>
            <w:shd w:val="clear" w:color="auto" w:fill="4834BA"/>
          </w:tcPr>
          <w:p>
            <w:pPr>
              <w:spacing w:after="0" w:line="20" w:lineRule="exact"/>
              <w:rPr>
                <w:sz w:val="1"/>
                <w:szCs w:val="1"/>
                <w:color w:val="auto"/>
              </w:rPr>
            </w:pPr>
          </w:p>
        </w:tc>
        <w:tc>
          <w:tcPr>
            <w:tcW w:w="420" w:type="dxa"/>
            <w:vAlign w:val="bottom"/>
            <w:gridSpan w:val="3"/>
            <w:shd w:val="clear" w:color="auto" w:fill="4834BA"/>
          </w:tcPr>
          <w:p>
            <w:pPr>
              <w:spacing w:after="0" w:line="20" w:lineRule="exact"/>
              <w:rPr>
                <w:sz w:val="1"/>
                <w:szCs w:val="1"/>
                <w:color w:val="auto"/>
              </w:rPr>
            </w:pPr>
          </w:p>
        </w:tc>
        <w:tc>
          <w:tcPr>
            <w:tcW w:w="340" w:type="dxa"/>
            <w:vAlign w:val="bottom"/>
            <w:gridSpan w:val="4"/>
            <w:shd w:val="clear" w:color="auto" w:fill="4834BA"/>
          </w:tcPr>
          <w:p>
            <w:pPr>
              <w:spacing w:after="0" w:line="20" w:lineRule="exact"/>
              <w:rPr>
                <w:sz w:val="1"/>
                <w:szCs w:val="1"/>
                <w:color w:val="auto"/>
              </w:rPr>
            </w:pPr>
          </w:p>
        </w:tc>
        <w:tc>
          <w:tcPr>
            <w:tcW w:w="280" w:type="dxa"/>
            <w:vAlign w:val="bottom"/>
            <w:gridSpan w:val="5"/>
            <w:shd w:val="clear" w:color="auto" w:fill="4834BA"/>
          </w:tcPr>
          <w:p>
            <w:pPr>
              <w:spacing w:after="0" w:line="20" w:lineRule="exact"/>
              <w:rPr>
                <w:sz w:val="1"/>
                <w:szCs w:val="1"/>
                <w:color w:val="auto"/>
              </w:rPr>
            </w:pPr>
          </w:p>
        </w:tc>
        <w:tc>
          <w:tcPr>
            <w:tcW w:w="880" w:type="dxa"/>
            <w:vAlign w:val="bottom"/>
            <w:gridSpan w:val="9"/>
            <w:shd w:val="clear" w:color="auto" w:fill="4834BA"/>
          </w:tcPr>
          <w:p>
            <w:pPr>
              <w:spacing w:after="0" w:line="20" w:lineRule="exact"/>
              <w:rPr>
                <w:sz w:val="1"/>
                <w:szCs w:val="1"/>
                <w:color w:val="auto"/>
              </w:rPr>
            </w:pPr>
          </w:p>
        </w:tc>
        <w:tc>
          <w:tcPr>
            <w:tcW w:w="300" w:type="dxa"/>
            <w:vAlign w:val="bottom"/>
            <w:tcBorders>
              <w:right w:val="single" w:sz="8" w:color="4834BA"/>
            </w:tcBorders>
            <w:gridSpan w:val="2"/>
            <w:shd w:val="clear" w:color="auto" w:fill="4834BA"/>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40" w:type="dxa"/>
            <w:vAlign w:val="bottom"/>
            <w:gridSpan w:val="3"/>
            <w:shd w:val="clear" w:color="auto" w:fill="CCEEFF"/>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320" w:type="dxa"/>
            <w:vAlign w:val="bottom"/>
            <w:gridSpan w:val="6"/>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40" w:type="dxa"/>
            <w:vAlign w:val="bottom"/>
            <w:tcBorders>
              <w:bottom w:val="single" w:sz="8" w:color="4834BA"/>
            </w:tcBorders>
            <w:gridSpan w:val="35"/>
            <w:shd w:val="clear" w:color="auto" w:fill="CCEEFF"/>
          </w:tcPr>
          <w:p>
            <w:pPr>
              <w:spacing w:after="0" w:line="169" w:lineRule="exact"/>
              <w:rPr>
                <w:sz w:val="20"/>
                <w:szCs w:val="20"/>
                <w:color w:val="auto"/>
              </w:rPr>
            </w:pPr>
            <w:r>
              <w:rPr>
                <w:rFonts w:ascii="Arial" w:cs="Arial" w:eastAsia="Arial" w:hAnsi="Arial"/>
                <w:sz w:val="16"/>
                <w:szCs w:val="16"/>
                <w:b w:val="1"/>
                <w:bCs w:val="1"/>
                <w:color w:val="4834BA"/>
                <w:w w:val="91"/>
              </w:rPr>
              <w:t>COMPENSATION OF OUR NAMED EXECUTIVE OFFICERS</w:t>
            </w:r>
          </w:p>
        </w:tc>
        <w:tc>
          <w:tcPr>
            <w:tcW w:w="18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gridSpan w:val="3"/>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4834BA"/>
                <w:w w:val="78"/>
              </w:rPr>
              <w:t>23</w:t>
            </w:r>
          </w:p>
        </w:tc>
        <w:tc>
          <w:tcPr>
            <w:tcW w:w="60" w:type="dxa"/>
            <w:vAlign w:val="bottom"/>
            <w:tcBorders>
              <w:bottom w:val="single" w:sz="8" w:color="CCEEFF"/>
            </w:tcBorders>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6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20" w:type="dxa"/>
            <w:vAlign w:val="bottom"/>
            <w:tcBorders>
              <w:top w:val="single" w:sz="8" w:color="CCEEFF"/>
              <w:bottom w:val="single" w:sz="8" w:color="auto"/>
            </w:tcBorders>
            <w:shd w:val="clear" w:color="auto" w:fill="CCEEFF"/>
          </w:tcPr>
          <w:p>
            <w:pPr>
              <w:spacing w:after="0"/>
              <w:rPr>
                <w:sz w:val="5"/>
                <w:szCs w:val="5"/>
                <w:color w:val="auto"/>
              </w:rPr>
            </w:pPr>
          </w:p>
        </w:tc>
        <w:tc>
          <w:tcPr>
            <w:tcW w:w="16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120" w:type="dxa"/>
            <w:vAlign w:val="bottom"/>
            <w:tcBorders>
              <w:top w:val="single" w:sz="8" w:color="CCEEFF"/>
              <w:bottom w:val="single" w:sz="8" w:color="auto"/>
            </w:tcBorders>
            <w:shd w:val="clear" w:color="auto" w:fill="CCEEFF"/>
          </w:tcPr>
          <w:p>
            <w:pPr>
              <w:spacing w:after="0"/>
              <w:rPr>
                <w:sz w:val="5"/>
                <w:szCs w:val="5"/>
                <w:color w:val="auto"/>
              </w:rPr>
            </w:pPr>
          </w:p>
        </w:tc>
        <w:tc>
          <w:tcPr>
            <w:tcW w:w="16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1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1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300" w:type="dxa"/>
            <w:vAlign w:val="bottom"/>
            <w:tcBorders>
              <w:top w:val="single" w:sz="8" w:color="CCEEFF"/>
              <w:bottom w:val="single" w:sz="8" w:color="auto"/>
            </w:tcBorders>
            <w:shd w:val="clear" w:color="auto" w:fill="CCEEFF"/>
          </w:tcPr>
          <w:p>
            <w:pPr>
              <w:spacing w:after="0"/>
              <w:rPr>
                <w:sz w:val="5"/>
                <w:szCs w:val="5"/>
                <w:color w:val="auto"/>
              </w:rPr>
            </w:pPr>
          </w:p>
        </w:tc>
        <w:tc>
          <w:tcPr>
            <w:tcW w:w="100" w:type="dxa"/>
            <w:vAlign w:val="bottom"/>
            <w:tcBorders>
              <w:top w:val="single" w:sz="8" w:color="CCEEFF"/>
              <w:bottom w:val="single" w:sz="8" w:color="auto"/>
            </w:tcBorders>
            <w:shd w:val="clear" w:color="auto" w:fill="CCEEFF"/>
          </w:tcPr>
          <w:p>
            <w:pPr>
              <w:spacing w:after="0"/>
              <w:rPr>
                <w:sz w:val="5"/>
                <w:szCs w:val="5"/>
                <w:color w:val="auto"/>
              </w:rPr>
            </w:pPr>
          </w:p>
        </w:tc>
        <w:tc>
          <w:tcPr>
            <w:tcW w:w="120" w:type="dxa"/>
            <w:vAlign w:val="bottom"/>
            <w:tcBorders>
              <w:top w:val="single" w:sz="8" w:color="CCEEFF"/>
              <w:bottom w:val="single" w:sz="8" w:color="auto"/>
            </w:tcBorders>
            <w:shd w:val="clear" w:color="auto" w:fill="CCEEFF"/>
          </w:tcPr>
          <w:p>
            <w:pPr>
              <w:spacing w:after="0"/>
              <w:rPr>
                <w:sz w:val="5"/>
                <w:szCs w:val="5"/>
                <w:color w:val="auto"/>
              </w:rPr>
            </w:pPr>
          </w:p>
        </w:tc>
        <w:tc>
          <w:tcPr>
            <w:tcW w:w="60" w:type="dxa"/>
            <w:vAlign w:val="bottom"/>
            <w:tcBorders>
              <w:top w:val="single" w:sz="8" w:color="CCEEFF"/>
              <w:bottom w:val="single" w:sz="8" w:color="auto"/>
            </w:tcBorders>
            <w:shd w:val="clear" w:color="auto" w:fill="CCEEFF"/>
          </w:tcPr>
          <w:p>
            <w:pPr>
              <w:spacing w:after="0"/>
              <w:rPr>
                <w:sz w:val="5"/>
                <w:szCs w:val="5"/>
                <w:color w:val="auto"/>
              </w:rPr>
            </w:pPr>
          </w:p>
        </w:tc>
        <w:tc>
          <w:tcPr>
            <w:tcW w:w="160" w:type="dxa"/>
            <w:vAlign w:val="bottom"/>
            <w:tcBorders>
              <w:top w:val="single" w:sz="8" w:color="CCEEFF"/>
              <w:bottom w:val="single" w:sz="8" w:color="auto"/>
            </w:tcBorders>
            <w:shd w:val="clear" w:color="auto" w:fill="CCEEFF"/>
          </w:tcPr>
          <w:p>
            <w:pPr>
              <w:spacing w:after="0"/>
              <w:rPr>
                <w:sz w:val="5"/>
                <w:szCs w:val="5"/>
                <w:color w:val="auto"/>
              </w:rPr>
            </w:pPr>
          </w:p>
        </w:tc>
        <w:tc>
          <w:tcPr>
            <w:tcW w:w="140" w:type="dxa"/>
            <w:vAlign w:val="bottom"/>
            <w:tcBorders>
              <w:top w:val="single" w:sz="8" w:color="CCEEFF"/>
              <w:bottom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340" w:type="dxa"/>
            <w:vAlign w:val="bottom"/>
            <w:tcBorders>
              <w:top w:val="single" w:sz="8" w:color="CCEEFF"/>
              <w:bottom w:val="single" w:sz="8" w:color="auto"/>
            </w:tcBorders>
            <w:shd w:val="clear" w:color="auto" w:fill="CCEEFF"/>
          </w:tcPr>
          <w:p>
            <w:pPr>
              <w:spacing w:after="0"/>
              <w:rPr>
                <w:sz w:val="5"/>
                <w:szCs w:val="5"/>
                <w:color w:val="auto"/>
              </w:rPr>
            </w:pPr>
          </w:p>
        </w:tc>
        <w:tc>
          <w:tcPr>
            <w:tcW w:w="140" w:type="dxa"/>
            <w:vAlign w:val="bottom"/>
            <w:tcBorders>
              <w:top w:val="single" w:sz="8" w:color="CCEEFF"/>
              <w:bottom w:val="single" w:sz="8" w:color="auto"/>
            </w:tcBorders>
            <w:shd w:val="clear" w:color="auto" w:fill="CCEEFF"/>
          </w:tcPr>
          <w:p>
            <w:pPr>
              <w:spacing w:after="0"/>
              <w:rPr>
                <w:sz w:val="5"/>
                <w:szCs w:val="5"/>
                <w:color w:val="auto"/>
              </w:rPr>
            </w:pPr>
          </w:p>
        </w:tc>
        <w:tc>
          <w:tcPr>
            <w:tcW w:w="16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00" w:type="dxa"/>
            <w:vAlign w:val="bottom"/>
            <w:tcBorders>
              <w:top w:val="single" w:sz="8" w:color="CCEEFF"/>
              <w:bottom w:val="single" w:sz="8" w:color="auto"/>
            </w:tcBorders>
            <w:gridSpan w:val="2"/>
            <w:vMerge w:val="continue"/>
            <w:shd w:val="clear" w:color="auto" w:fill="CCEEFF"/>
          </w:tcPr>
          <w:p>
            <w:pPr>
              <w:spacing w:after="0"/>
              <w:rPr>
                <w:sz w:val="5"/>
                <w:szCs w:val="5"/>
                <w:color w:val="auto"/>
              </w:rPr>
            </w:pPr>
          </w:p>
        </w:tc>
        <w:tc>
          <w:tcPr>
            <w:tcW w:w="160" w:type="dxa"/>
            <w:vAlign w:val="bottom"/>
            <w:tcBorders>
              <w:top w:val="single" w:sz="8" w:color="4834BA"/>
              <w:bottom w:val="single" w:sz="8" w:color="auto"/>
            </w:tcBorders>
            <w:gridSpan w:val="3"/>
            <w:shd w:val="clear" w:color="auto" w:fill="CCEEFF"/>
          </w:tcPr>
          <w:p>
            <w:pPr>
              <w:spacing w:after="0"/>
              <w:rPr>
                <w:sz w:val="5"/>
                <w:szCs w:val="5"/>
                <w:color w:val="auto"/>
              </w:rPr>
            </w:pPr>
          </w:p>
        </w:tc>
        <w:tc>
          <w:tcPr>
            <w:tcW w:w="60" w:type="dxa"/>
            <w:vAlign w:val="bottom"/>
            <w:tcBorders>
              <w:top w:val="single" w:sz="8" w:color="CCEEFF"/>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36"/>
          </w:tcPr>
          <w:p>
            <w:pPr>
              <w:spacing w:after="0" w:line="169" w:lineRule="exact"/>
              <w:rPr>
                <w:sz w:val="20"/>
                <w:szCs w:val="20"/>
                <w:color w:val="auto"/>
              </w:rPr>
            </w:pPr>
            <w:r>
              <w:rPr>
                <w:rFonts w:ascii="Arial" w:cs="Arial" w:eastAsia="Arial" w:hAnsi="Arial"/>
                <w:sz w:val="16"/>
                <w:szCs w:val="16"/>
                <w:color w:val="0000EE"/>
                <w:w w:val="99"/>
              </w:rPr>
              <w:t>Vote Required and Board of Directors Recommendation</w:t>
            </w:r>
          </w:p>
        </w:tc>
        <w:tc>
          <w:tcPr>
            <w:tcW w:w="320" w:type="dxa"/>
            <w:vAlign w:val="bottom"/>
            <w:gridSpan w:val="6"/>
          </w:tcPr>
          <w:p>
            <w:pPr>
              <w:jc w:val="right"/>
              <w:ind w:right="60"/>
              <w:spacing w:after="0" w:line="169" w:lineRule="exact"/>
              <w:rPr>
                <w:sz w:val="20"/>
                <w:szCs w:val="20"/>
                <w:color w:val="auto"/>
              </w:rPr>
            </w:pPr>
            <w:r>
              <w:rPr>
                <w:rFonts w:ascii="Arial" w:cs="Arial" w:eastAsia="Arial" w:hAnsi="Arial"/>
                <w:sz w:val="16"/>
                <w:szCs w:val="16"/>
                <w:color w:val="0000EE"/>
              </w:rPr>
              <w:t>23</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80" w:type="dxa"/>
            <w:vAlign w:val="bottom"/>
            <w:tcBorders>
              <w:bottom w:val="single" w:sz="8" w:color="4834BA"/>
            </w:tcBorders>
            <w:gridSpan w:val="24"/>
            <w:shd w:val="clear" w:color="auto" w:fill="CCEEFF"/>
          </w:tcPr>
          <w:p>
            <w:pPr>
              <w:spacing w:after="0"/>
              <w:rPr>
                <w:sz w:val="20"/>
                <w:szCs w:val="20"/>
                <w:color w:val="auto"/>
              </w:rPr>
            </w:pPr>
            <w:r>
              <w:rPr>
                <w:rFonts w:ascii="Arial" w:cs="Arial" w:eastAsia="Arial" w:hAnsi="Arial"/>
                <w:sz w:val="16"/>
                <w:szCs w:val="16"/>
                <w:b w:val="1"/>
                <w:bCs w:val="1"/>
                <w:color w:val="4834BA"/>
                <w:w w:val="91"/>
              </w:rPr>
              <w:t>COMPENSATION COMMITTEE REPORT</w:t>
            </w:r>
          </w:p>
        </w:tc>
        <w:tc>
          <w:tcPr>
            <w:tcW w:w="300" w:type="dxa"/>
            <w:vAlign w:val="bottom"/>
            <w:tcBorders>
              <w:bottom w:val="single" w:sz="8" w:color="CCEEFF"/>
              <w:right w:val="single" w:sz="8" w:color="CCEEFF"/>
            </w:tcBorders>
            <w:gridSpan w:val="2"/>
            <w:vMerge w:val="restart"/>
            <w:shd w:val="clear" w:color="auto" w:fill="CCEEFF"/>
          </w:tcPr>
          <w:p>
            <w:pPr>
              <w:spacing w:after="0"/>
              <w:rPr>
                <w:sz w:val="18"/>
                <w:szCs w:val="18"/>
                <w:color w:val="auto"/>
              </w:rPr>
            </w:pPr>
          </w:p>
        </w:tc>
        <w:tc>
          <w:tcPr>
            <w:tcW w:w="100" w:type="dxa"/>
            <w:vAlign w:val="bottom"/>
            <w:tcBorders>
              <w:bottom w:val="single" w:sz="8" w:color="CCEEFF"/>
            </w:tcBorders>
            <w:gridSpan w:val="2"/>
            <w:vMerge w:val="restart"/>
            <w:shd w:val="clear" w:color="auto" w:fill="CCEEFF"/>
          </w:tcPr>
          <w:p>
            <w:pPr>
              <w:spacing w:after="0"/>
              <w:rPr>
                <w:sz w:val="18"/>
                <w:szCs w:val="18"/>
                <w:color w:val="auto"/>
              </w:rPr>
            </w:pPr>
          </w:p>
        </w:tc>
        <w:tc>
          <w:tcPr>
            <w:tcW w:w="640" w:type="dxa"/>
            <w:vAlign w:val="bottom"/>
            <w:tcBorders>
              <w:bottom w:val="single" w:sz="8" w:color="CCEEFF"/>
            </w:tcBorders>
            <w:gridSpan w:val="3"/>
            <w:vMerge w:val="restart"/>
            <w:shd w:val="clear" w:color="auto" w:fill="CCEEFF"/>
          </w:tcPr>
          <w:p>
            <w:pPr>
              <w:spacing w:after="0"/>
              <w:rPr>
                <w:sz w:val="18"/>
                <w:szCs w:val="18"/>
                <w:color w:val="auto"/>
              </w:rPr>
            </w:pPr>
          </w:p>
        </w:tc>
        <w:tc>
          <w:tcPr>
            <w:tcW w:w="200" w:type="dxa"/>
            <w:vAlign w:val="bottom"/>
            <w:tcBorders>
              <w:bottom w:val="single" w:sz="8" w:color="CCEEFF"/>
            </w:tcBorders>
            <w:gridSpan w:val="3"/>
            <w:vMerge w:val="restart"/>
            <w:shd w:val="clear" w:color="auto" w:fill="CCEEFF"/>
          </w:tcPr>
          <w:p>
            <w:pPr>
              <w:spacing w:after="0"/>
              <w:rPr>
                <w:sz w:val="18"/>
                <w:szCs w:val="18"/>
                <w:color w:val="auto"/>
              </w:rPr>
            </w:pPr>
          </w:p>
        </w:tc>
        <w:tc>
          <w:tcPr>
            <w:tcW w:w="200" w:type="dxa"/>
            <w:vAlign w:val="bottom"/>
            <w:tcBorders>
              <w:bottom w:val="single" w:sz="8" w:color="CCEEFF"/>
            </w:tcBorders>
            <w:gridSpan w:val="4"/>
            <w:vMerge w:val="restart"/>
            <w:shd w:val="clear" w:color="auto" w:fill="CCEEFF"/>
          </w:tcPr>
          <w:p>
            <w:pPr>
              <w:spacing w:after="0"/>
              <w:rPr>
                <w:sz w:val="18"/>
                <w:szCs w:val="18"/>
                <w:color w:val="auto"/>
              </w:rPr>
            </w:pPr>
          </w:p>
        </w:tc>
        <w:tc>
          <w:tcPr>
            <w:tcW w:w="1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4834BA"/>
              </w:rPr>
              <w:t>​​</w:t>
            </w:r>
          </w:p>
        </w:tc>
        <w:tc>
          <w:tcPr>
            <w:tcW w:w="160" w:type="dxa"/>
            <w:vAlign w:val="bottom"/>
            <w:tcBorders>
              <w:bottom w:val="single" w:sz="8" w:color="4834BA"/>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4834BA"/>
                <w:w w:val="78"/>
              </w:rPr>
              <w:t>24</w:t>
            </w: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860" w:type="dxa"/>
            <w:vAlign w:val="bottom"/>
            <w:tcBorders>
              <w:bottom w:val="single" w:sz="8" w:color="auto"/>
            </w:tcBorders>
            <w:gridSpan w:val="3"/>
            <w:shd w:val="clear" w:color="auto" w:fill="CCEEFF"/>
          </w:tcPr>
          <w:p>
            <w:pPr>
              <w:spacing w:after="0"/>
              <w:rPr>
                <w:sz w:val="6"/>
                <w:szCs w:val="6"/>
                <w:color w:val="auto"/>
              </w:rPr>
            </w:pPr>
          </w:p>
        </w:tc>
        <w:tc>
          <w:tcPr>
            <w:tcW w:w="420" w:type="dxa"/>
            <w:vAlign w:val="bottom"/>
            <w:tcBorders>
              <w:bottom w:val="single" w:sz="8" w:color="auto"/>
            </w:tcBorders>
            <w:gridSpan w:val="3"/>
            <w:shd w:val="clear" w:color="auto" w:fill="CCEEFF"/>
          </w:tcPr>
          <w:p>
            <w:pPr>
              <w:spacing w:after="0"/>
              <w:rPr>
                <w:sz w:val="6"/>
                <w:szCs w:val="6"/>
                <w:color w:val="auto"/>
              </w:rPr>
            </w:pPr>
          </w:p>
        </w:tc>
        <w:tc>
          <w:tcPr>
            <w:tcW w:w="340" w:type="dxa"/>
            <w:vAlign w:val="bottom"/>
            <w:tcBorders>
              <w:bottom w:val="single" w:sz="8" w:color="auto"/>
            </w:tcBorders>
            <w:gridSpan w:val="4"/>
            <w:shd w:val="clear" w:color="auto" w:fill="CCEEFF"/>
          </w:tcPr>
          <w:p>
            <w:pPr>
              <w:spacing w:after="0"/>
              <w:rPr>
                <w:sz w:val="6"/>
                <w:szCs w:val="6"/>
                <w:color w:val="auto"/>
              </w:rPr>
            </w:pPr>
          </w:p>
        </w:tc>
        <w:tc>
          <w:tcPr>
            <w:tcW w:w="280" w:type="dxa"/>
            <w:vAlign w:val="bottom"/>
            <w:tcBorders>
              <w:bottom w:val="single" w:sz="8" w:color="auto"/>
            </w:tcBorders>
            <w:gridSpan w:val="5"/>
            <w:shd w:val="clear" w:color="auto" w:fill="CCEEFF"/>
          </w:tcPr>
          <w:p>
            <w:pPr>
              <w:spacing w:after="0"/>
              <w:rPr>
                <w:sz w:val="6"/>
                <w:szCs w:val="6"/>
                <w:color w:val="auto"/>
              </w:rPr>
            </w:pPr>
          </w:p>
        </w:tc>
        <w:tc>
          <w:tcPr>
            <w:tcW w:w="880" w:type="dxa"/>
            <w:vAlign w:val="bottom"/>
            <w:tcBorders>
              <w:bottom w:val="single" w:sz="8" w:color="auto"/>
            </w:tcBorders>
            <w:gridSpan w:val="9"/>
            <w:shd w:val="clear" w:color="auto" w:fill="CCEEFF"/>
          </w:tcPr>
          <w:p>
            <w:pPr>
              <w:spacing w:after="0"/>
              <w:rPr>
                <w:sz w:val="6"/>
                <w:szCs w:val="6"/>
                <w:color w:val="auto"/>
              </w:rPr>
            </w:pPr>
          </w:p>
        </w:tc>
        <w:tc>
          <w:tcPr>
            <w:tcW w:w="300" w:type="dxa"/>
            <w:vAlign w:val="bottom"/>
            <w:tcBorders>
              <w:bottom w:val="single" w:sz="8" w:color="auto"/>
              <w:right w:val="single" w:sz="8" w:color="CCEEFF"/>
            </w:tcBorders>
            <w:gridSpan w:val="2"/>
            <w:vMerge w:val="continue"/>
            <w:shd w:val="clear" w:color="auto" w:fill="CCEEFF"/>
          </w:tcPr>
          <w:p>
            <w:pPr>
              <w:spacing w:after="0"/>
              <w:rPr>
                <w:sz w:val="6"/>
                <w:szCs w:val="6"/>
                <w:color w:val="auto"/>
              </w:rPr>
            </w:pPr>
          </w:p>
        </w:tc>
        <w:tc>
          <w:tcPr>
            <w:tcW w:w="100" w:type="dxa"/>
            <w:vAlign w:val="bottom"/>
            <w:tcBorders>
              <w:bottom w:val="single" w:sz="8" w:color="auto"/>
            </w:tcBorders>
            <w:gridSpan w:val="2"/>
            <w:vMerge w:val="continue"/>
            <w:shd w:val="clear" w:color="auto" w:fill="CCEEFF"/>
          </w:tcPr>
          <w:p>
            <w:pPr>
              <w:spacing w:after="0"/>
              <w:rPr>
                <w:sz w:val="6"/>
                <w:szCs w:val="6"/>
                <w:color w:val="auto"/>
              </w:rPr>
            </w:pPr>
          </w:p>
        </w:tc>
        <w:tc>
          <w:tcPr>
            <w:tcW w:w="640" w:type="dxa"/>
            <w:vAlign w:val="bottom"/>
            <w:tcBorders>
              <w:bottom w:val="single" w:sz="8" w:color="auto"/>
            </w:tcBorders>
            <w:gridSpan w:val="3"/>
            <w:vMerge w:val="continue"/>
            <w:shd w:val="clear" w:color="auto" w:fill="CCEEFF"/>
          </w:tcPr>
          <w:p>
            <w:pPr>
              <w:spacing w:after="0"/>
              <w:rPr>
                <w:sz w:val="6"/>
                <w:szCs w:val="6"/>
                <w:color w:val="auto"/>
              </w:rPr>
            </w:pPr>
          </w:p>
        </w:tc>
        <w:tc>
          <w:tcPr>
            <w:tcW w:w="200" w:type="dxa"/>
            <w:vAlign w:val="bottom"/>
            <w:tcBorders>
              <w:bottom w:val="single" w:sz="8" w:color="auto"/>
            </w:tcBorders>
            <w:gridSpan w:val="3"/>
            <w:vMerge w:val="continue"/>
            <w:shd w:val="clear" w:color="auto" w:fill="CCEEFF"/>
          </w:tcPr>
          <w:p>
            <w:pPr>
              <w:spacing w:after="0"/>
              <w:rPr>
                <w:sz w:val="6"/>
                <w:szCs w:val="6"/>
                <w:color w:val="auto"/>
              </w:rPr>
            </w:pPr>
          </w:p>
        </w:tc>
        <w:tc>
          <w:tcPr>
            <w:tcW w:w="200" w:type="dxa"/>
            <w:vAlign w:val="bottom"/>
            <w:tcBorders>
              <w:bottom w:val="single" w:sz="8" w:color="auto"/>
            </w:tcBorders>
            <w:gridSpan w:val="4"/>
            <w:vMerge w:val="continue"/>
            <w:shd w:val="clear" w:color="auto" w:fill="CCEEFF"/>
          </w:tcPr>
          <w:p>
            <w:pPr>
              <w:spacing w:after="0"/>
              <w:rPr>
                <w:sz w:val="6"/>
                <w:szCs w:val="6"/>
                <w:color w:val="auto"/>
              </w:rPr>
            </w:pPr>
          </w:p>
        </w:tc>
        <w:tc>
          <w:tcPr>
            <w:tcW w:w="100" w:type="dxa"/>
            <w:vAlign w:val="bottom"/>
            <w:tcBorders>
              <w:bottom w:val="single" w:sz="8" w:color="auto"/>
            </w:tcBorders>
            <w:gridSpan w:val="2"/>
            <w:vMerge w:val="continue"/>
            <w:shd w:val="clear" w:color="auto" w:fill="CCEEFF"/>
          </w:tcPr>
          <w:p>
            <w:pPr>
              <w:spacing w:after="0"/>
              <w:rPr>
                <w:sz w:val="6"/>
                <w:szCs w:val="6"/>
                <w:color w:val="auto"/>
              </w:rPr>
            </w:pPr>
          </w:p>
        </w:tc>
        <w:tc>
          <w:tcPr>
            <w:tcW w:w="160" w:type="dxa"/>
            <w:vAlign w:val="bottom"/>
            <w:tcBorders>
              <w:bottom w:val="single" w:sz="8" w:color="auto"/>
            </w:tcBorders>
            <w:gridSpan w:val="3"/>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4834BA"/>
            </w:tcBorders>
            <w:gridSpan w:val="10"/>
          </w:tcPr>
          <w:p>
            <w:pPr>
              <w:spacing w:after="0"/>
              <w:rPr>
                <w:sz w:val="20"/>
                <w:szCs w:val="20"/>
                <w:color w:val="auto"/>
              </w:rPr>
            </w:pPr>
            <w:r>
              <w:rPr>
                <w:rFonts w:ascii="Arial" w:cs="Arial" w:eastAsia="Arial" w:hAnsi="Arial"/>
                <w:sz w:val="16"/>
                <w:szCs w:val="16"/>
                <w:b w:val="1"/>
                <w:bCs w:val="1"/>
                <w:color w:val="4834BA"/>
                <w:w w:val="90"/>
              </w:rPr>
              <w:t>EXECUTIVE OFFICERS</w:t>
            </w:r>
          </w:p>
        </w:tc>
        <w:tc>
          <w:tcPr>
            <w:tcW w:w="280" w:type="dxa"/>
            <w:vAlign w:val="bottom"/>
            <w:gridSpan w:val="5"/>
            <w:vMerge w:val="restart"/>
          </w:tcPr>
          <w:p>
            <w:pPr>
              <w:spacing w:after="0"/>
              <w:rPr>
                <w:sz w:val="21"/>
                <w:szCs w:val="21"/>
                <w:color w:val="auto"/>
              </w:rPr>
            </w:pPr>
          </w:p>
        </w:tc>
        <w:tc>
          <w:tcPr>
            <w:tcW w:w="1180" w:type="dxa"/>
            <w:vAlign w:val="bottom"/>
            <w:gridSpan w:val="11"/>
            <w:vMerge w:val="restart"/>
          </w:tcPr>
          <w:p>
            <w:pPr>
              <w:spacing w:after="0"/>
              <w:rPr>
                <w:sz w:val="21"/>
                <w:szCs w:val="21"/>
                <w:color w:val="auto"/>
              </w:rPr>
            </w:pPr>
          </w:p>
        </w:tc>
        <w:tc>
          <w:tcPr>
            <w:tcW w:w="100" w:type="dxa"/>
            <w:vAlign w:val="bottom"/>
            <w:gridSpan w:val="2"/>
            <w:vMerge w:val="restart"/>
          </w:tcPr>
          <w:p>
            <w:pPr>
              <w:spacing w:after="0"/>
              <w:rPr>
                <w:sz w:val="21"/>
                <w:szCs w:val="21"/>
                <w:color w:val="auto"/>
              </w:rPr>
            </w:pPr>
          </w:p>
        </w:tc>
        <w:tc>
          <w:tcPr>
            <w:tcW w:w="640" w:type="dxa"/>
            <w:vAlign w:val="bottom"/>
            <w:gridSpan w:val="3"/>
            <w:vMerge w:val="restart"/>
          </w:tcPr>
          <w:p>
            <w:pPr>
              <w:spacing w:after="0"/>
              <w:rPr>
                <w:sz w:val="21"/>
                <w:szCs w:val="21"/>
                <w:color w:val="auto"/>
              </w:rPr>
            </w:pPr>
          </w:p>
        </w:tc>
        <w:tc>
          <w:tcPr>
            <w:tcW w:w="200" w:type="dxa"/>
            <w:vAlign w:val="bottom"/>
            <w:gridSpan w:val="3"/>
            <w:vMerge w:val="restart"/>
          </w:tcPr>
          <w:p>
            <w:pPr>
              <w:spacing w:after="0"/>
              <w:rPr>
                <w:sz w:val="21"/>
                <w:szCs w:val="21"/>
                <w:color w:val="auto"/>
              </w:rPr>
            </w:pPr>
          </w:p>
        </w:tc>
        <w:tc>
          <w:tcPr>
            <w:tcW w:w="200" w:type="dxa"/>
            <w:vAlign w:val="bottom"/>
            <w:gridSpan w:val="4"/>
            <w:vMerge w:val="restart"/>
          </w:tcPr>
          <w:p>
            <w:pPr>
              <w:spacing w:after="0"/>
              <w:rPr>
                <w:sz w:val="21"/>
                <w:szCs w:val="21"/>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4834BA"/>
                <w:w w:val="78"/>
              </w:rPr>
              <w:t>25</w:t>
            </w: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80" w:type="dxa"/>
            <w:vAlign w:val="bottom"/>
            <w:gridSpan w:val="5"/>
            <w:vMerge w:val="continue"/>
          </w:tcPr>
          <w:p>
            <w:pPr>
              <w:spacing w:after="0" w:line="20" w:lineRule="exact"/>
              <w:rPr>
                <w:sz w:val="1"/>
                <w:szCs w:val="1"/>
                <w:color w:val="auto"/>
              </w:rPr>
            </w:pPr>
          </w:p>
        </w:tc>
        <w:tc>
          <w:tcPr>
            <w:tcW w:w="1180" w:type="dxa"/>
            <w:vAlign w:val="bottom"/>
            <w:gridSpan w:val="11"/>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00" w:type="dxa"/>
            <w:vAlign w:val="bottom"/>
            <w:gridSpan w:val="4"/>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60" w:type="dxa"/>
            <w:vAlign w:val="bottom"/>
            <w:tcBorders>
              <w:bottom w:val="single" w:sz="8" w:color="4834BA"/>
            </w:tcBorders>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gridSpan w:val="2"/>
            <w:vMerge w:val="continue"/>
          </w:tcPr>
          <w:p>
            <w:pPr>
              <w:spacing w:after="0"/>
              <w:rPr>
                <w:sz w:val="5"/>
                <w:szCs w:val="5"/>
                <w:color w:val="auto"/>
              </w:rPr>
            </w:pPr>
          </w:p>
        </w:tc>
        <w:tc>
          <w:tcPr>
            <w:tcW w:w="16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220" w:type="dxa"/>
            <w:vAlign w:val="bottom"/>
            <w:gridSpan w:val="38"/>
            <w:shd w:val="clear" w:color="auto" w:fill="CCEEFF"/>
          </w:tcPr>
          <w:p>
            <w:pPr>
              <w:spacing w:after="0"/>
              <w:rPr>
                <w:sz w:val="20"/>
                <w:szCs w:val="20"/>
                <w:color w:val="auto"/>
              </w:rPr>
            </w:pPr>
            <w:r>
              <w:rPr>
                <w:rFonts w:ascii="Arial" w:cs="Arial" w:eastAsia="Arial" w:hAnsi="Arial"/>
                <w:sz w:val="16"/>
                <w:szCs w:val="16"/>
                <w:b w:val="1"/>
                <w:bCs w:val="1"/>
                <w:color w:val="4834BA"/>
                <w:w w:val="95"/>
              </w:rPr>
              <w:t>COMPENSATION OF NAMED EXECUTIVE OFFICERS AND</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60" w:type="dxa"/>
            <w:vAlign w:val="bottom"/>
            <w:tcBorders>
              <w:top w:val="single" w:sz="8" w:color="4834BA"/>
              <w:bottom w:val="single" w:sz="8" w:color="4834BA"/>
            </w:tcBorders>
            <w:gridSpan w:val="3"/>
            <w:shd w:val="clear" w:color="auto" w:fill="CCEEFF"/>
          </w:tcPr>
          <w:p>
            <w:pPr>
              <w:spacing w:after="0" w:line="169" w:lineRule="exact"/>
              <w:rPr>
                <w:sz w:val="20"/>
                <w:szCs w:val="20"/>
                <w:color w:val="auto"/>
              </w:rPr>
            </w:pPr>
            <w:r>
              <w:rPr>
                <w:rFonts w:ascii="Arial" w:cs="Arial" w:eastAsia="Arial" w:hAnsi="Arial"/>
                <w:sz w:val="16"/>
                <w:szCs w:val="16"/>
                <w:b w:val="1"/>
                <w:bCs w:val="1"/>
                <w:color w:val="4834BA"/>
                <w:w w:val="89"/>
              </w:rPr>
              <w:t>DIRECTORS</w:t>
            </w:r>
          </w:p>
        </w:tc>
        <w:tc>
          <w:tcPr>
            <w:tcW w:w="420" w:type="dxa"/>
            <w:vAlign w:val="bottom"/>
            <w:tcBorders>
              <w:top w:val="single" w:sz="8" w:color="4834BA"/>
              <w:bottom w:val="single" w:sz="8" w:color="4834BA"/>
            </w:tcBorders>
            <w:gridSpan w:val="3"/>
            <w:shd w:val="clear" w:color="auto" w:fill="CCEEFF"/>
          </w:tcPr>
          <w:p>
            <w:pPr>
              <w:spacing w:after="0"/>
              <w:rPr>
                <w:sz w:val="17"/>
                <w:szCs w:val="17"/>
                <w:color w:val="auto"/>
              </w:rPr>
            </w:pPr>
          </w:p>
        </w:tc>
        <w:tc>
          <w:tcPr>
            <w:tcW w:w="620" w:type="dxa"/>
            <w:vAlign w:val="bottom"/>
            <w:tcBorders>
              <w:top w:val="single" w:sz="8" w:color="4834BA"/>
              <w:bottom w:val="single" w:sz="8" w:color="4834BA"/>
            </w:tcBorders>
            <w:gridSpan w:val="9"/>
            <w:shd w:val="clear" w:color="auto" w:fill="CCEEFF"/>
          </w:tcPr>
          <w:p>
            <w:pPr>
              <w:spacing w:after="0"/>
              <w:rPr>
                <w:sz w:val="17"/>
                <w:szCs w:val="17"/>
                <w:color w:val="auto"/>
              </w:rPr>
            </w:pPr>
          </w:p>
        </w:tc>
        <w:tc>
          <w:tcPr>
            <w:tcW w:w="1180" w:type="dxa"/>
            <w:vAlign w:val="bottom"/>
            <w:tcBorders>
              <w:top w:val="single" w:sz="8" w:color="4834BA"/>
              <w:bottom w:val="single" w:sz="8" w:color="4834BA"/>
              <w:right w:val="single" w:sz="8" w:color="CCEEFF"/>
            </w:tcBorders>
            <w:gridSpan w:val="11"/>
            <w:shd w:val="clear" w:color="auto" w:fill="CCEEFF"/>
          </w:tcPr>
          <w:p>
            <w:pPr>
              <w:spacing w:after="0"/>
              <w:rPr>
                <w:sz w:val="17"/>
                <w:szCs w:val="17"/>
                <w:color w:val="auto"/>
              </w:rPr>
            </w:pPr>
          </w:p>
        </w:tc>
        <w:tc>
          <w:tcPr>
            <w:tcW w:w="100" w:type="dxa"/>
            <w:vAlign w:val="bottom"/>
            <w:tcBorders>
              <w:top w:val="single" w:sz="8" w:color="4834BA"/>
              <w:bottom w:val="single" w:sz="8" w:color="4834BA"/>
            </w:tcBorders>
            <w:gridSpan w:val="2"/>
            <w:shd w:val="clear" w:color="auto" w:fill="CCEEFF"/>
          </w:tcPr>
          <w:p>
            <w:pPr>
              <w:spacing w:after="0"/>
              <w:rPr>
                <w:sz w:val="17"/>
                <w:szCs w:val="17"/>
                <w:color w:val="auto"/>
              </w:rPr>
            </w:pPr>
          </w:p>
        </w:tc>
        <w:tc>
          <w:tcPr>
            <w:tcW w:w="640" w:type="dxa"/>
            <w:vAlign w:val="bottom"/>
            <w:tcBorders>
              <w:top w:val="single" w:sz="8" w:color="4834BA"/>
              <w:bottom w:val="single" w:sz="8" w:color="4834BA"/>
            </w:tcBorders>
            <w:gridSpan w:val="3"/>
            <w:shd w:val="clear" w:color="auto" w:fill="CCEEFF"/>
          </w:tcPr>
          <w:p>
            <w:pPr>
              <w:spacing w:after="0"/>
              <w:rPr>
                <w:sz w:val="17"/>
                <w:szCs w:val="17"/>
                <w:color w:val="auto"/>
              </w:rPr>
            </w:pPr>
          </w:p>
        </w:tc>
        <w:tc>
          <w:tcPr>
            <w:tcW w:w="200" w:type="dxa"/>
            <w:vAlign w:val="bottom"/>
            <w:tcBorders>
              <w:top w:val="single" w:sz="8" w:color="4834BA"/>
              <w:bottom w:val="single" w:sz="8" w:color="4834BA"/>
            </w:tcBorders>
            <w:gridSpan w:val="3"/>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CEEFF"/>
              <w:bottom w:val="single" w:sz="8" w:color="CCEEFF"/>
            </w:tcBorders>
            <w:gridSpan w:val="3"/>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4834BA"/>
                <w:w w:val="78"/>
              </w:rPr>
              <w:t>27</w:t>
            </w:r>
          </w:p>
        </w:tc>
        <w:tc>
          <w:tcPr>
            <w:tcW w:w="6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6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4834BA"/>
              <w:bottom w:val="single" w:sz="8" w:color="auto"/>
            </w:tcBorders>
            <w:shd w:val="clear" w:color="auto" w:fill="CCEEFF"/>
          </w:tcPr>
          <w:p>
            <w:pPr>
              <w:spacing w:after="0"/>
              <w:rPr>
                <w:sz w:val="5"/>
                <w:szCs w:val="5"/>
                <w:color w:val="auto"/>
              </w:rPr>
            </w:pPr>
          </w:p>
        </w:tc>
        <w:tc>
          <w:tcPr>
            <w:tcW w:w="220" w:type="dxa"/>
            <w:vAlign w:val="bottom"/>
            <w:tcBorders>
              <w:top w:val="single" w:sz="8" w:color="4834BA"/>
              <w:bottom w:val="single" w:sz="8" w:color="auto"/>
            </w:tcBorders>
            <w:shd w:val="clear" w:color="auto" w:fill="CCEEFF"/>
          </w:tcPr>
          <w:p>
            <w:pPr>
              <w:spacing w:after="0"/>
              <w:rPr>
                <w:sz w:val="5"/>
                <w:szCs w:val="5"/>
                <w:color w:val="auto"/>
              </w:rPr>
            </w:pPr>
          </w:p>
        </w:tc>
        <w:tc>
          <w:tcPr>
            <w:tcW w:w="160" w:type="dxa"/>
            <w:vAlign w:val="bottom"/>
            <w:tcBorders>
              <w:top w:val="single" w:sz="8" w:color="4834BA"/>
              <w:bottom w:val="single" w:sz="8" w:color="auto"/>
            </w:tcBorders>
            <w:shd w:val="clear" w:color="auto" w:fill="CCEEFF"/>
          </w:tcPr>
          <w:p>
            <w:pPr>
              <w:spacing w:after="0"/>
              <w:rPr>
                <w:sz w:val="5"/>
                <w:szCs w:val="5"/>
                <w:color w:val="auto"/>
              </w:rPr>
            </w:pPr>
          </w:p>
        </w:tc>
        <w:tc>
          <w:tcPr>
            <w:tcW w:w="40" w:type="dxa"/>
            <w:vAlign w:val="bottom"/>
            <w:tcBorders>
              <w:top w:val="single" w:sz="8" w:color="4834BA"/>
              <w:bottom w:val="single" w:sz="8" w:color="auto"/>
            </w:tcBorders>
            <w:shd w:val="clear" w:color="auto" w:fill="CCEEFF"/>
          </w:tcPr>
          <w:p>
            <w:pPr>
              <w:spacing w:after="0"/>
              <w:rPr>
                <w:sz w:val="5"/>
                <w:szCs w:val="5"/>
                <w:color w:val="auto"/>
              </w:rPr>
            </w:pPr>
          </w:p>
        </w:tc>
        <w:tc>
          <w:tcPr>
            <w:tcW w:w="120" w:type="dxa"/>
            <w:vAlign w:val="bottom"/>
            <w:tcBorders>
              <w:top w:val="single" w:sz="8" w:color="4834BA"/>
              <w:bottom w:val="single" w:sz="8" w:color="auto"/>
            </w:tcBorders>
            <w:shd w:val="clear" w:color="auto" w:fill="CCEEFF"/>
          </w:tcPr>
          <w:p>
            <w:pPr>
              <w:spacing w:after="0"/>
              <w:rPr>
                <w:sz w:val="5"/>
                <w:szCs w:val="5"/>
                <w:color w:val="auto"/>
              </w:rPr>
            </w:pPr>
          </w:p>
        </w:tc>
        <w:tc>
          <w:tcPr>
            <w:tcW w:w="16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120" w:type="dxa"/>
            <w:vAlign w:val="bottom"/>
            <w:tcBorders>
              <w:top w:val="single" w:sz="8" w:color="4834BA"/>
              <w:bottom w:val="single" w:sz="8" w:color="auto"/>
            </w:tcBorders>
            <w:shd w:val="clear" w:color="auto" w:fill="CCEEFF"/>
          </w:tcPr>
          <w:p>
            <w:pPr>
              <w:spacing w:after="0"/>
              <w:rPr>
                <w:sz w:val="5"/>
                <w:szCs w:val="5"/>
                <w:color w:val="auto"/>
              </w:rPr>
            </w:pPr>
          </w:p>
        </w:tc>
        <w:tc>
          <w:tcPr>
            <w:tcW w:w="40" w:type="dxa"/>
            <w:vAlign w:val="bottom"/>
            <w:tcBorders>
              <w:top w:val="single" w:sz="8" w:color="4834BA"/>
              <w:bottom w:val="single" w:sz="8" w:color="auto"/>
            </w:tcBorders>
            <w:shd w:val="clear" w:color="auto" w:fill="CCEEFF"/>
          </w:tcPr>
          <w:p>
            <w:pPr>
              <w:spacing w:after="0"/>
              <w:rPr>
                <w:sz w:val="5"/>
                <w:szCs w:val="5"/>
                <w:color w:val="auto"/>
              </w:rPr>
            </w:pPr>
          </w:p>
        </w:tc>
        <w:tc>
          <w:tcPr>
            <w:tcW w:w="14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4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300" w:type="dxa"/>
            <w:vAlign w:val="bottom"/>
            <w:tcBorders>
              <w:top w:val="single" w:sz="8" w:color="4834BA"/>
              <w:bottom w:val="single" w:sz="8" w:color="auto"/>
            </w:tcBorders>
            <w:shd w:val="clear" w:color="auto" w:fill="CCEEFF"/>
          </w:tcPr>
          <w:p>
            <w:pPr>
              <w:spacing w:after="0"/>
              <w:rPr>
                <w:sz w:val="5"/>
                <w:szCs w:val="5"/>
                <w:color w:val="auto"/>
              </w:rPr>
            </w:pPr>
          </w:p>
        </w:tc>
        <w:tc>
          <w:tcPr>
            <w:tcW w:w="100" w:type="dxa"/>
            <w:vAlign w:val="bottom"/>
            <w:tcBorders>
              <w:top w:val="single" w:sz="8" w:color="4834BA"/>
              <w:bottom w:val="single" w:sz="8" w:color="auto"/>
            </w:tcBorders>
            <w:shd w:val="clear" w:color="auto" w:fill="CCEEFF"/>
          </w:tcPr>
          <w:p>
            <w:pPr>
              <w:spacing w:after="0"/>
              <w:rPr>
                <w:sz w:val="5"/>
                <w:szCs w:val="5"/>
                <w:color w:val="auto"/>
              </w:rPr>
            </w:pPr>
          </w:p>
        </w:tc>
        <w:tc>
          <w:tcPr>
            <w:tcW w:w="120" w:type="dxa"/>
            <w:vAlign w:val="bottom"/>
            <w:tcBorders>
              <w:top w:val="single" w:sz="8" w:color="4834BA"/>
              <w:bottom w:val="single" w:sz="8" w:color="auto"/>
            </w:tcBorders>
            <w:shd w:val="clear" w:color="auto" w:fill="CCEEFF"/>
          </w:tcPr>
          <w:p>
            <w:pPr>
              <w:spacing w:after="0"/>
              <w:rPr>
                <w:sz w:val="5"/>
                <w:szCs w:val="5"/>
                <w:color w:val="auto"/>
              </w:rPr>
            </w:pPr>
          </w:p>
        </w:tc>
        <w:tc>
          <w:tcPr>
            <w:tcW w:w="60" w:type="dxa"/>
            <w:vAlign w:val="bottom"/>
            <w:tcBorders>
              <w:top w:val="single" w:sz="8" w:color="4834BA"/>
              <w:bottom w:val="single" w:sz="8" w:color="auto"/>
            </w:tcBorders>
            <w:shd w:val="clear" w:color="auto" w:fill="CCEEFF"/>
          </w:tcPr>
          <w:p>
            <w:pPr>
              <w:spacing w:after="0"/>
              <w:rPr>
                <w:sz w:val="5"/>
                <w:szCs w:val="5"/>
                <w:color w:val="auto"/>
              </w:rPr>
            </w:pPr>
          </w:p>
        </w:tc>
        <w:tc>
          <w:tcPr>
            <w:tcW w:w="160" w:type="dxa"/>
            <w:vAlign w:val="bottom"/>
            <w:tcBorders>
              <w:top w:val="single" w:sz="8" w:color="4834BA"/>
              <w:bottom w:val="single" w:sz="8" w:color="auto"/>
            </w:tcBorders>
            <w:shd w:val="clear" w:color="auto" w:fill="CCEEFF"/>
          </w:tcPr>
          <w:p>
            <w:pPr>
              <w:spacing w:after="0"/>
              <w:rPr>
                <w:sz w:val="5"/>
                <w:szCs w:val="5"/>
                <w:color w:val="auto"/>
              </w:rPr>
            </w:pPr>
          </w:p>
        </w:tc>
        <w:tc>
          <w:tcPr>
            <w:tcW w:w="140" w:type="dxa"/>
            <w:vAlign w:val="bottom"/>
            <w:tcBorders>
              <w:top w:val="single" w:sz="8" w:color="4834BA"/>
              <w:bottom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340" w:type="dxa"/>
            <w:vAlign w:val="bottom"/>
            <w:tcBorders>
              <w:top w:val="single" w:sz="8" w:color="4834BA"/>
              <w:bottom w:val="single" w:sz="8" w:color="auto"/>
            </w:tcBorders>
            <w:shd w:val="clear" w:color="auto" w:fill="CCEEFF"/>
          </w:tcPr>
          <w:p>
            <w:pPr>
              <w:spacing w:after="0"/>
              <w:rPr>
                <w:sz w:val="5"/>
                <w:szCs w:val="5"/>
                <w:color w:val="auto"/>
              </w:rPr>
            </w:pPr>
          </w:p>
        </w:tc>
        <w:tc>
          <w:tcPr>
            <w:tcW w:w="140" w:type="dxa"/>
            <w:vAlign w:val="bottom"/>
            <w:tcBorders>
              <w:top w:val="single" w:sz="8" w:color="4834BA"/>
              <w:bottom w:val="single" w:sz="8" w:color="auto"/>
            </w:tcBorders>
            <w:shd w:val="clear" w:color="auto" w:fill="CCEEFF"/>
          </w:tcPr>
          <w:p>
            <w:pPr>
              <w:spacing w:after="0"/>
              <w:rPr>
                <w:sz w:val="5"/>
                <w:szCs w:val="5"/>
                <w:color w:val="auto"/>
              </w:rPr>
            </w:pPr>
          </w:p>
        </w:tc>
        <w:tc>
          <w:tcPr>
            <w:tcW w:w="160" w:type="dxa"/>
            <w:vAlign w:val="bottom"/>
            <w:tcBorders>
              <w:top w:val="single" w:sz="8" w:color="4834BA"/>
              <w:bottom w:val="single" w:sz="8" w:color="auto"/>
            </w:tcBorders>
            <w:shd w:val="clear" w:color="auto" w:fill="CCEEFF"/>
          </w:tcPr>
          <w:p>
            <w:pPr>
              <w:spacing w:after="0"/>
              <w:rPr>
                <w:sz w:val="5"/>
                <w:szCs w:val="5"/>
                <w:color w:val="auto"/>
              </w:rPr>
            </w:pPr>
          </w:p>
        </w:tc>
        <w:tc>
          <w:tcPr>
            <w:tcW w:w="4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14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00" w:type="dxa"/>
            <w:vAlign w:val="bottom"/>
            <w:tcBorders>
              <w:top w:val="single" w:sz="8" w:color="CCEEFF"/>
              <w:bottom w:val="single" w:sz="8" w:color="auto"/>
            </w:tcBorders>
            <w:gridSpan w:val="2"/>
            <w:vMerge w:val="continue"/>
            <w:shd w:val="clear" w:color="auto" w:fill="CCEEFF"/>
          </w:tcPr>
          <w:p>
            <w:pPr>
              <w:spacing w:after="0"/>
              <w:rPr>
                <w:sz w:val="5"/>
                <w:szCs w:val="5"/>
                <w:color w:val="auto"/>
              </w:rPr>
            </w:pPr>
          </w:p>
        </w:tc>
        <w:tc>
          <w:tcPr>
            <w:tcW w:w="160" w:type="dxa"/>
            <w:vAlign w:val="bottom"/>
            <w:tcBorders>
              <w:top w:val="single" w:sz="8" w:color="4834BA"/>
              <w:bottom w:val="single" w:sz="8" w:color="auto"/>
            </w:tcBorders>
            <w:gridSpan w:val="3"/>
            <w:shd w:val="clear" w:color="auto" w:fill="CCEEFF"/>
          </w:tcPr>
          <w:p>
            <w:pPr>
              <w:spacing w:after="0"/>
              <w:rPr>
                <w:sz w:val="5"/>
                <w:szCs w:val="5"/>
                <w:color w:val="auto"/>
              </w:rPr>
            </w:pPr>
          </w:p>
        </w:tc>
        <w:tc>
          <w:tcPr>
            <w:tcW w:w="60" w:type="dxa"/>
            <w:vAlign w:val="bottom"/>
            <w:tcBorders>
              <w:top w:val="single" w:sz="8" w:color="CCEEFF"/>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36"/>
          </w:tcPr>
          <w:p>
            <w:pPr>
              <w:spacing w:after="0" w:line="155" w:lineRule="exact"/>
              <w:rPr>
                <w:sz w:val="20"/>
                <w:szCs w:val="20"/>
                <w:color w:val="auto"/>
              </w:rPr>
            </w:pPr>
            <w:r>
              <w:rPr>
                <w:rFonts w:ascii="Arial" w:cs="Arial" w:eastAsia="Arial" w:hAnsi="Arial"/>
                <w:sz w:val="16"/>
                <w:szCs w:val="16"/>
                <w:color w:val="0000EE"/>
              </w:rPr>
              <w:t>Compensation Discussion and Analysis</w:t>
            </w:r>
          </w:p>
        </w:tc>
        <w:tc>
          <w:tcPr>
            <w:tcW w:w="320" w:type="dxa"/>
            <w:vAlign w:val="bottom"/>
            <w:gridSpan w:val="6"/>
          </w:tcPr>
          <w:p>
            <w:pPr>
              <w:jc w:val="right"/>
              <w:ind w:right="60"/>
              <w:spacing w:after="0" w:line="155" w:lineRule="exact"/>
              <w:rPr>
                <w:sz w:val="20"/>
                <w:szCs w:val="20"/>
                <w:color w:val="auto"/>
              </w:rPr>
            </w:pPr>
            <w:r>
              <w:rPr>
                <w:rFonts w:ascii="Arial" w:cs="Arial" w:eastAsia="Arial" w:hAnsi="Arial"/>
                <w:sz w:val="16"/>
                <w:szCs w:val="16"/>
                <w:color w:val="0000EE"/>
              </w:rPr>
              <w:t>27</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30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60" w:type="dxa"/>
            <w:vAlign w:val="bottom"/>
            <w:gridSpan w:val="13"/>
            <w:shd w:val="clear" w:color="auto" w:fill="CCEEFF"/>
          </w:tcPr>
          <w:p>
            <w:pPr>
              <w:spacing w:after="0" w:line="155" w:lineRule="exact"/>
              <w:rPr>
                <w:sz w:val="20"/>
                <w:szCs w:val="20"/>
                <w:color w:val="auto"/>
              </w:rPr>
            </w:pPr>
            <w:r>
              <w:rPr>
                <w:rFonts w:ascii="Arial" w:cs="Arial" w:eastAsia="Arial" w:hAnsi="Arial"/>
                <w:sz w:val="16"/>
                <w:szCs w:val="16"/>
                <w:color w:val="0000EE"/>
                <w:w w:val="99"/>
              </w:rPr>
              <w:t>Company Performance</w:t>
            </w:r>
          </w:p>
        </w:tc>
        <w:tc>
          <w:tcPr>
            <w:tcW w:w="2320" w:type="dxa"/>
            <w:vAlign w:val="bottom"/>
            <w:gridSpan w:val="23"/>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5"/>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27</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right w:val="single" w:sz="8" w:color="999999"/>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3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gridSpan w:val="2"/>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36"/>
          </w:tcPr>
          <w:p>
            <w:pPr>
              <w:spacing w:after="0" w:line="155" w:lineRule="exact"/>
              <w:rPr>
                <w:sz w:val="20"/>
                <w:szCs w:val="20"/>
                <w:color w:val="auto"/>
              </w:rPr>
            </w:pPr>
            <w:r>
              <w:rPr>
                <w:rFonts w:ascii="Arial" w:cs="Arial" w:eastAsia="Arial" w:hAnsi="Arial"/>
                <w:sz w:val="16"/>
                <w:szCs w:val="16"/>
                <w:color w:val="0000EE"/>
              </w:rPr>
              <w:t>Objectives of our Compensation Program</w:t>
            </w:r>
          </w:p>
        </w:tc>
        <w:tc>
          <w:tcPr>
            <w:tcW w:w="320" w:type="dxa"/>
            <w:vAlign w:val="bottom"/>
            <w:gridSpan w:val="6"/>
          </w:tcPr>
          <w:p>
            <w:pPr>
              <w:jc w:val="right"/>
              <w:ind w:right="60"/>
              <w:spacing w:after="0" w:line="155" w:lineRule="exact"/>
              <w:rPr>
                <w:sz w:val="20"/>
                <w:szCs w:val="20"/>
                <w:color w:val="auto"/>
              </w:rPr>
            </w:pPr>
            <w:r>
              <w:rPr>
                <w:rFonts w:ascii="Arial" w:cs="Arial" w:eastAsia="Arial" w:hAnsi="Arial"/>
                <w:sz w:val="16"/>
                <w:szCs w:val="16"/>
                <w:color w:val="0000EE"/>
              </w:rPr>
              <w:t>29</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30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980" w:type="dxa"/>
            <w:vAlign w:val="bottom"/>
            <w:gridSpan w:val="36"/>
            <w:shd w:val="clear" w:color="auto" w:fill="CCEEFF"/>
          </w:tcPr>
          <w:p>
            <w:pPr>
              <w:spacing w:after="0" w:line="155" w:lineRule="exact"/>
              <w:rPr>
                <w:sz w:val="20"/>
                <w:szCs w:val="20"/>
                <w:color w:val="auto"/>
              </w:rPr>
            </w:pPr>
            <w:r>
              <w:rPr>
                <w:rFonts w:ascii="Arial" w:cs="Arial" w:eastAsia="Arial" w:hAnsi="Arial"/>
                <w:sz w:val="16"/>
                <w:szCs w:val="16"/>
                <w:color w:val="0000EE"/>
              </w:rPr>
              <w:t>2025 Compensation Program Overview</w:t>
            </w:r>
          </w:p>
        </w:tc>
        <w:tc>
          <w:tcPr>
            <w:tcW w:w="320" w:type="dxa"/>
            <w:vAlign w:val="bottom"/>
            <w:gridSpan w:val="6"/>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rPr>
              <w:t>29</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30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right w:val="single" w:sz="8" w:color="999999"/>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34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gridSpan w:val="36"/>
          </w:tcPr>
          <w:p>
            <w:pPr>
              <w:spacing w:after="0" w:line="163" w:lineRule="exact"/>
              <w:rPr>
                <w:sz w:val="20"/>
                <w:szCs w:val="20"/>
                <w:color w:val="auto"/>
              </w:rPr>
            </w:pPr>
            <w:r>
              <w:rPr>
                <w:rFonts w:ascii="Arial" w:cs="Arial" w:eastAsia="Arial" w:hAnsi="Arial"/>
                <w:sz w:val="16"/>
                <w:szCs w:val="16"/>
                <w:color w:val="0000EE"/>
              </w:rPr>
              <w:t>Say-on-Pay Vote and Stockholder Engagement on</w:t>
            </w:r>
          </w:p>
        </w:tc>
        <w:tc>
          <w:tcPr>
            <w:tcW w:w="80" w:type="dxa"/>
            <w:vAlign w:val="bottom"/>
          </w:tcPr>
          <w:p>
            <w:pPr>
              <w:spacing w:after="0"/>
              <w:rPr>
                <w:sz w:val="14"/>
                <w:szCs w:val="14"/>
                <w:color w:val="auto"/>
              </w:rPr>
            </w:pPr>
          </w:p>
        </w:tc>
        <w:tc>
          <w:tcPr>
            <w:tcW w:w="180" w:type="dxa"/>
            <w:vAlign w:val="bottom"/>
            <w:gridSpan w:val="4"/>
            <w:vMerge w:val="restart"/>
          </w:tcPr>
          <w:p>
            <w:pPr>
              <w:jc w:val="right"/>
              <w:spacing w:after="0"/>
              <w:rPr>
                <w:sz w:val="20"/>
                <w:szCs w:val="20"/>
                <w:color w:val="auto"/>
              </w:rPr>
            </w:pPr>
            <w:r>
              <w:rPr>
                <w:rFonts w:ascii="Arial" w:cs="Arial" w:eastAsia="Arial" w:hAnsi="Arial"/>
                <w:sz w:val="16"/>
                <w:szCs w:val="16"/>
                <w:color w:val="0000EE"/>
                <w:w w:val="89"/>
              </w:rPr>
              <w:t>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EE"/>
              <w:bottom w:val="single" w:sz="8" w:color="0000EE"/>
            </w:tcBorders>
            <w:gridSpan w:val="29"/>
          </w:tcPr>
          <w:p>
            <w:pPr>
              <w:spacing w:after="0" w:line="155" w:lineRule="exact"/>
              <w:rPr>
                <w:sz w:val="20"/>
                <w:szCs w:val="20"/>
                <w:color w:val="auto"/>
              </w:rPr>
            </w:pPr>
            <w:r>
              <w:rPr>
                <w:rFonts w:ascii="Arial" w:cs="Arial" w:eastAsia="Arial" w:hAnsi="Arial"/>
                <w:sz w:val="16"/>
                <w:szCs w:val="16"/>
                <w:color w:val="0000EE"/>
              </w:rPr>
              <w:t>Compensation</w:t>
            </w:r>
          </w:p>
        </w:tc>
        <w:tc>
          <w:tcPr>
            <w:tcW w:w="400" w:type="dxa"/>
            <w:vAlign w:val="bottom"/>
            <w:gridSpan w:val="7"/>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0000EE"/>
            </w:tcBorders>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-290830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-445135</wp:posOffset>
            </wp:positionV>
            <wp:extent cx="1460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-599440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-753745</wp:posOffset>
            </wp:positionV>
            <wp:extent cx="1460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-3256915</wp:posOffset>
            </wp:positionV>
            <wp:extent cx="1460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-3531235</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-3685540</wp:posOffset>
            </wp:positionV>
            <wp:extent cx="1460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-3839845</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-3994150</wp:posOffset>
            </wp:positionV>
            <wp:extent cx="1460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-4148455</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-4302760</wp:posOffset>
            </wp:positionV>
            <wp:extent cx="1460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-4457065</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-4611370</wp:posOffset>
            </wp:positionV>
            <wp:extent cx="1460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-4765675</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-4919980</wp:posOffset>
            </wp:positionV>
            <wp:extent cx="1460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-5074285</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-5228590</wp:posOffset>
            </wp:positionV>
            <wp:extent cx="1460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-5382895</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-6299835</wp:posOffset>
            </wp:positionV>
            <wp:extent cx="1460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-6454140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980" w:type="dxa"/>
            <w:vAlign w:val="bottom"/>
            <w:gridSpan w:val="43"/>
            <w:shd w:val="clear" w:color="auto" w:fill="CCEEFF"/>
          </w:tcPr>
          <w:p>
            <w:pPr>
              <w:spacing w:after="0"/>
              <w:rPr>
                <w:sz w:val="20"/>
                <w:szCs w:val="20"/>
                <w:color w:val="auto"/>
              </w:rPr>
            </w:pPr>
            <w:r>
              <w:rPr>
                <w:rFonts w:ascii="Arial" w:cs="Arial" w:eastAsia="Arial" w:hAnsi="Arial"/>
                <w:sz w:val="16"/>
                <w:szCs w:val="16"/>
                <w:color w:val="0000EE"/>
              </w:rPr>
              <w:t>Elements of 2025 Compensation Program</w:t>
            </w:r>
          </w:p>
        </w:tc>
        <w:tc>
          <w:tcPr>
            <w:tcW w:w="3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0000EE"/>
              </w:rPr>
              <w:t>30</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43"/>
          </w:tcPr>
          <w:p>
            <w:pPr>
              <w:spacing w:after="0" w:line="155" w:lineRule="exact"/>
              <w:rPr>
                <w:sz w:val="20"/>
                <w:szCs w:val="20"/>
                <w:color w:val="auto"/>
              </w:rPr>
            </w:pPr>
            <w:r>
              <w:rPr>
                <w:rFonts w:ascii="Arial" w:cs="Arial" w:eastAsia="Arial" w:hAnsi="Arial"/>
                <w:sz w:val="16"/>
                <w:szCs w:val="16"/>
                <w:color w:val="0000EE"/>
              </w:rPr>
              <w:t>Executive Compensation Policies and Practices</w:t>
            </w:r>
          </w:p>
        </w:tc>
        <w:tc>
          <w:tcPr>
            <w:tcW w:w="320" w:type="dxa"/>
            <w:vAlign w:val="bottom"/>
            <w:gridSpan w:val="4"/>
          </w:tcPr>
          <w:p>
            <w:pPr>
              <w:jc w:val="right"/>
              <w:ind w:right="60"/>
              <w:spacing w:after="0" w:line="155" w:lineRule="exact"/>
              <w:rPr>
                <w:sz w:val="20"/>
                <w:szCs w:val="20"/>
                <w:color w:val="auto"/>
              </w:rPr>
            </w:pPr>
            <w:r>
              <w:rPr>
                <w:rFonts w:ascii="Arial" w:cs="Arial" w:eastAsia="Arial" w:hAnsi="Arial"/>
                <w:sz w:val="16"/>
                <w:szCs w:val="16"/>
                <w:color w:val="0000EE"/>
              </w:rPr>
              <w:t>31</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980" w:type="dxa"/>
            <w:vAlign w:val="bottom"/>
            <w:gridSpan w:val="43"/>
            <w:shd w:val="clear" w:color="auto" w:fill="CCEEFF"/>
          </w:tcPr>
          <w:p>
            <w:pPr>
              <w:spacing w:after="0" w:line="155" w:lineRule="exact"/>
              <w:rPr>
                <w:sz w:val="20"/>
                <w:szCs w:val="20"/>
                <w:color w:val="auto"/>
              </w:rPr>
            </w:pPr>
            <w:r>
              <w:rPr>
                <w:rFonts w:ascii="Arial" w:cs="Arial" w:eastAsia="Arial" w:hAnsi="Arial"/>
                <w:sz w:val="16"/>
                <w:szCs w:val="16"/>
                <w:color w:val="0000EE"/>
              </w:rPr>
              <w:t>Governance of Executive Compensation Program</w:t>
            </w:r>
          </w:p>
        </w:tc>
        <w:tc>
          <w:tcPr>
            <w:tcW w:w="320" w:type="dxa"/>
            <w:vAlign w:val="bottom"/>
            <w:gridSpan w:val="4"/>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rPr>
              <w:t>32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gridSpan w:val="36"/>
          </w:tcPr>
          <w:p>
            <w:pPr>
              <w:spacing w:after="0" w:line="155" w:lineRule="exact"/>
              <w:rPr>
                <w:sz w:val="20"/>
                <w:szCs w:val="20"/>
                <w:color w:val="auto"/>
              </w:rPr>
            </w:pPr>
            <w:r>
              <w:rPr>
                <w:rFonts w:ascii="Arial" w:cs="Arial" w:eastAsia="Arial" w:hAnsi="Arial"/>
                <w:sz w:val="16"/>
                <w:szCs w:val="16"/>
                <w:color w:val="0000EE"/>
              </w:rPr>
              <w:t>Role of Our Officers</w:t>
            </w:r>
          </w:p>
        </w:tc>
        <w:tc>
          <w:tcPr>
            <w:tcW w:w="460" w:type="dxa"/>
            <w:vAlign w:val="bottom"/>
            <w:gridSpan w:val="7"/>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jc w:val="right"/>
              <w:ind w:right="60"/>
              <w:spacing w:after="0" w:line="155" w:lineRule="exact"/>
              <w:rPr>
                <w:sz w:val="20"/>
                <w:szCs w:val="20"/>
                <w:color w:val="auto"/>
              </w:rPr>
            </w:pPr>
            <w:r>
              <w:rPr>
                <w:rFonts w:ascii="Arial" w:cs="Arial" w:eastAsia="Arial" w:hAnsi="Arial"/>
                <w:sz w:val="16"/>
                <w:szCs w:val="16"/>
                <w:color w:val="0000EE"/>
                <w:w w:val="89"/>
              </w:rPr>
              <w:t>32</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0" w:type="dxa"/>
            <w:vAlign w:val="bottom"/>
            <w:gridSpan w:val="20"/>
            <w:shd w:val="clear" w:color="auto" w:fill="CCEEFF"/>
          </w:tcPr>
          <w:p>
            <w:pPr>
              <w:spacing w:after="0" w:line="155" w:lineRule="exact"/>
              <w:rPr>
                <w:sz w:val="20"/>
                <w:szCs w:val="20"/>
                <w:color w:val="auto"/>
              </w:rPr>
            </w:pPr>
            <w:r>
              <w:rPr>
                <w:rFonts w:ascii="Arial" w:cs="Arial" w:eastAsia="Arial" w:hAnsi="Arial"/>
                <w:sz w:val="16"/>
                <w:szCs w:val="16"/>
                <w:color w:val="0000EE"/>
                <w:w w:val="99"/>
              </w:rPr>
              <w:t>Role of Compensation Consultant</w:t>
            </w:r>
          </w:p>
        </w:tc>
        <w:tc>
          <w:tcPr>
            <w:tcW w:w="1580" w:type="dxa"/>
            <w:vAlign w:val="bottom"/>
            <w:gridSpan w:val="23"/>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32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20"/>
          </w:tcPr>
          <w:p>
            <w:pPr>
              <w:spacing w:after="0" w:line="155" w:lineRule="exact"/>
              <w:rPr>
                <w:sz w:val="20"/>
                <w:szCs w:val="20"/>
                <w:color w:val="auto"/>
              </w:rPr>
            </w:pPr>
            <w:r>
              <w:rPr>
                <w:rFonts w:ascii="Arial" w:cs="Arial" w:eastAsia="Arial" w:hAnsi="Arial"/>
                <w:sz w:val="16"/>
                <w:szCs w:val="16"/>
                <w:color w:val="0000EE"/>
              </w:rPr>
              <w:t>Competitive Positioning</w:t>
            </w:r>
          </w:p>
        </w:tc>
        <w:tc>
          <w:tcPr>
            <w:tcW w:w="1580" w:type="dxa"/>
            <w:vAlign w:val="bottom"/>
            <w:gridSpan w:val="23"/>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jc w:val="right"/>
              <w:ind w:right="60"/>
              <w:spacing w:after="0" w:line="155" w:lineRule="exact"/>
              <w:rPr>
                <w:sz w:val="20"/>
                <w:szCs w:val="20"/>
                <w:color w:val="auto"/>
              </w:rPr>
            </w:pPr>
            <w:r>
              <w:rPr>
                <w:rFonts w:ascii="Arial" w:cs="Arial" w:eastAsia="Arial" w:hAnsi="Arial"/>
                <w:sz w:val="16"/>
                <w:szCs w:val="16"/>
                <w:color w:val="0000EE"/>
                <w:w w:val="89"/>
              </w:rPr>
              <w:t>33</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80" w:type="dxa"/>
            <w:vAlign w:val="bottom"/>
            <w:gridSpan w:val="17"/>
            <w:shd w:val="clear" w:color="auto" w:fill="CCEEFF"/>
          </w:tcPr>
          <w:p>
            <w:pPr>
              <w:spacing w:after="0" w:line="155" w:lineRule="exact"/>
              <w:rPr>
                <w:sz w:val="20"/>
                <w:szCs w:val="20"/>
                <w:color w:val="auto"/>
              </w:rPr>
            </w:pPr>
            <w:r>
              <w:rPr>
                <w:rFonts w:ascii="Arial" w:cs="Arial" w:eastAsia="Arial" w:hAnsi="Arial"/>
                <w:sz w:val="16"/>
                <w:szCs w:val="16"/>
                <w:color w:val="0000EE"/>
                <w:w w:val="99"/>
              </w:rPr>
              <w:t>2025 Compensation Decisions</w:t>
            </w:r>
          </w:p>
        </w:tc>
        <w:tc>
          <w:tcPr>
            <w:tcW w:w="1800" w:type="dxa"/>
            <w:vAlign w:val="bottom"/>
            <w:gridSpan w:val="26"/>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34</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gridSpan w:val="43"/>
          </w:tcPr>
          <w:p>
            <w:pPr>
              <w:spacing w:after="0" w:line="163" w:lineRule="exact"/>
              <w:rPr>
                <w:sz w:val="20"/>
                <w:szCs w:val="20"/>
                <w:color w:val="auto"/>
              </w:rPr>
            </w:pPr>
            <w:r>
              <w:rPr>
                <w:rFonts w:ascii="Arial" w:cs="Arial" w:eastAsia="Arial" w:hAnsi="Arial"/>
                <w:sz w:val="16"/>
                <w:szCs w:val="16"/>
                <w:color w:val="0000EE"/>
              </w:rPr>
              <w:t>Employment Agreements &amp; Post-Employment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top w:val="single" w:sz="8" w:color="0000EE"/>
            </w:tcBorders>
            <w:gridSpan w:val="31"/>
          </w:tcPr>
          <w:p>
            <w:pPr>
              <w:spacing w:after="0" w:line="183" w:lineRule="exact"/>
              <w:rPr>
                <w:sz w:val="20"/>
                <w:szCs w:val="20"/>
                <w:color w:val="auto"/>
              </w:rPr>
            </w:pPr>
            <w:r>
              <w:rPr>
                <w:rFonts w:ascii="Arial" w:cs="Arial" w:eastAsia="Arial" w:hAnsi="Arial"/>
                <w:sz w:val="16"/>
                <w:szCs w:val="16"/>
                <w:color w:val="0000EE"/>
              </w:rPr>
              <w:t>Compensation</w:t>
            </w:r>
          </w:p>
        </w:tc>
        <w:tc>
          <w:tcPr>
            <w:tcW w:w="720" w:type="dxa"/>
            <w:vAlign w:val="bottom"/>
            <w:gridSpan w:val="12"/>
          </w:tcPr>
          <w:p>
            <w:pPr>
              <w:spacing w:after="0"/>
              <w:rPr>
                <w:sz w:val="15"/>
                <w:szCs w:val="15"/>
                <w:color w:val="auto"/>
              </w:rPr>
            </w:pPr>
          </w:p>
        </w:tc>
        <w:tc>
          <w:tcPr>
            <w:tcW w:w="320" w:type="dxa"/>
            <w:vAlign w:val="bottom"/>
            <w:gridSpan w:val="4"/>
          </w:tcPr>
          <w:p>
            <w:pPr>
              <w:jc w:val="right"/>
              <w:ind w:right="60"/>
              <w:spacing w:after="0" w:line="183" w:lineRule="exact"/>
              <w:rPr>
                <w:sz w:val="20"/>
                <w:szCs w:val="20"/>
                <w:color w:val="auto"/>
              </w:rPr>
            </w:pPr>
            <w:r>
              <w:rPr>
                <w:rFonts w:ascii="Arial" w:cs="Arial" w:eastAsia="Arial" w:hAnsi="Arial"/>
                <w:sz w:val="16"/>
                <w:szCs w:val="16"/>
                <w:color w:val="0000EE"/>
              </w:rPr>
              <w:t>37</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980" w:type="dxa"/>
            <w:vAlign w:val="bottom"/>
            <w:gridSpan w:val="43"/>
            <w:shd w:val="clear" w:color="auto" w:fill="CCEEFF"/>
          </w:tcPr>
          <w:p>
            <w:pPr>
              <w:spacing w:after="0" w:line="155" w:lineRule="exact"/>
              <w:rPr>
                <w:sz w:val="20"/>
                <w:szCs w:val="20"/>
                <w:color w:val="auto"/>
              </w:rPr>
            </w:pPr>
            <w:r>
              <w:rPr>
                <w:rFonts w:ascii="Arial" w:cs="Arial" w:eastAsia="Arial" w:hAnsi="Arial"/>
                <w:sz w:val="16"/>
                <w:szCs w:val="16"/>
                <w:color w:val="0000EE"/>
              </w:rPr>
              <w:t>Other Compensation Policies and Practices</w:t>
            </w:r>
          </w:p>
        </w:tc>
        <w:tc>
          <w:tcPr>
            <w:tcW w:w="320" w:type="dxa"/>
            <w:vAlign w:val="bottom"/>
            <w:gridSpan w:val="4"/>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rPr>
              <w:t>37</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29"/>
          </w:tcPr>
          <w:p>
            <w:pPr>
              <w:spacing w:after="0" w:line="155" w:lineRule="exact"/>
              <w:rPr>
                <w:sz w:val="20"/>
                <w:szCs w:val="20"/>
                <w:color w:val="auto"/>
              </w:rPr>
            </w:pPr>
            <w:r>
              <w:rPr>
                <w:rFonts w:ascii="Arial" w:cs="Arial" w:eastAsia="Arial" w:hAnsi="Arial"/>
                <w:sz w:val="16"/>
                <w:szCs w:val="16"/>
                <w:color w:val="0000EE"/>
              </w:rPr>
              <w:t>Tax and Accounting Considerations</w:t>
            </w:r>
          </w:p>
        </w:tc>
        <w:tc>
          <w:tcPr>
            <w:tcW w:w="900" w:type="dxa"/>
            <w:vAlign w:val="bottom"/>
            <w:gridSpan w:val="14"/>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jc w:val="right"/>
              <w:ind w:right="60"/>
              <w:spacing w:after="0" w:line="155" w:lineRule="exact"/>
              <w:rPr>
                <w:sz w:val="20"/>
                <w:szCs w:val="20"/>
                <w:color w:val="auto"/>
              </w:rPr>
            </w:pPr>
            <w:r>
              <w:rPr>
                <w:rFonts w:ascii="Arial" w:cs="Arial" w:eastAsia="Arial" w:hAnsi="Arial"/>
                <w:sz w:val="16"/>
                <w:szCs w:val="16"/>
                <w:color w:val="0000EE"/>
                <w:w w:val="89"/>
              </w:rPr>
              <w:t>38</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0" w:type="dxa"/>
            <w:vAlign w:val="bottom"/>
            <w:gridSpan w:val="23"/>
            <w:shd w:val="clear" w:color="auto" w:fill="CCEEFF"/>
          </w:tcPr>
          <w:p>
            <w:pPr>
              <w:spacing w:after="0" w:line="155" w:lineRule="exact"/>
              <w:rPr>
                <w:sz w:val="20"/>
                <w:szCs w:val="20"/>
                <w:color w:val="auto"/>
              </w:rPr>
            </w:pPr>
            <w:r>
              <w:rPr>
                <w:rFonts w:ascii="Arial" w:cs="Arial" w:eastAsia="Arial" w:hAnsi="Arial"/>
                <w:sz w:val="16"/>
                <w:szCs w:val="16"/>
                <w:color w:val="0000EE"/>
                <w:w w:val="99"/>
              </w:rPr>
              <w:t>2025 Summary Compensation Table</w:t>
            </w:r>
          </w:p>
        </w:tc>
        <w:tc>
          <w:tcPr>
            <w:tcW w:w="1380" w:type="dxa"/>
            <w:vAlign w:val="bottom"/>
            <w:gridSpan w:val="20"/>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39</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gridSpan w:val="23"/>
          </w:tcPr>
          <w:p>
            <w:pPr>
              <w:spacing w:after="0" w:line="155" w:lineRule="exact"/>
              <w:rPr>
                <w:sz w:val="20"/>
                <w:szCs w:val="20"/>
                <w:color w:val="auto"/>
              </w:rPr>
            </w:pPr>
            <w:r>
              <w:rPr>
                <w:rFonts w:ascii="Arial" w:cs="Arial" w:eastAsia="Arial" w:hAnsi="Arial"/>
                <w:sz w:val="16"/>
                <w:szCs w:val="16"/>
                <w:color w:val="0000EE"/>
              </w:rPr>
              <w:t>2025 Grants of Plan-Based Awards</w:t>
            </w:r>
          </w:p>
        </w:tc>
        <w:tc>
          <w:tcPr>
            <w:tcW w:w="1380" w:type="dxa"/>
            <w:vAlign w:val="bottom"/>
            <w:gridSpan w:val="20"/>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jc w:val="right"/>
              <w:ind w:right="60"/>
              <w:spacing w:after="0" w:line="155" w:lineRule="exact"/>
              <w:rPr>
                <w:sz w:val="20"/>
                <w:szCs w:val="20"/>
                <w:color w:val="auto"/>
              </w:rPr>
            </w:pPr>
            <w:r>
              <w:rPr>
                <w:rFonts w:ascii="Arial" w:cs="Arial" w:eastAsia="Arial" w:hAnsi="Arial"/>
                <w:sz w:val="16"/>
                <w:szCs w:val="16"/>
                <w:color w:val="0000EE"/>
                <w:w w:val="89"/>
              </w:rPr>
              <w:t>40</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80" w:type="dxa"/>
            <w:vAlign w:val="bottom"/>
            <w:gridSpan w:val="37"/>
            <w:shd w:val="clear" w:color="auto" w:fill="CCEEFF"/>
          </w:tcPr>
          <w:p>
            <w:pPr>
              <w:spacing w:after="0" w:line="155" w:lineRule="exact"/>
              <w:rPr>
                <w:sz w:val="20"/>
                <w:szCs w:val="20"/>
                <w:color w:val="auto"/>
              </w:rPr>
            </w:pPr>
            <w:r>
              <w:rPr>
                <w:rFonts w:ascii="Arial" w:cs="Arial" w:eastAsia="Arial" w:hAnsi="Arial"/>
                <w:sz w:val="16"/>
                <w:szCs w:val="16"/>
                <w:color w:val="0000EE"/>
                <w:w w:val="99"/>
              </w:rPr>
              <w:t>Outstanding Equity Awards at 2025 Fiscal Year-End</w:t>
            </w:r>
          </w:p>
        </w:tc>
        <w:tc>
          <w:tcPr>
            <w:tcW w:w="300" w:type="dxa"/>
            <w:vAlign w:val="bottom"/>
            <w:gridSpan w:val="6"/>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41</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gridSpan w:val="37"/>
          </w:tcPr>
          <w:p>
            <w:pPr>
              <w:spacing w:after="0" w:line="155" w:lineRule="exact"/>
              <w:rPr>
                <w:sz w:val="20"/>
                <w:szCs w:val="20"/>
                <w:color w:val="auto"/>
              </w:rPr>
            </w:pPr>
            <w:r>
              <w:rPr>
                <w:rFonts w:ascii="Arial" w:cs="Arial" w:eastAsia="Arial" w:hAnsi="Arial"/>
                <w:sz w:val="16"/>
                <w:szCs w:val="16"/>
                <w:color w:val="0000EE"/>
              </w:rPr>
              <w:t>2025 Option Exercises and Stock Vested</w:t>
            </w:r>
          </w:p>
        </w:tc>
        <w:tc>
          <w:tcPr>
            <w:tcW w:w="300" w:type="dxa"/>
            <w:vAlign w:val="bottom"/>
            <w:gridSpan w:val="6"/>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jc w:val="right"/>
              <w:ind w:right="60"/>
              <w:spacing w:after="0" w:line="155" w:lineRule="exact"/>
              <w:rPr>
                <w:sz w:val="20"/>
                <w:szCs w:val="20"/>
                <w:color w:val="auto"/>
              </w:rPr>
            </w:pPr>
            <w:r>
              <w:rPr>
                <w:rFonts w:ascii="Arial" w:cs="Arial" w:eastAsia="Arial" w:hAnsi="Arial"/>
                <w:sz w:val="16"/>
                <w:szCs w:val="16"/>
                <w:color w:val="0000EE"/>
                <w:w w:val="89"/>
              </w:rPr>
              <w:t>42</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0000EE"/>
            </w:tcBorders>
            <w:gridSpan w:val="39"/>
            <w:shd w:val="clear" w:color="auto" w:fill="CCEEFF"/>
          </w:tcPr>
          <w:p>
            <w:pPr>
              <w:spacing w:after="0" w:line="163" w:lineRule="exact"/>
              <w:rPr>
                <w:sz w:val="20"/>
                <w:szCs w:val="20"/>
                <w:color w:val="auto"/>
              </w:rPr>
            </w:pPr>
            <w:r>
              <w:rPr>
                <w:rFonts w:ascii="Arial" w:cs="Arial" w:eastAsia="Arial" w:hAnsi="Arial"/>
                <w:sz w:val="16"/>
                <w:szCs w:val="16"/>
                <w:color w:val="0000EE"/>
                <w:w w:val="99"/>
              </w:rPr>
              <w:t>Potential Payments Upon Termination and Change of</w:t>
            </w:r>
          </w:p>
        </w:tc>
        <w:tc>
          <w:tcPr>
            <w:tcW w:w="200" w:type="dxa"/>
            <w:vAlign w:val="bottom"/>
            <w:tcBorders>
              <w:bottom w:val="single" w:sz="8" w:color="CCEEFF"/>
            </w:tcBorders>
            <w:gridSpan w:val="4"/>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980" w:type="dxa"/>
            <w:vAlign w:val="bottom"/>
            <w:gridSpan w:val="43"/>
            <w:shd w:val="clear" w:color="auto" w:fill="CCEEFF"/>
          </w:tcPr>
          <w:p>
            <w:pPr>
              <w:spacing w:after="0" w:line="183" w:lineRule="exact"/>
              <w:rPr>
                <w:sz w:val="20"/>
                <w:szCs w:val="20"/>
                <w:color w:val="auto"/>
              </w:rPr>
            </w:pPr>
            <w:r>
              <w:rPr>
                <w:rFonts w:ascii="Arial" w:cs="Arial" w:eastAsia="Arial" w:hAnsi="Arial"/>
                <w:sz w:val="16"/>
                <w:szCs w:val="16"/>
                <w:color w:val="0000EE"/>
              </w:rPr>
              <w:t>Control</w:t>
            </w:r>
          </w:p>
        </w:tc>
        <w:tc>
          <w:tcPr>
            <w:tcW w:w="320" w:type="dxa"/>
            <w:vAlign w:val="bottom"/>
            <w:gridSpan w:val="4"/>
            <w:shd w:val="clear" w:color="auto" w:fill="CCEEFF"/>
          </w:tcPr>
          <w:p>
            <w:pPr>
              <w:jc w:val="right"/>
              <w:ind w:right="60"/>
              <w:spacing w:after="0" w:line="183" w:lineRule="exact"/>
              <w:rPr>
                <w:sz w:val="20"/>
                <w:szCs w:val="20"/>
                <w:color w:val="auto"/>
              </w:rPr>
            </w:pPr>
            <w:r>
              <w:rPr>
                <w:rFonts w:ascii="Arial" w:cs="Arial" w:eastAsia="Arial" w:hAnsi="Arial"/>
                <w:sz w:val="16"/>
                <w:szCs w:val="16"/>
                <w:color w:val="0000EE"/>
              </w:rPr>
              <w:t>42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80" w:type="dxa"/>
            <w:vAlign w:val="bottom"/>
            <w:tcBorders>
              <w:top w:val="single" w:sz="8" w:color="CCEEFF"/>
            </w:tcBorders>
            <w:shd w:val="clear" w:color="auto" w:fill="999999"/>
          </w:tcPr>
          <w:p>
            <w:pPr>
              <w:spacing w:after="0" w:line="20" w:lineRule="exact"/>
              <w:rPr>
                <w:sz w:val="1"/>
                <w:szCs w:val="1"/>
                <w:color w:val="auto"/>
              </w:rPr>
            </w:pPr>
          </w:p>
        </w:tc>
        <w:tc>
          <w:tcPr>
            <w:tcW w:w="2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43"/>
          </w:tcPr>
          <w:p>
            <w:pPr>
              <w:spacing w:after="0" w:line="155" w:lineRule="exact"/>
              <w:rPr>
                <w:sz w:val="20"/>
                <w:szCs w:val="20"/>
                <w:color w:val="auto"/>
              </w:rPr>
            </w:pPr>
            <w:r>
              <w:rPr>
                <w:rFonts w:ascii="Arial" w:cs="Arial" w:eastAsia="Arial" w:hAnsi="Arial"/>
                <w:sz w:val="16"/>
                <w:szCs w:val="16"/>
                <w:color w:val="0000EE"/>
              </w:rPr>
              <w:t>CEO Pay-Ratio Disclosure</w:t>
            </w:r>
          </w:p>
        </w:tc>
        <w:tc>
          <w:tcPr>
            <w:tcW w:w="320" w:type="dxa"/>
            <w:vAlign w:val="bottom"/>
            <w:gridSpan w:val="4"/>
          </w:tcPr>
          <w:p>
            <w:pPr>
              <w:jc w:val="right"/>
              <w:ind w:right="60"/>
              <w:spacing w:after="0" w:line="155" w:lineRule="exact"/>
              <w:rPr>
                <w:sz w:val="20"/>
                <w:szCs w:val="20"/>
                <w:color w:val="auto"/>
              </w:rPr>
            </w:pPr>
            <w:r>
              <w:rPr>
                <w:rFonts w:ascii="Arial" w:cs="Arial" w:eastAsia="Arial" w:hAnsi="Arial"/>
                <w:sz w:val="16"/>
                <w:szCs w:val="16"/>
                <w:color w:val="0000EE"/>
              </w:rPr>
              <w:t>45</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0" w:type="dxa"/>
            <w:vAlign w:val="bottom"/>
            <w:gridSpan w:val="10"/>
            <w:shd w:val="clear" w:color="auto" w:fill="CCEEFF"/>
          </w:tcPr>
          <w:p>
            <w:pPr>
              <w:spacing w:after="0" w:line="155" w:lineRule="exact"/>
              <w:rPr>
                <w:sz w:val="20"/>
                <w:szCs w:val="20"/>
                <w:color w:val="auto"/>
              </w:rPr>
            </w:pPr>
            <w:r>
              <w:rPr>
                <w:rFonts w:ascii="Arial" w:cs="Arial" w:eastAsia="Arial" w:hAnsi="Arial"/>
                <w:sz w:val="16"/>
                <w:szCs w:val="16"/>
                <w:color w:val="0000EE"/>
                <w:w w:val="99"/>
              </w:rPr>
              <w:t>Pay vs. Performance</w:t>
            </w:r>
          </w:p>
        </w:tc>
        <w:tc>
          <w:tcPr>
            <w:tcW w:w="2480" w:type="dxa"/>
            <w:vAlign w:val="bottom"/>
            <w:gridSpan w:val="33"/>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45</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CCEEFF"/>
            </w:tcBorders>
            <w:shd w:val="clear" w:color="auto" w:fill="999999"/>
          </w:tcPr>
          <w:p>
            <w:pPr>
              <w:spacing w:after="0" w:line="20" w:lineRule="exact"/>
              <w:rPr>
                <w:sz w:val="1"/>
                <w:szCs w:val="1"/>
                <w:color w:val="auto"/>
              </w:rPr>
            </w:pPr>
          </w:p>
        </w:tc>
        <w:tc>
          <w:tcPr>
            <w:tcW w:w="2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43"/>
          </w:tcPr>
          <w:p>
            <w:pPr>
              <w:spacing w:after="0" w:line="169" w:lineRule="exact"/>
              <w:rPr>
                <w:sz w:val="20"/>
                <w:szCs w:val="20"/>
                <w:color w:val="auto"/>
              </w:rPr>
            </w:pPr>
            <w:r>
              <w:rPr>
                <w:rFonts w:ascii="Arial" w:cs="Arial" w:eastAsia="Arial" w:hAnsi="Arial"/>
                <w:sz w:val="16"/>
                <w:szCs w:val="16"/>
                <w:color w:val="0000EE"/>
              </w:rPr>
              <w:t>2025 Director Compensation</w:t>
            </w:r>
          </w:p>
        </w:tc>
        <w:tc>
          <w:tcPr>
            <w:tcW w:w="320" w:type="dxa"/>
            <w:vAlign w:val="bottom"/>
            <w:gridSpan w:val="4"/>
          </w:tcPr>
          <w:p>
            <w:pPr>
              <w:jc w:val="right"/>
              <w:ind w:right="60"/>
              <w:spacing w:after="0" w:line="169" w:lineRule="exact"/>
              <w:rPr>
                <w:sz w:val="20"/>
                <w:szCs w:val="20"/>
                <w:color w:val="auto"/>
              </w:rPr>
            </w:pPr>
            <w:r>
              <w:rPr>
                <w:rFonts w:ascii="Arial" w:cs="Arial" w:eastAsia="Arial" w:hAnsi="Arial"/>
                <w:sz w:val="16"/>
                <w:szCs w:val="16"/>
                <w:color w:val="0000EE"/>
              </w:rPr>
              <w:t>50</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gridSpan w:val="45"/>
            <w:shd w:val="clear" w:color="auto" w:fill="CCEEFF"/>
          </w:tcPr>
          <w:p>
            <w:pPr>
              <w:spacing w:after="0"/>
              <w:rPr>
                <w:sz w:val="20"/>
                <w:szCs w:val="20"/>
                <w:color w:val="auto"/>
              </w:rPr>
            </w:pPr>
            <w:r>
              <w:rPr>
                <w:rFonts w:ascii="Arial" w:cs="Arial" w:eastAsia="Arial" w:hAnsi="Arial"/>
                <w:sz w:val="16"/>
                <w:szCs w:val="16"/>
                <w:b w:val="1"/>
                <w:bCs w:val="1"/>
                <w:color w:val="4834BA"/>
                <w:w w:val="97"/>
              </w:rPr>
              <w:t>PROPOSAL NO. 4 APPROVE THE AMENDMENT OF OUR</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20" w:type="dxa"/>
            <w:vAlign w:val="bottom"/>
            <w:tcBorders>
              <w:top w:val="single" w:sz="8" w:color="4834BA"/>
              <w:bottom w:val="single" w:sz="8" w:color="4834BA"/>
            </w:tcBorders>
            <w:gridSpan w:val="37"/>
            <w:shd w:val="clear" w:color="auto" w:fill="CCEEFF"/>
          </w:tcPr>
          <w:p>
            <w:pPr>
              <w:spacing w:after="0" w:line="183" w:lineRule="exact"/>
              <w:rPr>
                <w:sz w:val="20"/>
                <w:szCs w:val="20"/>
                <w:color w:val="auto"/>
              </w:rPr>
            </w:pPr>
            <w:r>
              <w:rPr>
                <w:rFonts w:ascii="Arial" w:cs="Arial" w:eastAsia="Arial" w:hAnsi="Arial"/>
                <w:sz w:val="16"/>
                <w:szCs w:val="16"/>
                <w:b w:val="1"/>
                <w:bCs w:val="1"/>
                <w:color w:val="4834BA"/>
                <w:w w:val="90"/>
              </w:rPr>
              <w:t>CERTIFICATE OF INCORPORATION TO CLARIFY THE</w:t>
            </w:r>
          </w:p>
        </w:tc>
        <w:tc>
          <w:tcPr>
            <w:tcW w:w="220" w:type="dxa"/>
            <w:vAlign w:val="bottom"/>
            <w:tcBorders>
              <w:top w:val="single" w:sz="8" w:color="4834BA"/>
              <w:bottom w:val="single" w:sz="8" w:color="CCEEFF"/>
            </w:tcBorders>
            <w:gridSpan w:val="3"/>
            <w:shd w:val="clear" w:color="auto" w:fill="CCEEFF"/>
          </w:tcPr>
          <w:p>
            <w:pPr>
              <w:spacing w:after="0"/>
              <w:rPr>
                <w:sz w:val="15"/>
                <w:szCs w:val="15"/>
                <w:color w:val="auto"/>
              </w:rPr>
            </w:pPr>
          </w:p>
        </w:tc>
        <w:tc>
          <w:tcPr>
            <w:tcW w:w="28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20" w:type="dxa"/>
            <w:vAlign w:val="bottom"/>
            <w:gridSpan w:val="45"/>
            <w:shd w:val="clear" w:color="auto" w:fill="CCEEFF"/>
          </w:tcPr>
          <w:p>
            <w:pPr>
              <w:spacing w:after="0" w:line="183" w:lineRule="exact"/>
              <w:rPr>
                <w:sz w:val="20"/>
                <w:szCs w:val="20"/>
                <w:color w:val="auto"/>
              </w:rPr>
            </w:pPr>
            <w:r>
              <w:rPr>
                <w:rFonts w:ascii="Arial" w:cs="Arial" w:eastAsia="Arial" w:hAnsi="Arial"/>
                <w:sz w:val="16"/>
                <w:szCs w:val="16"/>
                <w:b w:val="1"/>
                <w:bCs w:val="1"/>
                <w:color w:val="4834BA"/>
                <w:w w:val="93"/>
              </w:rPr>
              <w:t>VOTING STANDARD THAT APPLIES TO CERTAIN FUTURE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60" w:type="dxa"/>
            <w:vAlign w:val="bottom"/>
            <w:tcBorders>
              <w:top w:val="single" w:sz="8" w:color="4834BA"/>
              <w:bottom w:val="single" w:sz="8" w:color="4834BA"/>
            </w:tcBorders>
            <w:gridSpan w:val="7"/>
            <w:shd w:val="clear" w:color="auto" w:fill="CCEEFF"/>
          </w:tcPr>
          <w:p>
            <w:pPr>
              <w:spacing w:after="0" w:line="155" w:lineRule="exact"/>
              <w:rPr>
                <w:sz w:val="20"/>
                <w:szCs w:val="20"/>
                <w:color w:val="auto"/>
              </w:rPr>
            </w:pPr>
            <w:r>
              <w:rPr>
                <w:rFonts w:ascii="Arial" w:cs="Arial" w:eastAsia="Arial" w:hAnsi="Arial"/>
                <w:sz w:val="16"/>
                <w:szCs w:val="16"/>
                <w:b w:val="1"/>
                <w:bCs w:val="1"/>
                <w:color w:val="4834BA"/>
                <w:w w:val="90"/>
              </w:rPr>
              <w:t>AMENDMENTS</w:t>
            </w:r>
          </w:p>
        </w:tc>
        <w:tc>
          <w:tcPr>
            <w:tcW w:w="120" w:type="dxa"/>
            <w:vAlign w:val="bottom"/>
            <w:tcBorders>
              <w:top w:val="single" w:sz="8" w:color="4834BA"/>
              <w:bottom w:val="single" w:sz="8" w:color="4834BA"/>
            </w:tcBorders>
            <w:shd w:val="clear" w:color="auto" w:fill="CCEEFF"/>
          </w:tcPr>
          <w:p>
            <w:pPr>
              <w:spacing w:after="0"/>
              <w:rPr>
                <w:sz w:val="16"/>
                <w:szCs w:val="16"/>
                <w:color w:val="auto"/>
              </w:rPr>
            </w:pPr>
          </w:p>
        </w:tc>
        <w:tc>
          <w:tcPr>
            <w:tcW w:w="380" w:type="dxa"/>
            <w:vAlign w:val="bottom"/>
            <w:tcBorders>
              <w:top w:val="single" w:sz="8" w:color="4834BA"/>
              <w:bottom w:val="single" w:sz="8" w:color="4834BA"/>
            </w:tcBorders>
            <w:gridSpan w:val="2"/>
            <w:shd w:val="clear" w:color="auto" w:fill="CCEEFF"/>
          </w:tcPr>
          <w:p>
            <w:pPr>
              <w:spacing w:after="0"/>
              <w:rPr>
                <w:sz w:val="16"/>
                <w:szCs w:val="16"/>
                <w:color w:val="auto"/>
              </w:rPr>
            </w:pPr>
          </w:p>
        </w:tc>
        <w:tc>
          <w:tcPr>
            <w:tcW w:w="580" w:type="dxa"/>
            <w:vAlign w:val="bottom"/>
            <w:tcBorders>
              <w:top w:val="single" w:sz="8" w:color="4834BA"/>
              <w:bottom w:val="single" w:sz="8" w:color="4834BA"/>
            </w:tcBorders>
            <w:gridSpan w:val="4"/>
            <w:shd w:val="clear" w:color="auto" w:fill="CCEEFF"/>
          </w:tcPr>
          <w:p>
            <w:pPr>
              <w:spacing w:after="0"/>
              <w:rPr>
                <w:sz w:val="16"/>
                <w:szCs w:val="16"/>
                <w:color w:val="auto"/>
              </w:rPr>
            </w:pPr>
          </w:p>
        </w:tc>
        <w:tc>
          <w:tcPr>
            <w:tcW w:w="20" w:type="dxa"/>
            <w:vAlign w:val="bottom"/>
            <w:tcBorders>
              <w:top w:val="single" w:sz="8" w:color="4834BA"/>
              <w:bottom w:val="single" w:sz="8" w:color="4834BA"/>
            </w:tcBorders>
            <w:shd w:val="clear" w:color="auto" w:fill="CCEEFF"/>
          </w:tcPr>
          <w:p>
            <w:pPr>
              <w:spacing w:after="0"/>
              <w:rPr>
                <w:sz w:val="16"/>
                <w:szCs w:val="16"/>
                <w:color w:val="auto"/>
              </w:rPr>
            </w:pPr>
          </w:p>
        </w:tc>
        <w:tc>
          <w:tcPr>
            <w:tcW w:w="140" w:type="dxa"/>
            <w:vAlign w:val="bottom"/>
            <w:tcBorders>
              <w:top w:val="single" w:sz="8" w:color="4834BA"/>
              <w:bottom w:val="single" w:sz="8" w:color="4834BA"/>
            </w:tcBorders>
            <w:gridSpan w:val="2"/>
            <w:shd w:val="clear" w:color="auto" w:fill="CCEEFF"/>
          </w:tcPr>
          <w:p>
            <w:pPr>
              <w:spacing w:after="0"/>
              <w:rPr>
                <w:sz w:val="16"/>
                <w:szCs w:val="16"/>
                <w:color w:val="auto"/>
              </w:rPr>
            </w:pPr>
          </w:p>
        </w:tc>
        <w:tc>
          <w:tcPr>
            <w:tcW w:w="40" w:type="dxa"/>
            <w:vAlign w:val="bottom"/>
            <w:tcBorders>
              <w:top w:val="single" w:sz="8" w:color="4834BA"/>
              <w:bottom w:val="single" w:sz="8" w:color="4834BA"/>
            </w:tcBorders>
            <w:shd w:val="clear" w:color="auto" w:fill="CCEEFF"/>
          </w:tcPr>
          <w:p>
            <w:pPr>
              <w:spacing w:after="0"/>
              <w:rPr>
                <w:sz w:val="16"/>
                <w:szCs w:val="16"/>
                <w:color w:val="auto"/>
              </w:rPr>
            </w:pPr>
          </w:p>
        </w:tc>
        <w:tc>
          <w:tcPr>
            <w:tcW w:w="160" w:type="dxa"/>
            <w:vAlign w:val="bottom"/>
            <w:tcBorders>
              <w:top w:val="single" w:sz="8" w:color="4834BA"/>
              <w:bottom w:val="single" w:sz="8" w:color="4834BA"/>
            </w:tcBorders>
            <w:gridSpan w:val="2"/>
            <w:shd w:val="clear" w:color="auto" w:fill="CCEEFF"/>
          </w:tcPr>
          <w:p>
            <w:pPr>
              <w:spacing w:after="0"/>
              <w:rPr>
                <w:sz w:val="16"/>
                <w:szCs w:val="16"/>
                <w:color w:val="auto"/>
              </w:rPr>
            </w:pPr>
          </w:p>
        </w:tc>
        <w:tc>
          <w:tcPr>
            <w:tcW w:w="60" w:type="dxa"/>
            <w:vAlign w:val="bottom"/>
            <w:tcBorders>
              <w:top w:val="single" w:sz="8" w:color="4834BA"/>
              <w:bottom w:val="single" w:sz="8" w:color="4834BA"/>
            </w:tcBorders>
            <w:shd w:val="clear" w:color="auto" w:fill="CCEEFF"/>
          </w:tcPr>
          <w:p>
            <w:pPr>
              <w:spacing w:after="0"/>
              <w:rPr>
                <w:sz w:val="16"/>
                <w:szCs w:val="16"/>
                <w:color w:val="auto"/>
              </w:rPr>
            </w:pPr>
          </w:p>
        </w:tc>
        <w:tc>
          <w:tcPr>
            <w:tcW w:w="120" w:type="dxa"/>
            <w:vAlign w:val="bottom"/>
            <w:tcBorders>
              <w:top w:val="single" w:sz="8" w:color="4834BA"/>
              <w:bottom w:val="single" w:sz="8" w:color="4834BA"/>
            </w:tcBorders>
            <w:gridSpan w:val="2"/>
            <w:shd w:val="clear" w:color="auto" w:fill="CCEEFF"/>
          </w:tcPr>
          <w:p>
            <w:pPr>
              <w:spacing w:after="0"/>
              <w:rPr>
                <w:sz w:val="16"/>
                <w:szCs w:val="16"/>
                <w:color w:val="auto"/>
              </w:rPr>
            </w:pPr>
          </w:p>
        </w:tc>
        <w:tc>
          <w:tcPr>
            <w:tcW w:w="300" w:type="dxa"/>
            <w:vAlign w:val="bottom"/>
            <w:tcBorders>
              <w:top w:val="single" w:sz="8" w:color="4834BA"/>
              <w:bottom w:val="single" w:sz="8" w:color="4834BA"/>
            </w:tcBorders>
            <w:gridSpan w:val="3"/>
            <w:shd w:val="clear" w:color="auto" w:fill="CCEEFF"/>
          </w:tcPr>
          <w:p>
            <w:pPr>
              <w:spacing w:after="0"/>
              <w:rPr>
                <w:sz w:val="16"/>
                <w:szCs w:val="16"/>
                <w:color w:val="auto"/>
              </w:rPr>
            </w:pPr>
          </w:p>
        </w:tc>
        <w:tc>
          <w:tcPr>
            <w:tcW w:w="300" w:type="dxa"/>
            <w:vAlign w:val="bottom"/>
            <w:tcBorders>
              <w:top w:val="single" w:sz="8" w:color="4834BA"/>
              <w:bottom w:val="single" w:sz="8" w:color="4834BA"/>
            </w:tcBorders>
            <w:gridSpan w:val="3"/>
            <w:shd w:val="clear" w:color="auto" w:fill="CCEEFF"/>
          </w:tcPr>
          <w:p>
            <w:pPr>
              <w:spacing w:after="0"/>
              <w:rPr>
                <w:sz w:val="16"/>
                <w:szCs w:val="16"/>
                <w:color w:val="auto"/>
              </w:rPr>
            </w:pPr>
          </w:p>
        </w:tc>
        <w:tc>
          <w:tcPr>
            <w:tcW w:w="20" w:type="dxa"/>
            <w:vAlign w:val="bottom"/>
            <w:tcBorders>
              <w:top w:val="single" w:sz="8" w:color="4834BA"/>
              <w:bottom w:val="single" w:sz="8" w:color="4834BA"/>
            </w:tcBorders>
            <w:shd w:val="clear" w:color="auto" w:fill="CCEEFF"/>
          </w:tcPr>
          <w:p>
            <w:pPr>
              <w:spacing w:after="0"/>
              <w:rPr>
                <w:sz w:val="16"/>
                <w:szCs w:val="16"/>
                <w:color w:val="auto"/>
              </w:rPr>
            </w:pPr>
          </w:p>
        </w:tc>
        <w:tc>
          <w:tcPr>
            <w:tcW w:w="140" w:type="dxa"/>
            <w:vAlign w:val="bottom"/>
            <w:tcBorders>
              <w:top w:val="single" w:sz="8" w:color="4834BA"/>
              <w:bottom w:val="single" w:sz="8" w:color="4834BA"/>
            </w:tcBorders>
            <w:gridSpan w:val="2"/>
            <w:shd w:val="clear" w:color="auto" w:fill="CCEEFF"/>
          </w:tcPr>
          <w:p>
            <w:pPr>
              <w:spacing w:after="0"/>
              <w:rPr>
                <w:sz w:val="16"/>
                <w:szCs w:val="16"/>
                <w:color w:val="auto"/>
              </w:rPr>
            </w:pPr>
          </w:p>
        </w:tc>
        <w:tc>
          <w:tcPr>
            <w:tcW w:w="80" w:type="dxa"/>
            <w:vAlign w:val="bottom"/>
            <w:tcBorders>
              <w:top w:val="single" w:sz="8" w:color="4834BA"/>
              <w:bottom w:val="single" w:sz="8" w:color="4834BA"/>
            </w:tcBorders>
            <w:gridSpan w:val="2"/>
            <w:shd w:val="clear" w:color="auto" w:fill="CCEEFF"/>
          </w:tcPr>
          <w:p>
            <w:pPr>
              <w:spacing w:after="0"/>
              <w:rPr>
                <w:sz w:val="16"/>
                <w:szCs w:val="16"/>
                <w:color w:val="auto"/>
              </w:rPr>
            </w:pPr>
          </w:p>
        </w:tc>
        <w:tc>
          <w:tcPr>
            <w:tcW w:w="80" w:type="dxa"/>
            <w:vAlign w:val="bottom"/>
            <w:tcBorders>
              <w:top w:val="single" w:sz="8" w:color="4834BA"/>
              <w:bottom w:val="single" w:sz="8" w:color="4834BA"/>
            </w:tcBorders>
            <w:shd w:val="clear" w:color="auto" w:fill="CCEEFF"/>
          </w:tcPr>
          <w:p>
            <w:pPr>
              <w:spacing w:after="0"/>
              <w:rPr>
                <w:sz w:val="16"/>
                <w:szCs w:val="16"/>
                <w:color w:val="auto"/>
              </w:rPr>
            </w:pPr>
          </w:p>
        </w:tc>
        <w:tc>
          <w:tcPr>
            <w:tcW w:w="320" w:type="dxa"/>
            <w:vAlign w:val="bottom"/>
            <w:tcBorders>
              <w:top w:val="single" w:sz="8" w:color="4834BA"/>
              <w:bottom w:val="single" w:sz="8" w:color="4834BA"/>
            </w:tcBorders>
            <w:gridSpan w:val="4"/>
            <w:shd w:val="clear" w:color="auto" w:fill="CCEEFF"/>
          </w:tcPr>
          <w:p>
            <w:pPr>
              <w:spacing w:after="0"/>
              <w:rPr>
                <w:sz w:val="16"/>
                <w:szCs w:val="16"/>
                <w:color w:val="auto"/>
              </w:rPr>
            </w:pPr>
          </w:p>
        </w:tc>
        <w:tc>
          <w:tcPr>
            <w:tcW w:w="120" w:type="dxa"/>
            <w:vAlign w:val="bottom"/>
            <w:tcBorders>
              <w:top w:val="single" w:sz="8" w:color="4834BA"/>
              <w:bottom w:val="single" w:sz="8" w:color="4834BA"/>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4834BA"/>
              </w:rPr>
              <w:t>​​</w:t>
            </w:r>
          </w:p>
        </w:tc>
        <w:tc>
          <w:tcPr>
            <w:tcW w:w="16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4834BA"/>
                <w:w w:val="78"/>
              </w:rPr>
              <w:t>51</w:t>
            </w: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60" w:type="dxa"/>
            <w:vAlign w:val="bottom"/>
            <w:tcBorders>
              <w:top w:val="single" w:sz="8" w:color="CCEEFF"/>
              <w:bottom w:val="single" w:sz="8" w:color="auto"/>
            </w:tcBorders>
            <w:shd w:val="clear" w:color="auto" w:fill="CCEEFF"/>
          </w:tcPr>
          <w:p>
            <w:pPr>
              <w:spacing w:after="0"/>
              <w:rPr>
                <w:sz w:val="5"/>
                <w:szCs w:val="5"/>
                <w:color w:val="auto"/>
              </w:rPr>
            </w:pPr>
          </w:p>
        </w:tc>
        <w:tc>
          <w:tcPr>
            <w:tcW w:w="160" w:type="dxa"/>
            <w:vAlign w:val="bottom"/>
            <w:tcBorders>
              <w:top w:val="single" w:sz="8" w:color="CCEEFF"/>
              <w:bottom w:val="single" w:sz="8" w:color="auto"/>
            </w:tcBorders>
            <w:shd w:val="clear" w:color="auto" w:fill="CCEEFF"/>
          </w:tcPr>
          <w:p>
            <w:pPr>
              <w:spacing w:after="0"/>
              <w:rPr>
                <w:sz w:val="5"/>
                <w:szCs w:val="5"/>
                <w:color w:val="auto"/>
              </w:rPr>
            </w:pPr>
          </w:p>
        </w:tc>
        <w:tc>
          <w:tcPr>
            <w:tcW w:w="200" w:type="dxa"/>
            <w:vAlign w:val="bottom"/>
            <w:tcBorders>
              <w:top w:val="single" w:sz="8" w:color="CCEEFF"/>
              <w:bottom w:val="single" w:sz="8" w:color="auto"/>
            </w:tcBorders>
            <w:shd w:val="clear" w:color="auto" w:fill="CCEEFF"/>
          </w:tcPr>
          <w:p>
            <w:pPr>
              <w:spacing w:after="0"/>
              <w:rPr>
                <w:sz w:val="5"/>
                <w:szCs w:val="5"/>
                <w:color w:val="auto"/>
              </w:rPr>
            </w:pPr>
          </w:p>
        </w:tc>
        <w:tc>
          <w:tcPr>
            <w:tcW w:w="160" w:type="dxa"/>
            <w:vAlign w:val="bottom"/>
            <w:tcBorders>
              <w:top w:val="single" w:sz="8" w:color="CCEEFF"/>
              <w:bottom w:val="single" w:sz="8" w:color="auto"/>
            </w:tcBorders>
            <w:shd w:val="clear" w:color="auto" w:fill="CCEEFF"/>
          </w:tcPr>
          <w:p>
            <w:pPr>
              <w:spacing w:after="0"/>
              <w:rPr>
                <w:sz w:val="5"/>
                <w:szCs w:val="5"/>
                <w:color w:val="auto"/>
              </w:rPr>
            </w:pPr>
          </w:p>
        </w:tc>
        <w:tc>
          <w:tcPr>
            <w:tcW w:w="140" w:type="dxa"/>
            <w:vAlign w:val="bottom"/>
            <w:tcBorders>
              <w:top w:val="single" w:sz="8" w:color="CCEEFF"/>
              <w:bottom w:val="single" w:sz="8" w:color="auto"/>
            </w:tcBorders>
            <w:shd w:val="clear" w:color="auto" w:fill="CCEEFF"/>
          </w:tcPr>
          <w:p>
            <w:pPr>
              <w:spacing w:after="0"/>
              <w:rPr>
                <w:sz w:val="5"/>
                <w:szCs w:val="5"/>
                <w:color w:val="auto"/>
              </w:rPr>
            </w:pPr>
          </w:p>
        </w:tc>
        <w:tc>
          <w:tcPr>
            <w:tcW w:w="120" w:type="dxa"/>
            <w:vAlign w:val="bottom"/>
            <w:tcBorders>
              <w:top w:val="single" w:sz="8" w:color="4834BA"/>
              <w:bottom w:val="single" w:sz="8" w:color="auto"/>
            </w:tcBorders>
            <w:shd w:val="clear" w:color="auto" w:fill="CCEEFF"/>
          </w:tcPr>
          <w:p>
            <w:pPr>
              <w:spacing w:after="0"/>
              <w:rPr>
                <w:sz w:val="5"/>
                <w:szCs w:val="5"/>
                <w:color w:val="auto"/>
              </w:rPr>
            </w:pPr>
          </w:p>
        </w:tc>
        <w:tc>
          <w:tcPr>
            <w:tcW w:w="100" w:type="dxa"/>
            <w:vAlign w:val="bottom"/>
            <w:tcBorders>
              <w:top w:val="single" w:sz="8" w:color="4834BA"/>
              <w:bottom w:val="single" w:sz="8" w:color="auto"/>
            </w:tcBorders>
            <w:shd w:val="clear" w:color="auto" w:fill="CCEEFF"/>
          </w:tcPr>
          <w:p>
            <w:pPr>
              <w:spacing w:after="0"/>
              <w:rPr>
                <w:sz w:val="5"/>
                <w:szCs w:val="5"/>
                <w:color w:val="auto"/>
              </w:rPr>
            </w:pPr>
          </w:p>
        </w:tc>
        <w:tc>
          <w:tcPr>
            <w:tcW w:w="280" w:type="dxa"/>
            <w:vAlign w:val="bottom"/>
            <w:tcBorders>
              <w:top w:val="single" w:sz="8" w:color="4834BA"/>
              <w:bottom w:val="single" w:sz="8" w:color="auto"/>
            </w:tcBorders>
            <w:shd w:val="clear" w:color="auto" w:fill="CCEEFF"/>
          </w:tcPr>
          <w:p>
            <w:pPr>
              <w:spacing w:after="0"/>
              <w:rPr>
                <w:sz w:val="5"/>
                <w:szCs w:val="5"/>
                <w:color w:val="auto"/>
              </w:rPr>
            </w:pPr>
          </w:p>
        </w:tc>
        <w:tc>
          <w:tcPr>
            <w:tcW w:w="10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180" w:type="dxa"/>
            <w:vAlign w:val="bottom"/>
            <w:tcBorders>
              <w:top w:val="single" w:sz="8" w:color="4834BA"/>
              <w:bottom w:val="single" w:sz="8" w:color="auto"/>
            </w:tcBorders>
            <w:shd w:val="clear" w:color="auto" w:fill="CCEEFF"/>
          </w:tcPr>
          <w:p>
            <w:pPr>
              <w:spacing w:after="0"/>
              <w:rPr>
                <w:sz w:val="5"/>
                <w:szCs w:val="5"/>
                <w:color w:val="auto"/>
              </w:rPr>
            </w:pPr>
          </w:p>
        </w:tc>
        <w:tc>
          <w:tcPr>
            <w:tcW w:w="22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12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4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6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4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140" w:type="dxa"/>
            <w:vAlign w:val="bottom"/>
            <w:tcBorders>
              <w:top w:val="single" w:sz="8" w:color="4834BA"/>
              <w:bottom w:val="single" w:sz="8" w:color="auto"/>
            </w:tcBorders>
            <w:shd w:val="clear" w:color="auto" w:fill="CCEEFF"/>
          </w:tcPr>
          <w:p>
            <w:pPr>
              <w:spacing w:after="0"/>
              <w:rPr>
                <w:sz w:val="5"/>
                <w:szCs w:val="5"/>
                <w:color w:val="auto"/>
              </w:rPr>
            </w:pPr>
          </w:p>
        </w:tc>
        <w:tc>
          <w:tcPr>
            <w:tcW w:w="16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6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120" w:type="dxa"/>
            <w:vAlign w:val="bottom"/>
            <w:tcBorders>
              <w:top w:val="single" w:sz="8" w:color="4834BA"/>
              <w:bottom w:val="single" w:sz="8" w:color="auto"/>
            </w:tcBorders>
            <w:shd w:val="clear" w:color="auto" w:fill="CCEEFF"/>
          </w:tcPr>
          <w:p>
            <w:pPr>
              <w:spacing w:after="0"/>
              <w:rPr>
                <w:sz w:val="5"/>
                <w:szCs w:val="5"/>
                <w:color w:val="auto"/>
              </w:rPr>
            </w:pPr>
          </w:p>
        </w:tc>
        <w:tc>
          <w:tcPr>
            <w:tcW w:w="6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100" w:type="dxa"/>
            <w:vAlign w:val="bottom"/>
            <w:tcBorders>
              <w:top w:val="single" w:sz="8" w:color="4834BA"/>
              <w:bottom w:val="single" w:sz="8" w:color="auto"/>
            </w:tcBorders>
            <w:shd w:val="clear" w:color="auto" w:fill="CCEEFF"/>
          </w:tcPr>
          <w:p>
            <w:pPr>
              <w:spacing w:after="0"/>
              <w:rPr>
                <w:sz w:val="5"/>
                <w:szCs w:val="5"/>
                <w:color w:val="auto"/>
              </w:rPr>
            </w:pPr>
          </w:p>
        </w:tc>
        <w:tc>
          <w:tcPr>
            <w:tcW w:w="40" w:type="dxa"/>
            <w:vAlign w:val="bottom"/>
            <w:tcBorders>
              <w:top w:val="single" w:sz="8" w:color="4834BA"/>
              <w:bottom w:val="single" w:sz="8" w:color="auto"/>
            </w:tcBorders>
            <w:shd w:val="clear" w:color="auto" w:fill="CCEEFF"/>
          </w:tcPr>
          <w:p>
            <w:pPr>
              <w:spacing w:after="0"/>
              <w:rPr>
                <w:sz w:val="5"/>
                <w:szCs w:val="5"/>
                <w:color w:val="auto"/>
              </w:rPr>
            </w:pPr>
          </w:p>
        </w:tc>
        <w:tc>
          <w:tcPr>
            <w:tcW w:w="16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80" w:type="dxa"/>
            <w:vAlign w:val="bottom"/>
            <w:tcBorders>
              <w:top w:val="single" w:sz="8" w:color="4834BA"/>
              <w:bottom w:val="single" w:sz="8" w:color="auto"/>
            </w:tcBorders>
            <w:shd w:val="clear" w:color="auto" w:fill="CCEEFF"/>
          </w:tcPr>
          <w:p>
            <w:pPr>
              <w:spacing w:after="0"/>
              <w:rPr>
                <w:sz w:val="5"/>
                <w:szCs w:val="5"/>
                <w:color w:val="auto"/>
              </w:rPr>
            </w:pPr>
          </w:p>
        </w:tc>
        <w:tc>
          <w:tcPr>
            <w:tcW w:w="20" w:type="dxa"/>
            <w:vAlign w:val="bottom"/>
            <w:tcBorders>
              <w:top w:val="single" w:sz="8" w:color="4834BA"/>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1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00" w:type="dxa"/>
            <w:vAlign w:val="bottom"/>
            <w:tcBorders>
              <w:top w:val="single" w:sz="8" w:color="CCEEFF"/>
              <w:bottom w:val="single" w:sz="8" w:color="auto"/>
            </w:tcBorders>
            <w:gridSpan w:val="2"/>
            <w:vMerge w:val="continue"/>
            <w:shd w:val="clear" w:color="auto" w:fill="CCEEFF"/>
          </w:tcPr>
          <w:p>
            <w:pPr>
              <w:spacing w:after="0"/>
              <w:rPr>
                <w:sz w:val="5"/>
                <w:szCs w:val="5"/>
                <w:color w:val="auto"/>
              </w:rPr>
            </w:pPr>
          </w:p>
        </w:tc>
        <w:tc>
          <w:tcPr>
            <w:tcW w:w="160" w:type="dxa"/>
            <w:vAlign w:val="bottom"/>
            <w:tcBorders>
              <w:top w:val="single" w:sz="8" w:color="4834BA"/>
              <w:bottom w:val="single" w:sz="8" w:color="auto"/>
            </w:tcBorders>
            <w:shd w:val="clear" w:color="auto" w:fill="CCEEFF"/>
          </w:tcPr>
          <w:p>
            <w:pPr>
              <w:spacing w:after="0"/>
              <w:rPr>
                <w:sz w:val="5"/>
                <w:szCs w:val="5"/>
                <w:color w:val="auto"/>
              </w:rPr>
            </w:pPr>
          </w:p>
        </w:tc>
        <w:tc>
          <w:tcPr>
            <w:tcW w:w="60" w:type="dxa"/>
            <w:vAlign w:val="bottom"/>
            <w:tcBorders>
              <w:top w:val="single" w:sz="8" w:color="CCEEFF"/>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43"/>
          </w:tcPr>
          <w:p>
            <w:pPr>
              <w:spacing w:after="0" w:line="155" w:lineRule="exact"/>
              <w:rPr>
                <w:sz w:val="20"/>
                <w:szCs w:val="20"/>
                <w:color w:val="auto"/>
              </w:rPr>
            </w:pPr>
            <w:r>
              <w:rPr>
                <w:rFonts w:ascii="Arial" w:cs="Arial" w:eastAsia="Arial" w:hAnsi="Arial"/>
                <w:sz w:val="16"/>
                <w:szCs w:val="16"/>
                <w:color w:val="0000EE"/>
              </w:rPr>
              <w:t>Overview</w:t>
            </w:r>
          </w:p>
        </w:tc>
        <w:tc>
          <w:tcPr>
            <w:tcW w:w="320" w:type="dxa"/>
            <w:vAlign w:val="bottom"/>
            <w:gridSpan w:val="4"/>
          </w:tcPr>
          <w:p>
            <w:pPr>
              <w:jc w:val="right"/>
              <w:ind w:right="60"/>
              <w:spacing w:after="0" w:line="155" w:lineRule="exact"/>
              <w:rPr>
                <w:sz w:val="20"/>
                <w:szCs w:val="20"/>
                <w:color w:val="auto"/>
              </w:rPr>
            </w:pPr>
            <w:r>
              <w:rPr>
                <w:rFonts w:ascii="Arial" w:cs="Arial" w:eastAsia="Arial" w:hAnsi="Arial"/>
                <w:sz w:val="16"/>
                <w:szCs w:val="16"/>
                <w:color w:val="0000EE"/>
              </w:rPr>
              <w:t>51</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0" w:type="dxa"/>
            <w:vAlign w:val="bottom"/>
            <w:gridSpan w:val="30"/>
            <w:shd w:val="clear" w:color="auto" w:fill="CCEEFF"/>
          </w:tcPr>
          <w:p>
            <w:pPr>
              <w:spacing w:after="0" w:line="155" w:lineRule="exact"/>
              <w:rPr>
                <w:sz w:val="20"/>
                <w:szCs w:val="20"/>
                <w:color w:val="auto"/>
              </w:rPr>
            </w:pPr>
            <w:r>
              <w:rPr>
                <w:rFonts w:ascii="Arial" w:cs="Arial" w:eastAsia="Arial" w:hAnsi="Arial"/>
                <w:sz w:val="16"/>
                <w:szCs w:val="16"/>
                <w:color w:val="0000EE"/>
                <w:w w:val="99"/>
              </w:rPr>
              <w:t>Purpose of the Vote Clarification Amendment</w:t>
            </w:r>
          </w:p>
        </w:tc>
        <w:tc>
          <w:tcPr>
            <w:tcW w:w="780" w:type="dxa"/>
            <w:vAlign w:val="bottom"/>
            <w:gridSpan w:val="13"/>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51</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gridSpan w:val="30"/>
          </w:tcPr>
          <w:p>
            <w:pPr>
              <w:spacing w:after="0" w:line="155" w:lineRule="exact"/>
              <w:rPr>
                <w:sz w:val="20"/>
                <w:szCs w:val="20"/>
                <w:color w:val="auto"/>
              </w:rPr>
            </w:pPr>
            <w:r>
              <w:rPr>
                <w:rFonts w:ascii="Arial" w:cs="Arial" w:eastAsia="Arial" w:hAnsi="Arial"/>
                <w:sz w:val="16"/>
                <w:szCs w:val="16"/>
                <w:color w:val="0000EE"/>
              </w:rPr>
              <w:t>The Vote Clarification Amendment</w:t>
            </w:r>
          </w:p>
        </w:tc>
        <w:tc>
          <w:tcPr>
            <w:tcW w:w="780" w:type="dxa"/>
            <w:vAlign w:val="bottom"/>
            <w:gridSpan w:val="13"/>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jc w:val="right"/>
              <w:ind w:right="60"/>
              <w:spacing w:after="0" w:line="155" w:lineRule="exact"/>
              <w:rPr>
                <w:sz w:val="20"/>
                <w:szCs w:val="20"/>
                <w:color w:val="auto"/>
              </w:rPr>
            </w:pPr>
            <w:r>
              <w:rPr>
                <w:rFonts w:ascii="Arial" w:cs="Arial" w:eastAsia="Arial" w:hAnsi="Arial"/>
                <w:sz w:val="16"/>
                <w:szCs w:val="16"/>
                <w:color w:val="0000EE"/>
                <w:w w:val="89"/>
              </w:rPr>
              <w:t>52</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740" w:type="dxa"/>
            <w:vAlign w:val="bottom"/>
            <w:gridSpan w:val="24"/>
            <w:shd w:val="clear" w:color="auto" w:fill="CCEEFF"/>
          </w:tcPr>
          <w:p>
            <w:pPr>
              <w:spacing w:after="0" w:line="155" w:lineRule="exact"/>
              <w:rPr>
                <w:sz w:val="20"/>
                <w:szCs w:val="20"/>
                <w:color w:val="auto"/>
              </w:rPr>
            </w:pPr>
            <w:r>
              <w:rPr>
                <w:rFonts w:ascii="Arial" w:cs="Arial" w:eastAsia="Arial" w:hAnsi="Arial"/>
                <w:sz w:val="16"/>
                <w:szCs w:val="16"/>
                <w:color w:val="0000EE"/>
                <w:w w:val="99"/>
              </w:rPr>
              <w:t>Timing of Effectiveness of Amendment</w:t>
            </w:r>
          </w:p>
        </w:tc>
        <w:tc>
          <w:tcPr>
            <w:tcW w:w="1240" w:type="dxa"/>
            <w:vAlign w:val="bottom"/>
            <w:gridSpan w:val="19"/>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52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43"/>
          </w:tcPr>
          <w:p>
            <w:pPr>
              <w:spacing w:after="0" w:line="155" w:lineRule="exact"/>
              <w:rPr>
                <w:sz w:val="20"/>
                <w:szCs w:val="20"/>
                <w:color w:val="auto"/>
              </w:rPr>
            </w:pPr>
            <w:r>
              <w:rPr>
                <w:rFonts w:ascii="Arial" w:cs="Arial" w:eastAsia="Arial" w:hAnsi="Arial"/>
                <w:sz w:val="16"/>
                <w:szCs w:val="16"/>
                <w:color w:val="0000EE"/>
                <w:w w:val="99"/>
              </w:rPr>
              <w:t>Vote Required and Board of Directors Recommendation</w:t>
            </w:r>
          </w:p>
        </w:tc>
        <w:tc>
          <w:tcPr>
            <w:tcW w:w="320" w:type="dxa"/>
            <w:vAlign w:val="bottom"/>
            <w:gridSpan w:val="4"/>
          </w:tcPr>
          <w:p>
            <w:pPr>
              <w:jc w:val="right"/>
              <w:ind w:right="60"/>
              <w:spacing w:after="0" w:line="155" w:lineRule="exact"/>
              <w:rPr>
                <w:sz w:val="20"/>
                <w:szCs w:val="20"/>
                <w:color w:val="auto"/>
              </w:rPr>
            </w:pPr>
            <w:r>
              <w:rPr>
                <w:rFonts w:ascii="Arial" w:cs="Arial" w:eastAsia="Arial" w:hAnsi="Arial"/>
                <w:sz w:val="16"/>
                <w:szCs w:val="16"/>
                <w:color w:val="0000EE"/>
              </w:rPr>
              <w:t>52</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gridSpan w:val="45"/>
            <w:shd w:val="clear" w:color="auto" w:fill="CCEEFF"/>
          </w:tcPr>
          <w:p>
            <w:pPr>
              <w:spacing w:after="0"/>
              <w:rPr>
                <w:sz w:val="20"/>
                <w:szCs w:val="20"/>
                <w:color w:val="auto"/>
              </w:rPr>
            </w:pPr>
            <w:r>
              <w:rPr>
                <w:rFonts w:ascii="Arial" w:cs="Arial" w:eastAsia="Arial" w:hAnsi="Arial"/>
                <w:sz w:val="16"/>
                <w:szCs w:val="16"/>
                <w:b w:val="1"/>
                <w:bCs w:val="1"/>
                <w:color w:val="4834BA"/>
                <w:w w:val="93"/>
              </w:rPr>
              <w:t>PROPOSAL NO. 5 APPROVE THE 2026 EQUITY INCENTIVE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0" w:type="dxa"/>
            <w:vAlign w:val="bottom"/>
            <w:tcBorders>
              <w:top w:val="single" w:sz="8" w:color="4834BA"/>
              <w:bottom w:val="single" w:sz="8" w:color="4834BA"/>
            </w:tcBorders>
            <w:gridSpan w:val="3"/>
            <w:shd w:val="clear" w:color="auto" w:fill="CCEEFF"/>
          </w:tcPr>
          <w:p>
            <w:pPr>
              <w:spacing w:after="0" w:line="169" w:lineRule="exact"/>
              <w:rPr>
                <w:sz w:val="20"/>
                <w:szCs w:val="20"/>
                <w:color w:val="auto"/>
              </w:rPr>
            </w:pPr>
            <w:r>
              <w:rPr>
                <w:rFonts w:ascii="Arial" w:cs="Arial" w:eastAsia="Arial" w:hAnsi="Arial"/>
                <w:sz w:val="16"/>
                <w:szCs w:val="16"/>
                <w:b w:val="1"/>
                <w:bCs w:val="1"/>
                <w:color w:val="4834BA"/>
                <w:w w:val="87"/>
              </w:rPr>
              <w:t>PLAN</w:t>
            </w:r>
          </w:p>
        </w:tc>
        <w:tc>
          <w:tcPr>
            <w:tcW w:w="160" w:type="dxa"/>
            <w:vAlign w:val="bottom"/>
            <w:tcBorders>
              <w:top w:val="single" w:sz="8" w:color="4834BA"/>
              <w:bottom w:val="single" w:sz="8" w:color="4834BA"/>
            </w:tcBorders>
            <w:vMerge w:val="restart"/>
            <w:shd w:val="clear" w:color="auto" w:fill="CCEEFF"/>
          </w:tcPr>
          <w:p>
            <w:pPr>
              <w:spacing w:after="0"/>
              <w:rPr>
                <w:sz w:val="15"/>
                <w:szCs w:val="15"/>
                <w:color w:val="auto"/>
              </w:rPr>
            </w:pPr>
          </w:p>
        </w:tc>
        <w:tc>
          <w:tcPr>
            <w:tcW w:w="620" w:type="dxa"/>
            <w:vAlign w:val="bottom"/>
            <w:tcBorders>
              <w:top w:val="single" w:sz="8" w:color="4834BA"/>
              <w:bottom w:val="single" w:sz="8" w:color="4834BA"/>
            </w:tcBorders>
            <w:gridSpan w:val="4"/>
            <w:vMerge w:val="restart"/>
            <w:shd w:val="clear" w:color="auto" w:fill="CCEEFF"/>
          </w:tcPr>
          <w:p>
            <w:pPr>
              <w:spacing w:after="0"/>
              <w:rPr>
                <w:sz w:val="15"/>
                <w:szCs w:val="15"/>
                <w:color w:val="auto"/>
              </w:rPr>
            </w:pPr>
          </w:p>
        </w:tc>
        <w:tc>
          <w:tcPr>
            <w:tcW w:w="380" w:type="dxa"/>
            <w:vAlign w:val="bottom"/>
            <w:tcBorders>
              <w:top w:val="single" w:sz="8" w:color="4834BA"/>
              <w:bottom w:val="single" w:sz="8" w:color="4834BA"/>
            </w:tcBorders>
            <w:gridSpan w:val="2"/>
            <w:vMerge w:val="restart"/>
            <w:shd w:val="clear" w:color="auto" w:fill="CCEEFF"/>
          </w:tcPr>
          <w:p>
            <w:pPr>
              <w:spacing w:after="0"/>
              <w:rPr>
                <w:sz w:val="15"/>
                <w:szCs w:val="15"/>
                <w:color w:val="auto"/>
              </w:rPr>
            </w:pPr>
          </w:p>
        </w:tc>
        <w:tc>
          <w:tcPr>
            <w:tcW w:w="580" w:type="dxa"/>
            <w:vAlign w:val="bottom"/>
            <w:tcBorders>
              <w:top w:val="single" w:sz="8" w:color="4834BA"/>
              <w:bottom w:val="single" w:sz="8" w:color="4834BA"/>
            </w:tcBorders>
            <w:gridSpan w:val="4"/>
            <w:vMerge w:val="restart"/>
            <w:shd w:val="clear" w:color="auto" w:fill="CCEEFF"/>
          </w:tcPr>
          <w:p>
            <w:pPr>
              <w:spacing w:after="0"/>
              <w:rPr>
                <w:sz w:val="15"/>
                <w:szCs w:val="15"/>
                <w:color w:val="auto"/>
              </w:rPr>
            </w:pPr>
          </w:p>
        </w:tc>
        <w:tc>
          <w:tcPr>
            <w:tcW w:w="20" w:type="dxa"/>
            <w:vAlign w:val="bottom"/>
            <w:tcBorders>
              <w:top w:val="single" w:sz="8" w:color="4834BA"/>
              <w:bottom w:val="single" w:sz="8" w:color="4834BA"/>
            </w:tcBorders>
            <w:vMerge w:val="restart"/>
            <w:shd w:val="clear" w:color="auto" w:fill="CCEEFF"/>
          </w:tcPr>
          <w:p>
            <w:pPr>
              <w:spacing w:after="0"/>
              <w:rPr>
                <w:sz w:val="15"/>
                <w:szCs w:val="15"/>
                <w:color w:val="auto"/>
              </w:rPr>
            </w:pPr>
          </w:p>
        </w:tc>
        <w:tc>
          <w:tcPr>
            <w:tcW w:w="140" w:type="dxa"/>
            <w:vAlign w:val="bottom"/>
            <w:tcBorders>
              <w:top w:val="single" w:sz="8" w:color="4834BA"/>
              <w:bottom w:val="single" w:sz="8" w:color="4834BA"/>
            </w:tcBorders>
            <w:gridSpan w:val="2"/>
            <w:vMerge w:val="restart"/>
            <w:shd w:val="clear" w:color="auto" w:fill="CCEEFF"/>
          </w:tcPr>
          <w:p>
            <w:pPr>
              <w:spacing w:after="0"/>
              <w:rPr>
                <w:sz w:val="15"/>
                <w:szCs w:val="15"/>
                <w:color w:val="auto"/>
              </w:rPr>
            </w:pPr>
          </w:p>
        </w:tc>
        <w:tc>
          <w:tcPr>
            <w:tcW w:w="40" w:type="dxa"/>
            <w:vAlign w:val="bottom"/>
            <w:tcBorders>
              <w:top w:val="single" w:sz="8" w:color="4834BA"/>
              <w:bottom w:val="single" w:sz="8" w:color="4834BA"/>
            </w:tcBorders>
            <w:vMerge w:val="restart"/>
            <w:shd w:val="clear" w:color="auto" w:fill="CCEEFF"/>
          </w:tcPr>
          <w:p>
            <w:pPr>
              <w:spacing w:after="0"/>
              <w:rPr>
                <w:sz w:val="15"/>
                <w:szCs w:val="15"/>
                <w:color w:val="auto"/>
              </w:rPr>
            </w:pPr>
          </w:p>
        </w:tc>
        <w:tc>
          <w:tcPr>
            <w:tcW w:w="160" w:type="dxa"/>
            <w:vAlign w:val="bottom"/>
            <w:tcBorders>
              <w:top w:val="single" w:sz="8" w:color="4834BA"/>
              <w:bottom w:val="single" w:sz="8" w:color="4834BA"/>
            </w:tcBorders>
            <w:gridSpan w:val="2"/>
            <w:vMerge w:val="restart"/>
            <w:shd w:val="clear" w:color="auto" w:fill="CCEEFF"/>
          </w:tcPr>
          <w:p>
            <w:pPr>
              <w:spacing w:after="0"/>
              <w:rPr>
                <w:sz w:val="15"/>
                <w:szCs w:val="15"/>
                <w:color w:val="auto"/>
              </w:rPr>
            </w:pPr>
          </w:p>
        </w:tc>
        <w:tc>
          <w:tcPr>
            <w:tcW w:w="60" w:type="dxa"/>
            <w:vAlign w:val="bottom"/>
            <w:tcBorders>
              <w:top w:val="single" w:sz="8" w:color="4834BA"/>
              <w:bottom w:val="single" w:sz="8" w:color="4834BA"/>
            </w:tcBorders>
            <w:vMerge w:val="restart"/>
            <w:shd w:val="clear" w:color="auto" w:fill="CCEEFF"/>
          </w:tcPr>
          <w:p>
            <w:pPr>
              <w:spacing w:after="0"/>
              <w:rPr>
                <w:sz w:val="15"/>
                <w:szCs w:val="15"/>
                <w:color w:val="auto"/>
              </w:rPr>
            </w:pPr>
          </w:p>
        </w:tc>
        <w:tc>
          <w:tcPr>
            <w:tcW w:w="720" w:type="dxa"/>
            <w:vAlign w:val="bottom"/>
            <w:tcBorders>
              <w:top w:val="single" w:sz="8" w:color="4834BA"/>
              <w:bottom w:val="single" w:sz="8" w:color="4834BA"/>
            </w:tcBorders>
            <w:gridSpan w:val="8"/>
            <w:vMerge w:val="restart"/>
            <w:shd w:val="clear" w:color="auto" w:fill="CCEEFF"/>
          </w:tcPr>
          <w:p>
            <w:pPr>
              <w:spacing w:after="0"/>
              <w:rPr>
                <w:sz w:val="15"/>
                <w:szCs w:val="15"/>
                <w:color w:val="auto"/>
              </w:rPr>
            </w:pPr>
          </w:p>
        </w:tc>
        <w:tc>
          <w:tcPr>
            <w:tcW w:w="20" w:type="dxa"/>
            <w:vAlign w:val="bottom"/>
            <w:tcBorders>
              <w:top w:val="single" w:sz="8" w:color="4834BA"/>
              <w:bottom w:val="single" w:sz="8" w:color="4834BA"/>
            </w:tcBorders>
            <w:vMerge w:val="restart"/>
            <w:shd w:val="clear" w:color="auto" w:fill="CCEEFF"/>
          </w:tcPr>
          <w:p>
            <w:pPr>
              <w:spacing w:after="0"/>
              <w:rPr>
                <w:sz w:val="15"/>
                <w:szCs w:val="15"/>
                <w:color w:val="auto"/>
              </w:rPr>
            </w:pPr>
          </w:p>
        </w:tc>
        <w:tc>
          <w:tcPr>
            <w:tcW w:w="220" w:type="dxa"/>
            <w:vAlign w:val="bottom"/>
            <w:tcBorders>
              <w:top w:val="single" w:sz="8" w:color="4834BA"/>
              <w:bottom w:val="single" w:sz="8" w:color="4834BA"/>
            </w:tcBorders>
            <w:gridSpan w:val="4"/>
            <w:vMerge w:val="restart"/>
            <w:shd w:val="clear" w:color="auto" w:fill="CCEEFF"/>
          </w:tcPr>
          <w:p>
            <w:pPr>
              <w:spacing w:after="0"/>
              <w:rPr>
                <w:sz w:val="15"/>
                <w:szCs w:val="15"/>
                <w:color w:val="auto"/>
              </w:rPr>
            </w:pPr>
          </w:p>
        </w:tc>
        <w:tc>
          <w:tcPr>
            <w:tcW w:w="80" w:type="dxa"/>
            <w:vAlign w:val="bottom"/>
            <w:tcBorders>
              <w:top w:val="single" w:sz="8" w:color="4834BA"/>
              <w:bottom w:val="single" w:sz="8" w:color="4834BA"/>
            </w:tcBorders>
            <w:vMerge w:val="restart"/>
            <w:shd w:val="clear" w:color="auto" w:fill="CCEEFF"/>
          </w:tcPr>
          <w:p>
            <w:pPr>
              <w:spacing w:after="0"/>
              <w:rPr>
                <w:sz w:val="15"/>
                <w:szCs w:val="15"/>
                <w:color w:val="auto"/>
              </w:rPr>
            </w:pPr>
          </w:p>
        </w:tc>
        <w:tc>
          <w:tcPr>
            <w:tcW w:w="320" w:type="dxa"/>
            <w:vAlign w:val="bottom"/>
            <w:tcBorders>
              <w:top w:val="single" w:sz="8" w:color="4834BA"/>
              <w:bottom w:val="single" w:sz="8" w:color="4834BA"/>
            </w:tcBorders>
            <w:gridSpan w:val="4"/>
            <w:vMerge w:val="restart"/>
            <w:shd w:val="clear" w:color="auto" w:fill="CCEEFF"/>
          </w:tcPr>
          <w:p>
            <w:pPr>
              <w:spacing w:after="0"/>
              <w:rPr>
                <w:sz w:val="15"/>
                <w:szCs w:val="15"/>
                <w:color w:val="auto"/>
              </w:rPr>
            </w:pPr>
          </w:p>
        </w:tc>
        <w:tc>
          <w:tcPr>
            <w:tcW w:w="160" w:type="dxa"/>
            <w:vAlign w:val="bottom"/>
            <w:tcBorders>
              <w:top w:val="single" w:sz="8" w:color="4834BA"/>
              <w:bottom w:val="single" w:sz="8" w:color="4834BA"/>
            </w:tcBorders>
            <w:gridSpan w:val="4"/>
            <w:vMerge w:val="restart"/>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2"/>
            <w:vMerge w:val="restart"/>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4834BA"/>
              </w:rPr>
              <w:t>​​</w:t>
            </w:r>
          </w:p>
        </w:tc>
        <w:tc>
          <w:tcPr>
            <w:tcW w:w="160" w:type="dxa"/>
            <w:vAlign w:val="bottom"/>
            <w:tcBorders>
              <w:top w:val="single" w:sz="8" w:color="CCEEFF"/>
              <w:bottom w:val="single" w:sz="8" w:color="4834BA"/>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4834BA"/>
                <w:w w:val="78"/>
              </w:rPr>
              <w:t>53</w:t>
            </w:r>
          </w:p>
        </w:tc>
        <w:tc>
          <w:tcPr>
            <w:tcW w:w="6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00" w:type="dxa"/>
            <w:vAlign w:val="bottom"/>
            <w:tcBorders>
              <w:bottom w:val="single" w:sz="8" w:color="auto"/>
            </w:tcBorders>
            <w:gridSpan w:val="3"/>
            <w:shd w:val="clear" w:color="auto" w:fill="CCEEFF"/>
          </w:tcPr>
          <w:p>
            <w:pPr>
              <w:spacing w:after="0"/>
              <w:rPr>
                <w:sz w:val="7"/>
                <w:szCs w:val="7"/>
                <w:color w:val="auto"/>
              </w:rPr>
            </w:pPr>
          </w:p>
        </w:tc>
        <w:tc>
          <w:tcPr>
            <w:tcW w:w="160" w:type="dxa"/>
            <w:vAlign w:val="bottom"/>
            <w:tcBorders>
              <w:bottom w:val="single" w:sz="8" w:color="auto"/>
            </w:tcBorders>
            <w:vMerge w:val="continue"/>
            <w:shd w:val="clear" w:color="auto" w:fill="CCEEFF"/>
          </w:tcPr>
          <w:p>
            <w:pPr>
              <w:spacing w:after="0"/>
              <w:rPr>
                <w:sz w:val="7"/>
                <w:szCs w:val="7"/>
                <w:color w:val="auto"/>
              </w:rPr>
            </w:pPr>
          </w:p>
        </w:tc>
        <w:tc>
          <w:tcPr>
            <w:tcW w:w="620" w:type="dxa"/>
            <w:vAlign w:val="bottom"/>
            <w:tcBorders>
              <w:bottom w:val="single" w:sz="8" w:color="auto"/>
            </w:tcBorders>
            <w:gridSpan w:val="4"/>
            <w:vMerge w:val="continue"/>
            <w:shd w:val="clear" w:color="auto" w:fill="CCEEFF"/>
          </w:tcPr>
          <w:p>
            <w:pPr>
              <w:spacing w:after="0"/>
              <w:rPr>
                <w:sz w:val="7"/>
                <w:szCs w:val="7"/>
                <w:color w:val="auto"/>
              </w:rPr>
            </w:pPr>
          </w:p>
        </w:tc>
        <w:tc>
          <w:tcPr>
            <w:tcW w:w="380" w:type="dxa"/>
            <w:vAlign w:val="bottom"/>
            <w:tcBorders>
              <w:bottom w:val="single" w:sz="8" w:color="auto"/>
            </w:tcBorders>
            <w:gridSpan w:val="2"/>
            <w:vMerge w:val="continue"/>
            <w:shd w:val="clear" w:color="auto" w:fill="CCEEFF"/>
          </w:tcPr>
          <w:p>
            <w:pPr>
              <w:spacing w:after="0"/>
              <w:rPr>
                <w:sz w:val="7"/>
                <w:szCs w:val="7"/>
                <w:color w:val="auto"/>
              </w:rPr>
            </w:pPr>
          </w:p>
        </w:tc>
        <w:tc>
          <w:tcPr>
            <w:tcW w:w="580" w:type="dxa"/>
            <w:vAlign w:val="bottom"/>
            <w:tcBorders>
              <w:bottom w:val="single" w:sz="8" w:color="auto"/>
            </w:tcBorders>
            <w:gridSpan w:val="4"/>
            <w:vMerge w:val="continue"/>
            <w:shd w:val="clear" w:color="auto" w:fill="CCEEFF"/>
          </w:tcPr>
          <w:p>
            <w:pPr>
              <w:spacing w:after="0"/>
              <w:rPr>
                <w:sz w:val="7"/>
                <w:szCs w:val="7"/>
                <w:color w:val="auto"/>
              </w:rPr>
            </w:pPr>
          </w:p>
        </w:tc>
        <w:tc>
          <w:tcPr>
            <w:tcW w:w="20" w:type="dxa"/>
            <w:vAlign w:val="bottom"/>
            <w:tcBorders>
              <w:bottom w:val="single" w:sz="8" w:color="auto"/>
            </w:tcBorders>
            <w:vMerge w:val="continue"/>
            <w:shd w:val="clear" w:color="auto" w:fill="CCEEFF"/>
          </w:tcPr>
          <w:p>
            <w:pPr>
              <w:spacing w:after="0"/>
              <w:rPr>
                <w:sz w:val="7"/>
                <w:szCs w:val="7"/>
                <w:color w:val="auto"/>
              </w:rPr>
            </w:pPr>
          </w:p>
        </w:tc>
        <w:tc>
          <w:tcPr>
            <w:tcW w:w="140" w:type="dxa"/>
            <w:vAlign w:val="bottom"/>
            <w:tcBorders>
              <w:bottom w:val="single" w:sz="8" w:color="auto"/>
            </w:tcBorders>
            <w:gridSpan w:val="2"/>
            <w:vMerge w:val="continue"/>
            <w:shd w:val="clear" w:color="auto" w:fill="CCEEFF"/>
          </w:tcPr>
          <w:p>
            <w:pPr>
              <w:spacing w:after="0"/>
              <w:rPr>
                <w:sz w:val="7"/>
                <w:szCs w:val="7"/>
                <w:color w:val="auto"/>
              </w:rPr>
            </w:pPr>
          </w:p>
        </w:tc>
        <w:tc>
          <w:tcPr>
            <w:tcW w:w="40" w:type="dxa"/>
            <w:vAlign w:val="bottom"/>
            <w:tcBorders>
              <w:bottom w:val="single" w:sz="8" w:color="auto"/>
            </w:tcBorders>
            <w:vMerge w:val="continue"/>
            <w:shd w:val="clear" w:color="auto" w:fill="CCEEFF"/>
          </w:tcPr>
          <w:p>
            <w:pPr>
              <w:spacing w:after="0"/>
              <w:rPr>
                <w:sz w:val="7"/>
                <w:szCs w:val="7"/>
                <w:color w:val="auto"/>
              </w:rPr>
            </w:pPr>
          </w:p>
        </w:tc>
        <w:tc>
          <w:tcPr>
            <w:tcW w:w="160" w:type="dxa"/>
            <w:vAlign w:val="bottom"/>
            <w:tcBorders>
              <w:bottom w:val="single" w:sz="8" w:color="auto"/>
            </w:tcBorders>
            <w:gridSpan w:val="2"/>
            <w:vMerge w:val="continue"/>
            <w:shd w:val="clear" w:color="auto" w:fill="CCEEFF"/>
          </w:tcPr>
          <w:p>
            <w:pPr>
              <w:spacing w:after="0"/>
              <w:rPr>
                <w:sz w:val="7"/>
                <w:szCs w:val="7"/>
                <w:color w:val="auto"/>
              </w:rPr>
            </w:pPr>
          </w:p>
        </w:tc>
        <w:tc>
          <w:tcPr>
            <w:tcW w:w="60" w:type="dxa"/>
            <w:vAlign w:val="bottom"/>
            <w:tcBorders>
              <w:bottom w:val="single" w:sz="8" w:color="auto"/>
            </w:tcBorders>
            <w:vMerge w:val="continue"/>
            <w:shd w:val="clear" w:color="auto" w:fill="CCEEFF"/>
          </w:tcPr>
          <w:p>
            <w:pPr>
              <w:spacing w:after="0"/>
              <w:rPr>
                <w:sz w:val="7"/>
                <w:szCs w:val="7"/>
                <w:color w:val="auto"/>
              </w:rPr>
            </w:pPr>
          </w:p>
        </w:tc>
        <w:tc>
          <w:tcPr>
            <w:tcW w:w="720" w:type="dxa"/>
            <w:vAlign w:val="bottom"/>
            <w:tcBorders>
              <w:bottom w:val="single" w:sz="8" w:color="auto"/>
            </w:tcBorders>
            <w:gridSpan w:val="8"/>
            <w:vMerge w:val="continue"/>
            <w:shd w:val="clear" w:color="auto" w:fill="CCEEFF"/>
          </w:tcPr>
          <w:p>
            <w:pPr>
              <w:spacing w:after="0"/>
              <w:rPr>
                <w:sz w:val="7"/>
                <w:szCs w:val="7"/>
                <w:color w:val="auto"/>
              </w:rPr>
            </w:pPr>
          </w:p>
        </w:tc>
        <w:tc>
          <w:tcPr>
            <w:tcW w:w="2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auto"/>
            </w:tcBorders>
            <w:gridSpan w:val="4"/>
            <w:vMerge w:val="continue"/>
            <w:shd w:val="clear" w:color="auto" w:fill="CCEEFF"/>
          </w:tcPr>
          <w:p>
            <w:pPr>
              <w:spacing w:after="0"/>
              <w:rPr>
                <w:sz w:val="7"/>
                <w:szCs w:val="7"/>
                <w:color w:val="auto"/>
              </w:rPr>
            </w:pPr>
          </w:p>
        </w:tc>
        <w:tc>
          <w:tcPr>
            <w:tcW w:w="80" w:type="dxa"/>
            <w:vAlign w:val="bottom"/>
            <w:tcBorders>
              <w:bottom w:val="single" w:sz="8" w:color="auto"/>
            </w:tcBorders>
            <w:vMerge w:val="continue"/>
            <w:shd w:val="clear" w:color="auto" w:fill="CCEEFF"/>
          </w:tcPr>
          <w:p>
            <w:pPr>
              <w:spacing w:after="0"/>
              <w:rPr>
                <w:sz w:val="7"/>
                <w:szCs w:val="7"/>
                <w:color w:val="auto"/>
              </w:rPr>
            </w:pPr>
          </w:p>
        </w:tc>
        <w:tc>
          <w:tcPr>
            <w:tcW w:w="320" w:type="dxa"/>
            <w:vAlign w:val="bottom"/>
            <w:tcBorders>
              <w:bottom w:val="single" w:sz="8" w:color="auto"/>
            </w:tcBorders>
            <w:gridSpan w:val="4"/>
            <w:vMerge w:val="continue"/>
            <w:shd w:val="clear" w:color="auto" w:fill="CCEEFF"/>
          </w:tcPr>
          <w:p>
            <w:pPr>
              <w:spacing w:after="0"/>
              <w:rPr>
                <w:sz w:val="7"/>
                <w:szCs w:val="7"/>
                <w:color w:val="auto"/>
              </w:rPr>
            </w:pPr>
          </w:p>
        </w:tc>
        <w:tc>
          <w:tcPr>
            <w:tcW w:w="160" w:type="dxa"/>
            <w:vAlign w:val="bottom"/>
            <w:tcBorders>
              <w:bottom w:val="single" w:sz="8" w:color="auto"/>
            </w:tcBorders>
            <w:gridSpan w:val="4"/>
            <w:vMerge w:val="continue"/>
            <w:shd w:val="clear" w:color="auto" w:fill="CCEEFF"/>
          </w:tcPr>
          <w:p>
            <w:pPr>
              <w:spacing w:after="0"/>
              <w:rPr>
                <w:sz w:val="7"/>
                <w:szCs w:val="7"/>
                <w:color w:val="auto"/>
              </w:rPr>
            </w:pPr>
          </w:p>
        </w:tc>
        <w:tc>
          <w:tcPr>
            <w:tcW w:w="140" w:type="dxa"/>
            <w:vAlign w:val="bottom"/>
            <w:tcBorders>
              <w:bottom w:val="single" w:sz="8" w:color="auto"/>
            </w:tcBorders>
            <w:gridSpan w:val="2"/>
            <w:vMerge w:val="continue"/>
            <w:shd w:val="clear" w:color="auto" w:fill="CCEEFF"/>
          </w:tcPr>
          <w:p>
            <w:pPr>
              <w:spacing w:after="0"/>
              <w:rPr>
                <w:sz w:val="7"/>
                <w:szCs w:val="7"/>
                <w:color w:val="auto"/>
              </w:rPr>
            </w:pPr>
          </w:p>
        </w:tc>
        <w:tc>
          <w:tcPr>
            <w:tcW w:w="100" w:type="dxa"/>
            <w:vAlign w:val="bottom"/>
            <w:tcBorders>
              <w:bottom w:val="single" w:sz="8" w:color="auto"/>
            </w:tcBorders>
            <w:gridSpan w:val="2"/>
            <w:vMerge w:val="continue"/>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gridSpan w:val="43"/>
          </w:tcPr>
          <w:p>
            <w:pPr>
              <w:spacing w:after="0" w:line="169" w:lineRule="exact"/>
              <w:rPr>
                <w:sz w:val="20"/>
                <w:szCs w:val="20"/>
                <w:color w:val="auto"/>
              </w:rPr>
            </w:pPr>
            <w:r>
              <w:rPr>
                <w:rFonts w:ascii="Arial" w:cs="Arial" w:eastAsia="Arial" w:hAnsi="Arial"/>
                <w:sz w:val="16"/>
                <w:szCs w:val="16"/>
                <w:color w:val="0000EE"/>
              </w:rPr>
              <w:t>Why Stockholders Should Vote to Approve the 2026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Borders>
              <w:top w:val="single" w:sz="8" w:color="0000EE"/>
            </w:tcBorders>
            <w:gridSpan w:val="37"/>
          </w:tcPr>
          <w:p>
            <w:pPr>
              <w:spacing w:after="0" w:line="183" w:lineRule="exact"/>
              <w:rPr>
                <w:sz w:val="20"/>
                <w:szCs w:val="20"/>
                <w:color w:val="auto"/>
              </w:rPr>
            </w:pPr>
            <w:r>
              <w:rPr>
                <w:rFonts w:ascii="Arial" w:cs="Arial" w:eastAsia="Arial" w:hAnsi="Arial"/>
                <w:sz w:val="16"/>
                <w:szCs w:val="16"/>
                <w:color w:val="0000EE"/>
              </w:rPr>
              <w:t>Plan</w:t>
            </w:r>
          </w:p>
        </w:tc>
        <w:tc>
          <w:tcPr>
            <w:tcW w:w="300" w:type="dxa"/>
            <w:vAlign w:val="bottom"/>
            <w:gridSpan w:val="6"/>
          </w:tcPr>
          <w:p>
            <w:pPr>
              <w:spacing w:after="0"/>
              <w:rPr>
                <w:sz w:val="15"/>
                <w:szCs w:val="15"/>
                <w:color w:val="auto"/>
              </w:rPr>
            </w:pPr>
          </w:p>
        </w:tc>
        <w:tc>
          <w:tcPr>
            <w:tcW w:w="320" w:type="dxa"/>
            <w:vAlign w:val="bottom"/>
            <w:gridSpan w:val="4"/>
          </w:tcPr>
          <w:p>
            <w:pPr>
              <w:jc w:val="right"/>
              <w:ind w:right="60"/>
              <w:spacing w:after="0" w:line="183" w:lineRule="exact"/>
              <w:rPr>
                <w:sz w:val="20"/>
                <w:szCs w:val="20"/>
                <w:color w:val="auto"/>
              </w:rPr>
            </w:pPr>
            <w:r>
              <w:rPr>
                <w:rFonts w:ascii="Arial" w:cs="Arial" w:eastAsia="Arial" w:hAnsi="Arial"/>
                <w:sz w:val="16"/>
                <w:szCs w:val="16"/>
                <w:color w:val="0000EE"/>
              </w:rPr>
              <w:t>53</w:t>
            </w:r>
          </w:p>
        </w:tc>
        <w:tc>
          <w:tcPr>
            <w:tcW w:w="0" w:type="dxa"/>
            <w:vAlign w:val="bottom"/>
          </w:tcPr>
          <w:p>
            <w:pPr>
              <w:spacing w:after="0"/>
              <w:rPr>
                <w:sz w:val="1"/>
                <w:szCs w:val="1"/>
                <w:color w:val="auto"/>
              </w:rPr>
            </w:pPr>
          </w:p>
        </w:tc>
      </w:tr>
      <w:tr>
        <w:trPr>
          <w:trHeight w:val="21"/>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980" w:type="dxa"/>
            <w:vAlign w:val="bottom"/>
            <w:gridSpan w:val="43"/>
            <w:shd w:val="clear" w:color="auto" w:fill="CCEEFF"/>
          </w:tcPr>
          <w:p>
            <w:pPr>
              <w:spacing w:after="0" w:line="155" w:lineRule="exact"/>
              <w:rPr>
                <w:sz w:val="20"/>
                <w:szCs w:val="20"/>
                <w:color w:val="auto"/>
              </w:rPr>
            </w:pPr>
            <w:r>
              <w:rPr>
                <w:rFonts w:ascii="Arial" w:cs="Arial" w:eastAsia="Arial" w:hAnsi="Arial"/>
                <w:sz w:val="16"/>
                <w:szCs w:val="16"/>
                <w:color w:val="0000EE"/>
              </w:rPr>
              <w:t>Summary of the 2026 Plan</w:t>
            </w:r>
          </w:p>
        </w:tc>
        <w:tc>
          <w:tcPr>
            <w:tcW w:w="320" w:type="dxa"/>
            <w:vAlign w:val="bottom"/>
            <w:gridSpan w:val="4"/>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rPr>
              <w:t>54</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12"/>
          </w:tcPr>
          <w:p>
            <w:pPr>
              <w:spacing w:after="0" w:line="155" w:lineRule="exact"/>
              <w:rPr>
                <w:sz w:val="20"/>
                <w:szCs w:val="20"/>
                <w:color w:val="auto"/>
              </w:rPr>
            </w:pPr>
            <w:r>
              <w:rPr>
                <w:rFonts w:ascii="Arial" w:cs="Arial" w:eastAsia="Arial" w:hAnsi="Arial"/>
                <w:sz w:val="16"/>
                <w:szCs w:val="16"/>
                <w:color w:val="0000EE"/>
              </w:rPr>
              <w:t>New Plan Benefits</w:t>
            </w:r>
          </w:p>
        </w:tc>
        <w:tc>
          <w:tcPr>
            <w:tcW w:w="2080" w:type="dxa"/>
            <w:vAlign w:val="bottom"/>
            <w:gridSpan w:val="31"/>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jc w:val="right"/>
              <w:ind w:right="60"/>
              <w:spacing w:after="0" w:line="155" w:lineRule="exact"/>
              <w:rPr>
                <w:sz w:val="20"/>
                <w:szCs w:val="20"/>
                <w:color w:val="auto"/>
              </w:rPr>
            </w:pPr>
            <w:r>
              <w:rPr>
                <w:rFonts w:ascii="Arial" w:cs="Arial" w:eastAsia="Arial" w:hAnsi="Arial"/>
                <w:sz w:val="16"/>
                <w:szCs w:val="16"/>
                <w:color w:val="0000EE"/>
                <w:w w:val="89"/>
              </w:rPr>
              <w:t>58</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60" w:type="dxa"/>
            <w:vAlign w:val="bottom"/>
            <w:gridSpan w:val="18"/>
            <w:shd w:val="clear" w:color="auto" w:fill="CCEEFF"/>
          </w:tcPr>
          <w:p>
            <w:pPr>
              <w:spacing w:after="0" w:line="155" w:lineRule="exact"/>
              <w:rPr>
                <w:sz w:val="20"/>
                <w:szCs w:val="20"/>
                <w:color w:val="auto"/>
              </w:rPr>
            </w:pPr>
            <w:r>
              <w:rPr>
                <w:rFonts w:ascii="Arial" w:cs="Arial" w:eastAsia="Arial" w:hAnsi="Arial"/>
                <w:sz w:val="16"/>
                <w:szCs w:val="16"/>
                <w:color w:val="0000EE"/>
                <w:w w:val="98"/>
              </w:rPr>
              <w:t>Federal Income Tax Information</w:t>
            </w:r>
          </w:p>
        </w:tc>
        <w:tc>
          <w:tcPr>
            <w:tcW w:w="1720" w:type="dxa"/>
            <w:vAlign w:val="bottom"/>
            <w:gridSpan w:val="25"/>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58</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20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2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6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43"/>
          </w:tcPr>
          <w:p>
            <w:pPr>
              <w:spacing w:after="0" w:line="155" w:lineRule="exact"/>
              <w:rPr>
                <w:sz w:val="20"/>
                <w:szCs w:val="20"/>
                <w:color w:val="auto"/>
              </w:rPr>
            </w:pPr>
            <w:r>
              <w:rPr>
                <w:rFonts w:ascii="Arial" w:cs="Arial" w:eastAsia="Arial" w:hAnsi="Arial"/>
                <w:sz w:val="16"/>
                <w:szCs w:val="16"/>
                <w:color w:val="0000EE"/>
                <w:w w:val="99"/>
              </w:rPr>
              <w:t>Vote Required and Board of Directors Recommendation</w:t>
            </w:r>
          </w:p>
        </w:tc>
        <w:tc>
          <w:tcPr>
            <w:tcW w:w="320" w:type="dxa"/>
            <w:vAlign w:val="bottom"/>
            <w:gridSpan w:val="4"/>
          </w:tcPr>
          <w:p>
            <w:pPr>
              <w:jc w:val="right"/>
              <w:ind w:right="60"/>
              <w:spacing w:after="0" w:line="155" w:lineRule="exact"/>
              <w:rPr>
                <w:sz w:val="20"/>
                <w:szCs w:val="20"/>
                <w:color w:val="auto"/>
              </w:rPr>
            </w:pPr>
            <w:r>
              <w:rPr>
                <w:rFonts w:ascii="Arial" w:cs="Arial" w:eastAsia="Arial" w:hAnsi="Arial"/>
                <w:sz w:val="16"/>
                <w:szCs w:val="16"/>
                <w:color w:val="0000EE"/>
              </w:rPr>
              <w:t>59</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tcBorders>
              <w:bottom w:val="single" w:sz="8" w:color="4834BA"/>
            </w:tcBorders>
            <w:gridSpan w:val="29"/>
            <w:shd w:val="clear" w:color="auto" w:fill="CCEEFF"/>
          </w:tcPr>
          <w:p>
            <w:pPr>
              <w:spacing w:after="0"/>
              <w:rPr>
                <w:sz w:val="20"/>
                <w:szCs w:val="20"/>
                <w:color w:val="auto"/>
              </w:rPr>
            </w:pPr>
            <w:r>
              <w:rPr>
                <w:rFonts w:ascii="Arial" w:cs="Arial" w:eastAsia="Arial" w:hAnsi="Arial"/>
                <w:sz w:val="16"/>
                <w:szCs w:val="16"/>
                <w:b w:val="1"/>
                <w:bCs w:val="1"/>
                <w:color w:val="4834BA"/>
                <w:w w:val="90"/>
              </w:rPr>
              <w:t>EQUITY COMPENSATION PLAN INFORMATION</w:t>
            </w: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220" w:type="dxa"/>
            <w:vAlign w:val="bottom"/>
            <w:tcBorders>
              <w:bottom w:val="single" w:sz="8" w:color="CCEEFF"/>
            </w:tcBorders>
            <w:gridSpan w:val="4"/>
            <w:vMerge w:val="restart"/>
            <w:shd w:val="clear" w:color="auto" w:fill="CCEEFF"/>
          </w:tcPr>
          <w:p>
            <w:pPr>
              <w:spacing w:after="0"/>
              <w:rPr>
                <w:sz w:val="18"/>
                <w:szCs w:val="18"/>
                <w:color w:val="auto"/>
              </w:rPr>
            </w:pPr>
          </w:p>
        </w:tc>
        <w:tc>
          <w:tcPr>
            <w:tcW w:w="80" w:type="dxa"/>
            <w:vAlign w:val="bottom"/>
            <w:tcBorders>
              <w:bottom w:val="single" w:sz="8" w:color="CCEEFF"/>
            </w:tcBorders>
            <w:vMerge w:val="restart"/>
            <w:shd w:val="clear" w:color="auto" w:fill="CCEEFF"/>
          </w:tcPr>
          <w:p>
            <w:pPr>
              <w:spacing w:after="0"/>
              <w:rPr>
                <w:sz w:val="18"/>
                <w:szCs w:val="18"/>
                <w:color w:val="auto"/>
              </w:rPr>
            </w:pPr>
          </w:p>
        </w:tc>
        <w:tc>
          <w:tcPr>
            <w:tcW w:w="620" w:type="dxa"/>
            <w:vAlign w:val="bottom"/>
            <w:tcBorders>
              <w:bottom w:val="single" w:sz="8" w:color="CCEEFF"/>
            </w:tcBorders>
            <w:gridSpan w:val="10"/>
            <w:vMerge w:val="restart"/>
            <w:shd w:val="clear" w:color="auto" w:fill="CCEEFF"/>
          </w:tcPr>
          <w:p>
            <w:pPr>
              <w:spacing w:after="0"/>
              <w:rPr>
                <w:sz w:val="18"/>
                <w:szCs w:val="18"/>
                <w:color w:val="auto"/>
              </w:rPr>
            </w:pPr>
          </w:p>
        </w:tc>
        <w:tc>
          <w:tcPr>
            <w:tcW w:w="1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834BA"/>
            </w:tcBorders>
            <w:shd w:val="clear" w:color="auto" w:fill="CCEEFF"/>
          </w:tcPr>
          <w:p>
            <w:pPr>
              <w:jc w:val="right"/>
              <w:spacing w:after="0"/>
              <w:rPr>
                <w:sz w:val="20"/>
                <w:szCs w:val="20"/>
                <w:color w:val="auto"/>
              </w:rPr>
            </w:pPr>
            <w:r>
              <w:rPr>
                <w:rFonts w:ascii="Arial" w:cs="Arial" w:eastAsia="Arial" w:hAnsi="Arial"/>
                <w:sz w:val="16"/>
                <w:szCs w:val="16"/>
                <w:b w:val="1"/>
                <w:bCs w:val="1"/>
                <w:color w:val="4834BA"/>
                <w:w w:val="78"/>
              </w:rPr>
              <w:t>60</w:t>
            </w: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80" w:type="dxa"/>
            <w:vAlign w:val="bottom"/>
            <w:tcBorders>
              <w:bottom w:val="single" w:sz="8" w:color="auto"/>
            </w:tcBorders>
            <w:gridSpan w:val="8"/>
            <w:shd w:val="clear" w:color="auto" w:fill="CCEEFF"/>
          </w:tcPr>
          <w:p>
            <w:pPr>
              <w:spacing w:after="0"/>
              <w:rPr>
                <w:sz w:val="6"/>
                <w:szCs w:val="6"/>
                <w:color w:val="auto"/>
              </w:rPr>
            </w:pPr>
          </w:p>
        </w:tc>
        <w:tc>
          <w:tcPr>
            <w:tcW w:w="980" w:type="dxa"/>
            <w:vAlign w:val="bottom"/>
            <w:tcBorders>
              <w:bottom w:val="single" w:sz="8" w:color="auto"/>
            </w:tcBorders>
            <w:gridSpan w:val="7"/>
            <w:shd w:val="clear" w:color="auto" w:fill="CCEEFF"/>
          </w:tcPr>
          <w:p>
            <w:pPr>
              <w:spacing w:after="0"/>
              <w:rPr>
                <w:sz w:val="6"/>
                <w:szCs w:val="6"/>
                <w:color w:val="auto"/>
              </w:rPr>
            </w:pPr>
          </w:p>
        </w:tc>
        <w:tc>
          <w:tcPr>
            <w:tcW w:w="140" w:type="dxa"/>
            <w:vAlign w:val="bottom"/>
            <w:tcBorders>
              <w:bottom w:val="single" w:sz="8" w:color="auto"/>
            </w:tcBorders>
            <w:gridSpan w:val="2"/>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gridSpan w:val="3"/>
            <w:shd w:val="clear" w:color="auto" w:fill="CCEEFF"/>
          </w:tcPr>
          <w:p>
            <w:pPr>
              <w:spacing w:after="0"/>
              <w:rPr>
                <w:sz w:val="6"/>
                <w:szCs w:val="6"/>
                <w:color w:val="auto"/>
              </w:rPr>
            </w:pPr>
          </w:p>
        </w:tc>
        <w:tc>
          <w:tcPr>
            <w:tcW w:w="720" w:type="dxa"/>
            <w:vAlign w:val="bottom"/>
            <w:tcBorders>
              <w:bottom w:val="single" w:sz="8" w:color="auto"/>
            </w:tcBorders>
            <w:gridSpan w:val="8"/>
            <w:shd w:val="clear" w:color="auto" w:fill="CCEEFF"/>
          </w:tcPr>
          <w:p>
            <w:pPr>
              <w:spacing w:after="0"/>
              <w:rPr>
                <w:sz w:val="6"/>
                <w:szCs w:val="6"/>
                <w:color w:val="auto"/>
              </w:rPr>
            </w:pPr>
          </w:p>
        </w:tc>
        <w:tc>
          <w:tcPr>
            <w:tcW w:w="2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gridSpan w:val="4"/>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620" w:type="dxa"/>
            <w:vAlign w:val="bottom"/>
            <w:tcBorders>
              <w:bottom w:val="single" w:sz="8" w:color="auto"/>
            </w:tcBorders>
            <w:gridSpan w:val="10"/>
            <w:vMerge w:val="continue"/>
            <w:shd w:val="clear" w:color="auto" w:fill="CCEEFF"/>
          </w:tcPr>
          <w:p>
            <w:pPr>
              <w:spacing w:after="0"/>
              <w:rPr>
                <w:sz w:val="6"/>
                <w:szCs w:val="6"/>
                <w:color w:val="auto"/>
              </w:rPr>
            </w:pPr>
          </w:p>
        </w:tc>
        <w:tc>
          <w:tcPr>
            <w:tcW w:w="100" w:type="dxa"/>
            <w:vAlign w:val="bottom"/>
            <w:tcBorders>
              <w:bottom w:val="single" w:sz="8" w:color="auto"/>
            </w:tcBorders>
            <w:gridSpan w:val="2"/>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43"/>
          </w:tcPr>
          <w:p>
            <w:pPr>
              <w:spacing w:after="0" w:line="155" w:lineRule="exact"/>
              <w:rPr>
                <w:sz w:val="20"/>
                <w:szCs w:val="20"/>
                <w:color w:val="auto"/>
              </w:rPr>
            </w:pPr>
            <w:r>
              <w:rPr>
                <w:rFonts w:ascii="Arial" w:cs="Arial" w:eastAsia="Arial" w:hAnsi="Arial"/>
                <w:sz w:val="16"/>
                <w:szCs w:val="16"/>
                <w:color w:val="0000EE"/>
              </w:rPr>
              <w:t>2023 Equity Inducement Plan</w:t>
            </w:r>
          </w:p>
        </w:tc>
        <w:tc>
          <w:tcPr>
            <w:tcW w:w="320" w:type="dxa"/>
            <w:vAlign w:val="bottom"/>
            <w:gridSpan w:val="4"/>
          </w:tcPr>
          <w:p>
            <w:pPr>
              <w:jc w:val="right"/>
              <w:ind w:right="60"/>
              <w:spacing w:after="0" w:line="155" w:lineRule="exact"/>
              <w:rPr>
                <w:sz w:val="20"/>
                <w:szCs w:val="20"/>
                <w:color w:val="auto"/>
              </w:rPr>
            </w:pPr>
            <w:r>
              <w:rPr>
                <w:rFonts w:ascii="Arial" w:cs="Arial" w:eastAsia="Arial" w:hAnsi="Arial"/>
                <w:sz w:val="16"/>
                <w:szCs w:val="16"/>
                <w:color w:val="0000EE"/>
              </w:rPr>
              <w:t>60</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tcBorders>
              <w:bottom w:val="single" w:sz="8" w:color="4834BA"/>
            </w:tcBorders>
            <w:gridSpan w:val="30"/>
            <w:shd w:val="clear" w:color="auto" w:fill="CCEEFF"/>
          </w:tcPr>
          <w:p>
            <w:pPr>
              <w:spacing w:after="0"/>
              <w:rPr>
                <w:sz w:val="20"/>
                <w:szCs w:val="20"/>
                <w:color w:val="auto"/>
              </w:rPr>
            </w:pPr>
            <w:r>
              <w:rPr>
                <w:rFonts w:ascii="Arial" w:cs="Arial" w:eastAsia="Arial" w:hAnsi="Arial"/>
                <w:sz w:val="16"/>
                <w:szCs w:val="16"/>
                <w:b w:val="1"/>
                <w:bCs w:val="1"/>
                <w:color w:val="4834BA"/>
                <w:w w:val="91"/>
              </w:rPr>
              <w:t>PROPOSAL NO. 6 ADJOURNMENT PROPOSAL</w:t>
            </w:r>
          </w:p>
        </w:tc>
        <w:tc>
          <w:tcPr>
            <w:tcW w:w="220" w:type="dxa"/>
            <w:vAlign w:val="bottom"/>
            <w:tcBorders>
              <w:bottom w:val="single" w:sz="8" w:color="CCEEFF"/>
            </w:tcBorders>
            <w:gridSpan w:val="4"/>
            <w:vMerge w:val="restart"/>
            <w:shd w:val="clear" w:color="auto" w:fill="CCEEFF"/>
          </w:tcPr>
          <w:p>
            <w:pPr>
              <w:spacing w:after="0"/>
              <w:rPr>
                <w:sz w:val="18"/>
                <w:szCs w:val="18"/>
                <w:color w:val="auto"/>
              </w:rPr>
            </w:pPr>
          </w:p>
        </w:tc>
        <w:tc>
          <w:tcPr>
            <w:tcW w:w="80" w:type="dxa"/>
            <w:vAlign w:val="bottom"/>
            <w:tcBorders>
              <w:bottom w:val="single" w:sz="8" w:color="CCEEFF"/>
            </w:tcBorders>
            <w:vMerge w:val="restart"/>
            <w:shd w:val="clear" w:color="auto" w:fill="CCEEFF"/>
          </w:tcPr>
          <w:p>
            <w:pPr>
              <w:spacing w:after="0"/>
              <w:rPr>
                <w:sz w:val="18"/>
                <w:szCs w:val="18"/>
                <w:color w:val="auto"/>
              </w:rPr>
            </w:pPr>
          </w:p>
        </w:tc>
        <w:tc>
          <w:tcPr>
            <w:tcW w:w="620" w:type="dxa"/>
            <w:vAlign w:val="bottom"/>
            <w:tcBorders>
              <w:bottom w:val="single" w:sz="8" w:color="CCEEFF"/>
            </w:tcBorders>
            <w:gridSpan w:val="10"/>
            <w:vMerge w:val="restart"/>
            <w:shd w:val="clear" w:color="auto" w:fill="CCEEFF"/>
          </w:tcPr>
          <w:p>
            <w:pPr>
              <w:spacing w:after="0"/>
              <w:rPr>
                <w:sz w:val="18"/>
                <w:szCs w:val="18"/>
                <w:color w:val="auto"/>
              </w:rPr>
            </w:pPr>
          </w:p>
        </w:tc>
        <w:tc>
          <w:tcPr>
            <w:tcW w:w="1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834BA"/>
            </w:tcBorders>
            <w:shd w:val="clear" w:color="auto" w:fill="CCEEFF"/>
          </w:tcPr>
          <w:p>
            <w:pPr>
              <w:jc w:val="right"/>
              <w:spacing w:after="0"/>
              <w:rPr>
                <w:sz w:val="20"/>
                <w:szCs w:val="20"/>
                <w:color w:val="auto"/>
              </w:rPr>
            </w:pPr>
            <w:r>
              <w:rPr>
                <w:rFonts w:ascii="Arial" w:cs="Arial" w:eastAsia="Arial" w:hAnsi="Arial"/>
                <w:sz w:val="16"/>
                <w:szCs w:val="16"/>
                <w:b w:val="1"/>
                <w:bCs w:val="1"/>
                <w:color w:val="4834BA"/>
                <w:w w:val="78"/>
              </w:rPr>
              <w:t>63</w:t>
            </w: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1180" w:type="dxa"/>
            <w:vAlign w:val="bottom"/>
            <w:tcBorders>
              <w:bottom w:val="single" w:sz="8" w:color="auto"/>
            </w:tcBorders>
            <w:gridSpan w:val="8"/>
            <w:shd w:val="clear" w:color="auto" w:fill="CCEEFF"/>
          </w:tcPr>
          <w:p>
            <w:pPr>
              <w:spacing w:after="0"/>
              <w:rPr>
                <w:sz w:val="6"/>
                <w:szCs w:val="6"/>
                <w:color w:val="auto"/>
              </w:rPr>
            </w:pPr>
          </w:p>
        </w:tc>
        <w:tc>
          <w:tcPr>
            <w:tcW w:w="980" w:type="dxa"/>
            <w:vAlign w:val="bottom"/>
            <w:tcBorders>
              <w:bottom w:val="single" w:sz="8" w:color="auto"/>
            </w:tcBorders>
            <w:gridSpan w:val="7"/>
            <w:shd w:val="clear" w:color="auto" w:fill="CCEEFF"/>
          </w:tcPr>
          <w:p>
            <w:pPr>
              <w:spacing w:after="0"/>
              <w:rPr>
                <w:sz w:val="6"/>
                <w:szCs w:val="6"/>
                <w:color w:val="auto"/>
              </w:rPr>
            </w:pPr>
          </w:p>
        </w:tc>
        <w:tc>
          <w:tcPr>
            <w:tcW w:w="140" w:type="dxa"/>
            <w:vAlign w:val="bottom"/>
            <w:tcBorders>
              <w:bottom w:val="single" w:sz="8" w:color="auto"/>
            </w:tcBorders>
            <w:gridSpan w:val="2"/>
            <w:shd w:val="clear" w:color="auto" w:fill="CCEEFF"/>
          </w:tcPr>
          <w:p>
            <w:pPr>
              <w:spacing w:after="0"/>
              <w:rPr>
                <w:sz w:val="6"/>
                <w:szCs w:val="6"/>
                <w:color w:val="auto"/>
              </w:rPr>
            </w:pPr>
          </w:p>
        </w:tc>
        <w:tc>
          <w:tcPr>
            <w:tcW w:w="260" w:type="dxa"/>
            <w:vAlign w:val="bottom"/>
            <w:tcBorders>
              <w:bottom w:val="single" w:sz="8" w:color="auto"/>
            </w:tcBorders>
            <w:gridSpan w:val="4"/>
            <w:shd w:val="clear" w:color="auto" w:fill="CCEEFF"/>
          </w:tcPr>
          <w:p>
            <w:pPr>
              <w:spacing w:after="0"/>
              <w:rPr>
                <w:sz w:val="6"/>
                <w:szCs w:val="6"/>
                <w:color w:val="auto"/>
              </w:rPr>
            </w:pPr>
          </w:p>
        </w:tc>
        <w:tc>
          <w:tcPr>
            <w:tcW w:w="740" w:type="dxa"/>
            <w:vAlign w:val="bottom"/>
            <w:tcBorders>
              <w:bottom w:val="single" w:sz="8" w:color="auto"/>
            </w:tcBorders>
            <w:gridSpan w:val="9"/>
            <w:shd w:val="clear" w:color="auto" w:fill="CCEEFF"/>
          </w:tcPr>
          <w:p>
            <w:pPr>
              <w:spacing w:after="0"/>
              <w:rPr>
                <w:sz w:val="6"/>
                <w:szCs w:val="6"/>
                <w:color w:val="auto"/>
              </w:rPr>
            </w:pPr>
          </w:p>
        </w:tc>
        <w:tc>
          <w:tcPr>
            <w:tcW w:w="220" w:type="dxa"/>
            <w:vAlign w:val="bottom"/>
            <w:tcBorders>
              <w:bottom w:val="single" w:sz="8" w:color="auto"/>
            </w:tcBorders>
            <w:gridSpan w:val="4"/>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620" w:type="dxa"/>
            <w:vAlign w:val="bottom"/>
            <w:tcBorders>
              <w:bottom w:val="single" w:sz="8" w:color="auto"/>
            </w:tcBorders>
            <w:gridSpan w:val="10"/>
            <w:vMerge w:val="continue"/>
            <w:shd w:val="clear" w:color="auto" w:fill="CCEEFF"/>
          </w:tcPr>
          <w:p>
            <w:pPr>
              <w:spacing w:after="0"/>
              <w:rPr>
                <w:sz w:val="6"/>
                <w:szCs w:val="6"/>
                <w:color w:val="auto"/>
              </w:rPr>
            </w:pPr>
          </w:p>
        </w:tc>
        <w:tc>
          <w:tcPr>
            <w:tcW w:w="100" w:type="dxa"/>
            <w:vAlign w:val="bottom"/>
            <w:tcBorders>
              <w:bottom w:val="single" w:sz="8" w:color="auto"/>
            </w:tcBorders>
            <w:gridSpan w:val="2"/>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43"/>
          </w:tcPr>
          <w:p>
            <w:pPr>
              <w:spacing w:after="0" w:line="169" w:lineRule="exact"/>
              <w:rPr>
                <w:sz w:val="20"/>
                <w:szCs w:val="20"/>
                <w:color w:val="auto"/>
              </w:rPr>
            </w:pPr>
            <w:r>
              <w:rPr>
                <w:rFonts w:ascii="Arial" w:cs="Arial" w:eastAsia="Arial" w:hAnsi="Arial"/>
                <w:sz w:val="16"/>
                <w:szCs w:val="16"/>
                <w:color w:val="0000EE"/>
                <w:w w:val="99"/>
              </w:rPr>
              <w:t>Vote Required and Board of Directors Recommendation</w:t>
            </w:r>
          </w:p>
        </w:tc>
        <w:tc>
          <w:tcPr>
            <w:tcW w:w="320" w:type="dxa"/>
            <w:vAlign w:val="bottom"/>
            <w:gridSpan w:val="4"/>
          </w:tcPr>
          <w:p>
            <w:pPr>
              <w:jc w:val="right"/>
              <w:ind w:right="60"/>
              <w:spacing w:after="0" w:line="169" w:lineRule="exact"/>
              <w:rPr>
                <w:sz w:val="20"/>
                <w:szCs w:val="20"/>
                <w:color w:val="auto"/>
              </w:rPr>
            </w:pPr>
            <w:r>
              <w:rPr>
                <w:rFonts w:ascii="Arial" w:cs="Arial" w:eastAsia="Arial" w:hAnsi="Arial"/>
                <w:sz w:val="16"/>
                <w:szCs w:val="16"/>
                <w:color w:val="0000EE"/>
              </w:rPr>
              <w:t>63</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45"/>
            <w:shd w:val="clear" w:color="auto" w:fill="CCEEFF"/>
          </w:tcPr>
          <w:p>
            <w:pPr>
              <w:spacing w:after="0"/>
              <w:rPr>
                <w:sz w:val="20"/>
                <w:szCs w:val="20"/>
                <w:color w:val="auto"/>
              </w:rPr>
            </w:pPr>
            <w:r>
              <w:rPr>
                <w:rFonts w:ascii="Arial" w:cs="Arial" w:eastAsia="Arial" w:hAnsi="Arial"/>
                <w:sz w:val="16"/>
                <w:szCs w:val="16"/>
                <w:b w:val="1"/>
                <w:bCs w:val="1"/>
                <w:color w:val="4834BA"/>
              </w:rPr>
              <w:t>CERTAIN RELATIONSHIPS AND RELATED PERSON</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4834BA"/>
                <w:w w:val="78"/>
              </w:rPr>
              <w:t>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Borders>
              <w:top w:val="single" w:sz="8" w:color="4834BA"/>
              <w:bottom w:val="single" w:sz="8" w:color="4834BA"/>
            </w:tcBorders>
            <w:gridSpan w:val="8"/>
            <w:vMerge w:val="restart"/>
            <w:shd w:val="clear" w:color="auto" w:fill="CCEEFF"/>
          </w:tcPr>
          <w:p>
            <w:pPr>
              <w:spacing w:after="0" w:line="169" w:lineRule="exact"/>
              <w:rPr>
                <w:sz w:val="20"/>
                <w:szCs w:val="20"/>
                <w:color w:val="auto"/>
              </w:rPr>
            </w:pPr>
            <w:r>
              <w:rPr>
                <w:rFonts w:ascii="Arial" w:cs="Arial" w:eastAsia="Arial" w:hAnsi="Arial"/>
                <w:sz w:val="16"/>
                <w:szCs w:val="16"/>
                <w:b w:val="1"/>
                <w:bCs w:val="1"/>
                <w:color w:val="4834BA"/>
                <w:w w:val="91"/>
              </w:rPr>
              <w:t>TRANSACTIONS</w:t>
            </w:r>
          </w:p>
        </w:tc>
        <w:tc>
          <w:tcPr>
            <w:tcW w:w="980" w:type="dxa"/>
            <w:vAlign w:val="bottom"/>
            <w:tcBorders>
              <w:top w:val="single" w:sz="8" w:color="4834BA"/>
              <w:bottom w:val="single" w:sz="8" w:color="CCEEFF"/>
            </w:tcBorders>
            <w:gridSpan w:val="7"/>
            <w:shd w:val="clear" w:color="auto" w:fill="CCEEFF"/>
          </w:tcPr>
          <w:p>
            <w:pPr>
              <w:spacing w:after="0"/>
              <w:rPr>
                <w:sz w:val="13"/>
                <w:szCs w:val="13"/>
                <w:color w:val="auto"/>
              </w:rPr>
            </w:pPr>
          </w:p>
        </w:tc>
        <w:tc>
          <w:tcPr>
            <w:tcW w:w="140" w:type="dxa"/>
            <w:vAlign w:val="bottom"/>
            <w:tcBorders>
              <w:top w:val="single" w:sz="8" w:color="4834BA"/>
              <w:bottom w:val="single" w:sz="8" w:color="CCEEFF"/>
            </w:tcBorders>
            <w:gridSpan w:val="2"/>
            <w:shd w:val="clear" w:color="auto" w:fill="CCEEFF"/>
          </w:tcPr>
          <w:p>
            <w:pPr>
              <w:spacing w:after="0"/>
              <w:rPr>
                <w:sz w:val="13"/>
                <w:szCs w:val="13"/>
                <w:color w:val="auto"/>
              </w:rPr>
            </w:pPr>
          </w:p>
        </w:tc>
        <w:tc>
          <w:tcPr>
            <w:tcW w:w="260" w:type="dxa"/>
            <w:vAlign w:val="bottom"/>
            <w:tcBorders>
              <w:top w:val="single" w:sz="8" w:color="4834BA"/>
              <w:bottom w:val="single" w:sz="8" w:color="CCEEFF"/>
            </w:tcBorders>
            <w:gridSpan w:val="4"/>
            <w:shd w:val="clear" w:color="auto" w:fill="CCEEFF"/>
          </w:tcPr>
          <w:p>
            <w:pPr>
              <w:spacing w:after="0"/>
              <w:rPr>
                <w:sz w:val="13"/>
                <w:szCs w:val="13"/>
                <w:color w:val="auto"/>
              </w:rPr>
            </w:pPr>
          </w:p>
        </w:tc>
        <w:tc>
          <w:tcPr>
            <w:tcW w:w="960" w:type="dxa"/>
            <w:vAlign w:val="bottom"/>
            <w:tcBorders>
              <w:top w:val="single" w:sz="8" w:color="4834BA"/>
              <w:bottom w:val="single" w:sz="8" w:color="CCEEFF"/>
            </w:tcBorders>
            <w:gridSpan w:val="13"/>
            <w:shd w:val="clear" w:color="auto" w:fill="CCEEFF"/>
          </w:tcPr>
          <w:p>
            <w:pPr>
              <w:spacing w:after="0"/>
              <w:rPr>
                <w:sz w:val="13"/>
                <w:szCs w:val="13"/>
                <w:color w:val="auto"/>
              </w:rPr>
            </w:pPr>
          </w:p>
        </w:tc>
        <w:tc>
          <w:tcPr>
            <w:tcW w:w="80" w:type="dxa"/>
            <w:vAlign w:val="bottom"/>
            <w:tcBorders>
              <w:top w:val="single" w:sz="8" w:color="4834BA"/>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gridSpan w:val="10"/>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CEEFF"/>
              <w:bottom w:val="single" w:sz="8" w:color="4834BA"/>
            </w:tcBorders>
            <w:vMerge w:val="continue"/>
            <w:shd w:val="clear" w:color="auto" w:fill="CCEEFF"/>
          </w:tcPr>
          <w:p>
            <w:pPr>
              <w:spacing w:after="0"/>
              <w:rPr>
                <w:sz w:val="13"/>
                <w:szCs w:val="13"/>
                <w:color w:val="auto"/>
              </w:rPr>
            </w:pPr>
          </w:p>
        </w:tc>
        <w:tc>
          <w:tcPr>
            <w:tcW w:w="60" w:type="dxa"/>
            <w:vAlign w:val="bottom"/>
            <w:tcBorders>
              <w:top w:val="single" w:sz="8" w:color="CCEEFF"/>
              <w:bottom w:val="single" w:sz="8" w:color="CCEEFF"/>
            </w:tcBorders>
            <w:vMerge w:val="restart"/>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180" w:type="dxa"/>
            <w:vAlign w:val="bottom"/>
            <w:tcBorders>
              <w:bottom w:val="single" w:sz="8" w:color="4834BA"/>
            </w:tcBorders>
            <w:gridSpan w:val="8"/>
            <w:vMerge w:val="continue"/>
            <w:shd w:val="clear" w:color="auto" w:fill="CCEEFF"/>
          </w:tcPr>
          <w:p>
            <w:pPr>
              <w:spacing w:after="0"/>
              <w:rPr>
                <w:sz w:val="7"/>
                <w:szCs w:val="7"/>
                <w:color w:val="auto"/>
              </w:rPr>
            </w:pPr>
          </w:p>
        </w:tc>
        <w:tc>
          <w:tcPr>
            <w:tcW w:w="980" w:type="dxa"/>
            <w:vAlign w:val="bottom"/>
            <w:tcBorders>
              <w:bottom w:val="single" w:sz="8" w:color="CCEEFF"/>
            </w:tcBorders>
            <w:gridSpan w:val="7"/>
            <w:shd w:val="clear" w:color="auto" w:fill="CCEEFF"/>
          </w:tcPr>
          <w:p>
            <w:pPr>
              <w:spacing w:after="0"/>
              <w:rPr>
                <w:sz w:val="7"/>
                <w:szCs w:val="7"/>
                <w:color w:val="auto"/>
              </w:rPr>
            </w:pPr>
          </w:p>
        </w:tc>
        <w:tc>
          <w:tcPr>
            <w:tcW w:w="140" w:type="dxa"/>
            <w:vAlign w:val="bottom"/>
            <w:tcBorders>
              <w:bottom w:val="single" w:sz="8" w:color="CCEEFF"/>
            </w:tcBorders>
            <w:gridSpan w:val="2"/>
            <w:shd w:val="clear" w:color="auto" w:fill="CCEEFF"/>
          </w:tcPr>
          <w:p>
            <w:pPr>
              <w:spacing w:after="0"/>
              <w:rPr>
                <w:sz w:val="7"/>
                <w:szCs w:val="7"/>
                <w:color w:val="auto"/>
              </w:rPr>
            </w:pPr>
          </w:p>
        </w:tc>
        <w:tc>
          <w:tcPr>
            <w:tcW w:w="260" w:type="dxa"/>
            <w:vAlign w:val="bottom"/>
            <w:tcBorders>
              <w:bottom w:val="single" w:sz="8" w:color="CCEEFF"/>
            </w:tcBorders>
            <w:gridSpan w:val="4"/>
            <w:shd w:val="clear" w:color="auto" w:fill="CCEEFF"/>
          </w:tcPr>
          <w:p>
            <w:pPr>
              <w:spacing w:after="0"/>
              <w:rPr>
                <w:sz w:val="7"/>
                <w:szCs w:val="7"/>
                <w:color w:val="auto"/>
              </w:rPr>
            </w:pPr>
          </w:p>
        </w:tc>
        <w:tc>
          <w:tcPr>
            <w:tcW w:w="960" w:type="dxa"/>
            <w:vAlign w:val="bottom"/>
            <w:tcBorders>
              <w:bottom w:val="single" w:sz="8" w:color="CCEEFF"/>
            </w:tcBorders>
            <w:gridSpan w:val="13"/>
            <w:shd w:val="clear" w:color="auto" w:fill="CCEEFF"/>
          </w:tcPr>
          <w:p>
            <w:pPr>
              <w:spacing w:after="0"/>
              <w:rPr>
                <w:sz w:val="7"/>
                <w:szCs w:val="7"/>
                <w:color w:val="auto"/>
              </w:rPr>
            </w:pPr>
          </w:p>
        </w:tc>
        <w:tc>
          <w:tcPr>
            <w:tcW w:w="700" w:type="dxa"/>
            <w:vAlign w:val="bottom"/>
            <w:tcBorders>
              <w:bottom w:val="single" w:sz="8" w:color="CCEEFF"/>
            </w:tcBorders>
            <w:gridSpan w:val="11"/>
            <w:shd w:val="clear" w:color="auto" w:fill="CCEEFF"/>
          </w:tcPr>
          <w:p>
            <w:pPr>
              <w:spacing w:after="0"/>
              <w:rPr>
                <w:sz w:val="7"/>
                <w:szCs w:val="7"/>
                <w:color w:val="auto"/>
              </w:rPr>
            </w:pPr>
          </w:p>
        </w:tc>
        <w:tc>
          <w:tcPr>
            <w:tcW w:w="100" w:type="dxa"/>
            <w:vAlign w:val="bottom"/>
            <w:tcBorders>
              <w:bottom w:val="single" w:sz="8" w:color="CCEEFF"/>
            </w:tcBorders>
            <w:gridSpan w:val="2"/>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320" w:type="dxa"/>
            <w:vAlign w:val="bottom"/>
            <w:tcBorders>
              <w:top w:val="single" w:sz="8" w:color="auto"/>
              <w:bottom w:val="single" w:sz="8" w:color="0000EE"/>
            </w:tcBorders>
            <w:gridSpan w:val="19"/>
          </w:tcPr>
          <w:p>
            <w:pPr>
              <w:spacing w:after="0" w:line="183" w:lineRule="exact"/>
              <w:rPr>
                <w:sz w:val="20"/>
                <w:szCs w:val="20"/>
                <w:color w:val="auto"/>
              </w:rPr>
            </w:pPr>
            <w:r>
              <w:rPr>
                <w:rFonts w:ascii="Arial" w:cs="Arial" w:eastAsia="Arial" w:hAnsi="Arial"/>
                <w:sz w:val="16"/>
                <w:szCs w:val="16"/>
                <w:color w:val="0000EE"/>
                <w:w w:val="99"/>
              </w:rPr>
              <w:t>Related Party Transaction Policy</w:t>
            </w:r>
          </w:p>
        </w:tc>
        <w:tc>
          <w:tcPr>
            <w:tcW w:w="960" w:type="dxa"/>
            <w:vAlign w:val="bottom"/>
            <w:tcBorders>
              <w:top w:val="single" w:sz="8" w:color="auto"/>
              <w:bottom w:val="single" w:sz="8" w:color="auto"/>
            </w:tcBorders>
            <w:gridSpan w:val="13"/>
            <w:vMerge w:val="restart"/>
          </w:tcPr>
          <w:p>
            <w:pPr>
              <w:spacing w:after="0"/>
              <w:rPr>
                <w:sz w:val="17"/>
                <w:szCs w:val="17"/>
                <w:color w:val="auto"/>
              </w:rPr>
            </w:pPr>
          </w:p>
        </w:tc>
        <w:tc>
          <w:tcPr>
            <w:tcW w:w="700" w:type="dxa"/>
            <w:vAlign w:val="bottom"/>
            <w:tcBorders>
              <w:top w:val="single" w:sz="8" w:color="auto"/>
              <w:bottom w:val="single" w:sz="8" w:color="auto"/>
            </w:tcBorders>
            <w:gridSpan w:val="11"/>
            <w:vMerge w:val="restart"/>
          </w:tcPr>
          <w:p>
            <w:pPr>
              <w:spacing w:after="0"/>
              <w:rPr>
                <w:sz w:val="17"/>
                <w:szCs w:val="17"/>
                <w:color w:val="auto"/>
              </w:rPr>
            </w:pPr>
          </w:p>
        </w:tc>
        <w:tc>
          <w:tcPr>
            <w:tcW w:w="320" w:type="dxa"/>
            <w:vAlign w:val="bottom"/>
            <w:tcBorders>
              <w:top w:val="single" w:sz="8" w:color="auto"/>
              <w:bottom w:val="single" w:sz="8" w:color="auto"/>
            </w:tcBorders>
            <w:gridSpan w:val="4"/>
            <w:vMerge w:val="restart"/>
          </w:tcPr>
          <w:p>
            <w:pPr>
              <w:jc w:val="right"/>
              <w:ind w:right="60"/>
              <w:spacing w:after="0"/>
              <w:rPr>
                <w:sz w:val="20"/>
                <w:szCs w:val="20"/>
                <w:color w:val="auto"/>
              </w:rPr>
            </w:pPr>
            <w:r>
              <w:rPr>
                <w:rFonts w:ascii="Arial" w:cs="Arial" w:eastAsia="Arial" w:hAnsi="Arial"/>
                <w:sz w:val="16"/>
                <w:szCs w:val="16"/>
                <w:color w:val="0000EE"/>
              </w:rPr>
              <w:t>64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1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13"/>
            <w:vMerge w:val="continue"/>
          </w:tcPr>
          <w:p>
            <w:pPr>
              <w:spacing w:after="0" w:line="20" w:lineRule="exact"/>
              <w:rPr>
                <w:sz w:val="1"/>
                <w:szCs w:val="1"/>
                <w:color w:val="auto"/>
              </w:rPr>
            </w:pPr>
          </w:p>
        </w:tc>
        <w:tc>
          <w:tcPr>
            <w:tcW w:w="700" w:type="dxa"/>
            <w:vAlign w:val="bottom"/>
            <w:gridSpan w:val="11"/>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gridSpan w:val="43"/>
            <w:shd w:val="clear" w:color="auto" w:fill="CCEEFF"/>
          </w:tcPr>
          <w:p>
            <w:pPr>
              <w:spacing w:after="0" w:line="155" w:lineRule="exact"/>
              <w:rPr>
                <w:sz w:val="20"/>
                <w:szCs w:val="20"/>
                <w:color w:val="auto"/>
              </w:rPr>
            </w:pPr>
            <w:r>
              <w:rPr>
                <w:rFonts w:ascii="Arial" w:cs="Arial" w:eastAsia="Arial" w:hAnsi="Arial"/>
                <w:sz w:val="16"/>
                <w:szCs w:val="16"/>
                <w:color w:val="0000EE"/>
              </w:rPr>
              <w:t>Related Person Transactions</w:t>
            </w:r>
          </w:p>
        </w:tc>
        <w:tc>
          <w:tcPr>
            <w:tcW w:w="320" w:type="dxa"/>
            <w:vAlign w:val="bottom"/>
            <w:tcBorders>
              <w:bottom w:val="single" w:sz="8" w:color="auto"/>
            </w:tcBorders>
            <w:gridSpan w:val="4"/>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rPr>
              <w:t>64</w:t>
            </w:r>
          </w:p>
        </w:tc>
        <w:tc>
          <w:tcPr>
            <w:tcW w:w="0" w:type="dxa"/>
            <w:vAlign w:val="bottom"/>
          </w:tcPr>
          <w:p>
            <w:pPr>
              <w:spacing w:after="0"/>
              <w:rPr>
                <w:sz w:val="1"/>
                <w:szCs w:val="1"/>
                <w:color w:val="auto"/>
              </w:rPr>
            </w:pPr>
          </w:p>
        </w:tc>
      </w:tr>
      <w:tr>
        <w:trPr>
          <w:trHeight w:val="163"/>
        </w:trPr>
        <w:tc>
          <w:tcPr>
            <w:tcW w:w="4220" w:type="dxa"/>
            <w:vAlign w:val="bottom"/>
            <w:gridSpan w:val="45"/>
          </w:tcPr>
          <w:p>
            <w:pPr>
              <w:spacing w:after="0" w:line="163" w:lineRule="exact"/>
              <w:rPr>
                <w:sz w:val="20"/>
                <w:szCs w:val="20"/>
                <w:color w:val="auto"/>
              </w:rPr>
            </w:pPr>
            <w:r>
              <w:rPr>
                <w:rFonts w:ascii="Arial" w:cs="Arial" w:eastAsia="Arial" w:hAnsi="Arial"/>
                <w:sz w:val="16"/>
                <w:szCs w:val="16"/>
                <w:b w:val="1"/>
                <w:bCs w:val="1"/>
                <w:color w:val="4834BA"/>
              </w:rPr>
              <w:t>SECURITY OWNERSHIP OF CERTAIN BENEFICIAL</w:t>
            </w:r>
          </w:p>
        </w:tc>
        <w:tc>
          <w:tcPr>
            <w:tcW w:w="1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4834BA"/>
                <w:w w:val="78"/>
              </w:rPr>
              <w:t>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Borders>
              <w:top w:val="single" w:sz="8" w:color="4834BA"/>
              <w:bottom w:val="single" w:sz="8" w:color="4834BA"/>
            </w:tcBorders>
            <w:gridSpan w:val="34"/>
          </w:tcPr>
          <w:p>
            <w:pPr>
              <w:spacing w:after="0" w:line="155" w:lineRule="exact"/>
              <w:rPr>
                <w:sz w:val="20"/>
                <w:szCs w:val="20"/>
                <w:color w:val="auto"/>
              </w:rPr>
            </w:pPr>
            <w:r>
              <w:rPr>
                <w:rFonts w:ascii="Arial" w:cs="Arial" w:eastAsia="Arial" w:hAnsi="Arial"/>
                <w:sz w:val="16"/>
                <w:szCs w:val="16"/>
                <w:b w:val="1"/>
                <w:bCs w:val="1"/>
                <w:color w:val="4834BA"/>
              </w:rPr>
              <w:t>OWNERS AND MANAGEMENT</w:t>
            </w:r>
          </w:p>
        </w:tc>
        <w:tc>
          <w:tcPr>
            <w:tcW w:w="700" w:type="dxa"/>
            <w:vAlign w:val="bottom"/>
            <w:gridSpan w:val="11"/>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160" w:type="dxa"/>
            <w:vAlign w:val="bottom"/>
            <w:tcBorders>
              <w:bottom w:val="single" w:sz="8" w:color="4834BA"/>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4834BA"/>
            </w:tcBorders>
          </w:tcPr>
          <w:p>
            <w:pPr>
              <w:spacing w:after="0" w:line="20" w:lineRule="exact"/>
              <w:rPr>
                <w:sz w:val="1"/>
                <w:szCs w:val="1"/>
                <w:color w:val="auto"/>
              </w:rPr>
            </w:pPr>
          </w:p>
        </w:tc>
        <w:tc>
          <w:tcPr>
            <w:tcW w:w="20" w:type="dxa"/>
            <w:vAlign w:val="bottom"/>
            <w:tcBorders>
              <w:bottom w:val="single" w:sz="8" w:color="4834BA"/>
            </w:tcBorders>
          </w:tcPr>
          <w:p>
            <w:pPr>
              <w:spacing w:after="0" w:line="20" w:lineRule="exact"/>
              <w:rPr>
                <w:sz w:val="1"/>
                <w:szCs w:val="1"/>
                <w:color w:val="auto"/>
              </w:rPr>
            </w:pPr>
          </w:p>
        </w:tc>
        <w:tc>
          <w:tcPr>
            <w:tcW w:w="160" w:type="dxa"/>
            <w:vAlign w:val="bottom"/>
            <w:tcBorders>
              <w:bottom w:val="single" w:sz="8" w:color="4834BA"/>
            </w:tcBorders>
          </w:tcPr>
          <w:p>
            <w:pPr>
              <w:spacing w:after="0" w:line="20" w:lineRule="exact"/>
              <w:rPr>
                <w:sz w:val="1"/>
                <w:szCs w:val="1"/>
                <w:color w:val="auto"/>
              </w:rPr>
            </w:pPr>
          </w:p>
        </w:tc>
        <w:tc>
          <w:tcPr>
            <w:tcW w:w="160" w:type="dxa"/>
            <w:vAlign w:val="bottom"/>
            <w:tcBorders>
              <w:bottom w:val="single" w:sz="8" w:color="4834BA"/>
            </w:tcBorders>
          </w:tcPr>
          <w:p>
            <w:pPr>
              <w:spacing w:after="0" w:line="20" w:lineRule="exact"/>
              <w:rPr>
                <w:sz w:val="1"/>
                <w:szCs w:val="1"/>
                <w:color w:val="auto"/>
              </w:rPr>
            </w:pPr>
          </w:p>
        </w:tc>
        <w:tc>
          <w:tcPr>
            <w:tcW w:w="200" w:type="dxa"/>
            <w:vAlign w:val="bottom"/>
            <w:tcBorders>
              <w:bottom w:val="single" w:sz="8" w:color="4834BA"/>
            </w:tcBorders>
          </w:tcPr>
          <w:p>
            <w:pPr>
              <w:spacing w:after="0" w:line="20" w:lineRule="exact"/>
              <w:rPr>
                <w:sz w:val="1"/>
                <w:szCs w:val="1"/>
                <w:color w:val="auto"/>
              </w:rPr>
            </w:pPr>
          </w:p>
        </w:tc>
        <w:tc>
          <w:tcPr>
            <w:tcW w:w="160" w:type="dxa"/>
            <w:vAlign w:val="bottom"/>
            <w:tcBorders>
              <w:bottom w:val="single" w:sz="8" w:color="4834BA"/>
            </w:tcBorders>
          </w:tcPr>
          <w:p>
            <w:pPr>
              <w:spacing w:after="0" w:line="20" w:lineRule="exact"/>
              <w:rPr>
                <w:sz w:val="1"/>
                <w:szCs w:val="1"/>
                <w:color w:val="auto"/>
              </w:rPr>
            </w:pPr>
          </w:p>
        </w:tc>
        <w:tc>
          <w:tcPr>
            <w:tcW w:w="140" w:type="dxa"/>
            <w:vAlign w:val="bottom"/>
            <w:tcBorders>
              <w:bottom w:val="single" w:sz="8" w:color="4834BA"/>
            </w:tcBorders>
          </w:tcPr>
          <w:p>
            <w:pPr>
              <w:spacing w:after="0" w:line="20" w:lineRule="exact"/>
              <w:rPr>
                <w:sz w:val="1"/>
                <w:szCs w:val="1"/>
                <w:color w:val="auto"/>
              </w:rPr>
            </w:pPr>
          </w:p>
        </w:tc>
        <w:tc>
          <w:tcPr>
            <w:tcW w:w="120" w:type="dxa"/>
            <w:vAlign w:val="bottom"/>
            <w:tcBorders>
              <w:bottom w:val="single" w:sz="8" w:color="4834BA"/>
            </w:tcBorders>
          </w:tcPr>
          <w:p>
            <w:pPr>
              <w:spacing w:after="0" w:line="20" w:lineRule="exact"/>
              <w:rPr>
                <w:sz w:val="1"/>
                <w:szCs w:val="1"/>
                <w:color w:val="auto"/>
              </w:rPr>
            </w:pPr>
          </w:p>
        </w:tc>
        <w:tc>
          <w:tcPr>
            <w:tcW w:w="100" w:type="dxa"/>
            <w:vAlign w:val="bottom"/>
            <w:tcBorders>
              <w:bottom w:val="single" w:sz="8" w:color="4834BA"/>
            </w:tcBorders>
          </w:tcPr>
          <w:p>
            <w:pPr>
              <w:spacing w:after="0" w:line="20" w:lineRule="exact"/>
              <w:rPr>
                <w:sz w:val="1"/>
                <w:szCs w:val="1"/>
                <w:color w:val="auto"/>
              </w:rPr>
            </w:pPr>
          </w:p>
        </w:tc>
        <w:tc>
          <w:tcPr>
            <w:tcW w:w="280" w:type="dxa"/>
            <w:vAlign w:val="bottom"/>
            <w:tcBorders>
              <w:bottom w:val="single" w:sz="8" w:color="4834BA"/>
            </w:tcBorders>
          </w:tcPr>
          <w:p>
            <w:pPr>
              <w:spacing w:after="0" w:line="20" w:lineRule="exact"/>
              <w:rPr>
                <w:sz w:val="1"/>
                <w:szCs w:val="1"/>
                <w:color w:val="auto"/>
              </w:rPr>
            </w:pPr>
          </w:p>
        </w:tc>
        <w:tc>
          <w:tcPr>
            <w:tcW w:w="100" w:type="dxa"/>
            <w:vAlign w:val="bottom"/>
            <w:tcBorders>
              <w:bottom w:val="single" w:sz="8" w:color="4834BA"/>
            </w:tcBorders>
          </w:tcPr>
          <w:p>
            <w:pPr>
              <w:spacing w:after="0" w:line="20" w:lineRule="exact"/>
              <w:rPr>
                <w:sz w:val="1"/>
                <w:szCs w:val="1"/>
                <w:color w:val="auto"/>
              </w:rPr>
            </w:pPr>
          </w:p>
        </w:tc>
        <w:tc>
          <w:tcPr>
            <w:tcW w:w="80" w:type="dxa"/>
            <w:vAlign w:val="bottom"/>
            <w:tcBorders>
              <w:bottom w:val="single" w:sz="8" w:color="4834BA"/>
            </w:tcBorders>
          </w:tcPr>
          <w:p>
            <w:pPr>
              <w:spacing w:after="0" w:line="20" w:lineRule="exact"/>
              <w:rPr>
                <w:sz w:val="1"/>
                <w:szCs w:val="1"/>
                <w:color w:val="auto"/>
              </w:rPr>
            </w:pPr>
          </w:p>
        </w:tc>
        <w:tc>
          <w:tcPr>
            <w:tcW w:w="180" w:type="dxa"/>
            <w:vAlign w:val="bottom"/>
            <w:tcBorders>
              <w:bottom w:val="single" w:sz="8" w:color="4834BA"/>
            </w:tcBorders>
          </w:tcPr>
          <w:p>
            <w:pPr>
              <w:spacing w:after="0" w:line="20" w:lineRule="exact"/>
              <w:rPr>
                <w:sz w:val="1"/>
                <w:szCs w:val="1"/>
                <w:color w:val="auto"/>
              </w:rPr>
            </w:pPr>
          </w:p>
        </w:tc>
        <w:tc>
          <w:tcPr>
            <w:tcW w:w="220" w:type="dxa"/>
            <w:vAlign w:val="bottom"/>
            <w:tcBorders>
              <w:bottom w:val="single" w:sz="8" w:color="4834BA"/>
            </w:tcBorders>
          </w:tcPr>
          <w:p>
            <w:pPr>
              <w:spacing w:after="0" w:line="20" w:lineRule="exact"/>
              <w:rPr>
                <w:sz w:val="1"/>
                <w:szCs w:val="1"/>
                <w:color w:val="auto"/>
              </w:rPr>
            </w:pPr>
          </w:p>
        </w:tc>
        <w:tc>
          <w:tcPr>
            <w:tcW w:w="20" w:type="dxa"/>
            <w:vAlign w:val="bottom"/>
            <w:tcBorders>
              <w:bottom w:val="single" w:sz="8" w:color="4834BA"/>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673100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1460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-1859280</wp:posOffset>
            </wp:positionV>
            <wp:extent cx="82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-2013585</wp:posOffset>
            </wp:positionV>
            <wp:extent cx="1460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-2167890</wp:posOffset>
            </wp:positionV>
            <wp:extent cx="82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-2322195</wp:posOffset>
            </wp:positionV>
            <wp:extent cx="1460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-3102610</wp:posOffset>
            </wp:positionV>
            <wp:extent cx="82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-3256915</wp:posOffset>
            </wp:positionV>
            <wp:extent cx="1460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-3411220</wp:posOffset>
            </wp:positionV>
            <wp:extent cx="82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-3565525</wp:posOffset>
            </wp:positionV>
            <wp:extent cx="1460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-4482465</wp:posOffset>
            </wp:positionV>
            <wp:extent cx="82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-4636770</wp:posOffset>
            </wp:positionV>
            <wp:extent cx="1460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-4791075</wp:posOffset>
            </wp:positionV>
            <wp:extent cx="82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-5065395</wp:posOffset>
            </wp:positionV>
            <wp:extent cx="1460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-5219700</wp:posOffset>
            </wp:positionV>
            <wp:extent cx="82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-5374005</wp:posOffset>
            </wp:positionV>
            <wp:extent cx="1460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-5528310</wp:posOffset>
            </wp:positionV>
            <wp:extent cx="82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-5682615</wp:posOffset>
            </wp:positionV>
            <wp:extent cx="1460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-5836920</wp:posOffset>
            </wp:positionV>
            <wp:extent cx="82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-5991225</wp:posOffset>
            </wp:positionV>
            <wp:extent cx="1460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-6265545</wp:posOffset>
            </wp:positionV>
            <wp:extent cx="82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-6419850</wp:posOffset>
            </wp:positionV>
            <wp:extent cx="1460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-6574155</wp:posOffset>
            </wp:positionV>
            <wp:extent cx="82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-6728460</wp:posOffset>
            </wp:positionV>
            <wp:extent cx="1460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-6882765</wp:posOffset>
            </wp:positionV>
            <wp:extent cx="82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-7037070</wp:posOffset>
            </wp:positionV>
            <wp:extent cx="1460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-7191375</wp:posOffset>
            </wp:positionV>
            <wp:extent cx="82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2">
            <w:col w:w="5200" w:space="320"/>
            <w:col w:w="4540"/>
          </w:cols>
          <w:pgMar w:left="580" w:top="97" w:right="125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65"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120" w:type="dxa"/>
            <w:vAlign w:val="bottom"/>
            <w:gridSpan w:val="15"/>
            <w:shd w:val="clear" w:color="auto" w:fill="CCEEFF"/>
          </w:tcPr>
          <w:p>
            <w:pPr>
              <w:spacing w:after="0"/>
              <w:rPr>
                <w:sz w:val="20"/>
                <w:szCs w:val="20"/>
                <w:color w:val="auto"/>
              </w:rPr>
            </w:pPr>
            <w:r>
              <w:rPr>
                <w:rFonts w:ascii="Arial" w:cs="Arial" w:eastAsia="Arial" w:hAnsi="Arial"/>
                <w:sz w:val="16"/>
                <w:szCs w:val="16"/>
                <w:b w:val="1"/>
                <w:bCs w:val="1"/>
                <w:color w:val="4834BA"/>
                <w:w w:val="98"/>
              </w:rPr>
              <w:t>SECTION 16(a) BENEFICIAL OWNERSHIP REPORTING</w:t>
            </w: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4834BA"/>
                <w:w w:val="78"/>
              </w:rPr>
              <w:t>67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00" w:type="dxa"/>
            <w:vAlign w:val="bottom"/>
            <w:tcBorders>
              <w:top w:val="single" w:sz="8" w:color="4834BA"/>
              <w:bottom w:val="single" w:sz="8" w:color="4834BA"/>
            </w:tcBorders>
            <w:gridSpan w:val="14"/>
            <w:vMerge w:val="restart"/>
            <w:shd w:val="clear" w:color="auto" w:fill="CCEEFF"/>
          </w:tcPr>
          <w:p>
            <w:pPr>
              <w:spacing w:after="0" w:line="155" w:lineRule="exact"/>
              <w:rPr>
                <w:sz w:val="20"/>
                <w:szCs w:val="20"/>
                <w:color w:val="auto"/>
              </w:rPr>
            </w:pPr>
            <w:r>
              <w:rPr>
                <w:rFonts w:ascii="Arial" w:cs="Arial" w:eastAsia="Arial" w:hAnsi="Arial"/>
                <w:sz w:val="16"/>
                <w:szCs w:val="16"/>
                <w:b w:val="1"/>
                <w:bCs w:val="1"/>
                <w:color w:val="4834BA"/>
              </w:rPr>
              <w:t>COMPLIANCE</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gridSpan w:val="2"/>
            <w:vMerge w:val="continue"/>
            <w:shd w:val="clear" w:color="auto" w:fill="CCEEFF"/>
          </w:tcPr>
          <w:p>
            <w:pPr>
              <w:spacing w:after="0"/>
              <w:rPr>
                <w:sz w:val="10"/>
                <w:szCs w:val="10"/>
                <w:color w:val="auto"/>
              </w:rPr>
            </w:pPr>
          </w:p>
        </w:tc>
        <w:tc>
          <w:tcPr>
            <w:tcW w:w="160" w:type="dxa"/>
            <w:vAlign w:val="bottom"/>
            <w:tcBorders>
              <w:top w:val="single" w:sz="8" w:color="CCEEFF"/>
              <w:bottom w:val="single" w:sz="8" w:color="4834BA"/>
            </w:tcBorders>
            <w:vMerge w:val="continue"/>
            <w:shd w:val="clear" w:color="auto" w:fill="CCEEFF"/>
          </w:tcPr>
          <w:p>
            <w:pPr>
              <w:spacing w:after="0"/>
              <w:rPr>
                <w:sz w:val="10"/>
                <w:szCs w:val="10"/>
                <w:color w:val="auto"/>
              </w:rPr>
            </w:pPr>
          </w:p>
        </w:tc>
        <w:tc>
          <w:tcPr>
            <w:tcW w:w="6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00" w:type="dxa"/>
            <w:vAlign w:val="bottom"/>
            <w:tcBorders>
              <w:bottom w:val="single" w:sz="8" w:color="auto"/>
            </w:tcBorders>
            <w:gridSpan w:val="14"/>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gridSpan w:val="2"/>
            <w:vMerge w:val="continue"/>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120" w:type="dxa"/>
            <w:vAlign w:val="bottom"/>
            <w:gridSpan w:val="15"/>
          </w:tcPr>
          <w:p>
            <w:pPr>
              <w:spacing w:after="0"/>
              <w:rPr>
                <w:sz w:val="20"/>
                <w:szCs w:val="20"/>
                <w:color w:val="auto"/>
              </w:rPr>
            </w:pPr>
            <w:r>
              <w:rPr>
                <w:rFonts w:ascii="Arial" w:cs="Arial" w:eastAsia="Arial" w:hAnsi="Arial"/>
                <w:sz w:val="16"/>
                <w:szCs w:val="16"/>
                <w:b w:val="1"/>
                <w:bCs w:val="1"/>
                <w:color w:val="4834BA"/>
                <w:w w:val="95"/>
              </w:rPr>
              <w:t>STOCKHOLDER PROPOSALS OR NOMINATIONS TO BE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20" w:type="dxa"/>
            <w:vAlign w:val="bottom"/>
            <w:tcBorders>
              <w:top w:val="single" w:sz="8" w:color="4834BA"/>
              <w:bottom w:val="single" w:sz="8" w:color="4834BA"/>
            </w:tcBorders>
            <w:gridSpan w:val="10"/>
          </w:tcPr>
          <w:p>
            <w:pPr>
              <w:spacing w:after="0" w:line="155" w:lineRule="exact"/>
              <w:rPr>
                <w:sz w:val="20"/>
                <w:szCs w:val="20"/>
                <w:color w:val="auto"/>
              </w:rPr>
            </w:pPr>
            <w:r>
              <w:rPr>
                <w:rFonts w:ascii="Arial" w:cs="Arial" w:eastAsia="Arial" w:hAnsi="Arial"/>
                <w:sz w:val="16"/>
                <w:szCs w:val="16"/>
                <w:b w:val="1"/>
                <w:bCs w:val="1"/>
                <w:color w:val="4834BA"/>
                <w:w w:val="90"/>
              </w:rPr>
              <w:t>PRESENTED AT NEXT ANNUAL MEETING</w:t>
            </w:r>
          </w:p>
        </w:tc>
        <w:tc>
          <w:tcPr>
            <w:tcW w:w="440" w:type="dxa"/>
            <w:vAlign w:val="bottom"/>
            <w:tcBorders>
              <w:top w:val="single" w:sz="8" w:color="4834BA"/>
              <w:bottom w:val="single" w:sz="8" w:color="4834BA"/>
            </w:tcBorders>
          </w:tcPr>
          <w:p>
            <w:pPr>
              <w:spacing w:after="0"/>
              <w:rPr>
                <w:sz w:val="16"/>
                <w:szCs w:val="16"/>
                <w:color w:val="auto"/>
              </w:rPr>
            </w:pPr>
          </w:p>
        </w:tc>
        <w:tc>
          <w:tcPr>
            <w:tcW w:w="40" w:type="dxa"/>
            <w:vAlign w:val="bottom"/>
            <w:tcBorders>
              <w:top w:val="single" w:sz="8" w:color="4834BA"/>
              <w:bottom w:val="single" w:sz="8" w:color="4834BA"/>
            </w:tcBorders>
          </w:tcPr>
          <w:p>
            <w:pPr>
              <w:spacing w:after="0"/>
              <w:rPr>
                <w:sz w:val="16"/>
                <w:szCs w:val="16"/>
                <w:color w:val="auto"/>
              </w:rPr>
            </w:pPr>
          </w:p>
        </w:tc>
        <w:tc>
          <w:tcPr>
            <w:tcW w:w="520" w:type="dxa"/>
            <w:vAlign w:val="bottom"/>
            <w:tcBorders>
              <w:top w:val="single" w:sz="8" w:color="4834BA"/>
              <w:bottom w:val="single" w:sz="8" w:color="4834BA"/>
            </w:tcBorders>
          </w:tcPr>
          <w:p>
            <w:pPr>
              <w:spacing w:after="0"/>
              <w:rPr>
                <w:sz w:val="16"/>
                <w:szCs w:val="16"/>
                <w:color w:val="auto"/>
              </w:rPr>
            </w:pPr>
          </w:p>
        </w:tc>
        <w:tc>
          <w:tcPr>
            <w:tcW w:w="200" w:type="dxa"/>
            <w:vAlign w:val="bottom"/>
            <w:gridSpan w:val="2"/>
          </w:tcPr>
          <w:p>
            <w:pPr>
              <w:spacing w:after="0"/>
              <w:rPr>
                <w:sz w:val="16"/>
                <w:szCs w:val="16"/>
                <w:color w:val="auto"/>
              </w:rPr>
            </w:pPr>
          </w:p>
        </w:tc>
        <w:tc>
          <w:tcPr>
            <w:tcW w:w="2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834BA"/>
            </w:tcBorders>
          </w:tcPr>
          <w:p>
            <w:pPr>
              <w:jc w:val="right"/>
              <w:spacing w:after="0" w:line="169" w:lineRule="exact"/>
              <w:rPr>
                <w:sz w:val="20"/>
                <w:szCs w:val="20"/>
                <w:color w:val="auto"/>
              </w:rPr>
            </w:pPr>
            <w:r>
              <w:rPr>
                <w:rFonts w:ascii="Arial" w:cs="Arial" w:eastAsia="Arial" w:hAnsi="Arial"/>
                <w:sz w:val="16"/>
                <w:szCs w:val="16"/>
                <w:b w:val="1"/>
                <w:bCs w:val="1"/>
                <w:color w:val="4834BA"/>
                <w:w w:val="78"/>
              </w:rPr>
              <w:t>68</w:t>
            </w: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gridSpan w:val="2"/>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4834BA"/>
            </w:tcBorders>
            <w:gridSpan w:val="9"/>
            <w:shd w:val="clear" w:color="auto" w:fill="CCEEFF"/>
          </w:tcPr>
          <w:p>
            <w:pPr>
              <w:spacing w:after="0"/>
              <w:rPr>
                <w:sz w:val="20"/>
                <w:szCs w:val="20"/>
                <w:color w:val="auto"/>
              </w:rPr>
            </w:pPr>
            <w:r>
              <w:rPr>
                <w:rFonts w:ascii="Arial" w:cs="Arial" w:eastAsia="Arial" w:hAnsi="Arial"/>
                <w:sz w:val="16"/>
                <w:szCs w:val="16"/>
                <w:b w:val="1"/>
                <w:bCs w:val="1"/>
                <w:color w:val="4834BA"/>
                <w:w w:val="91"/>
              </w:rPr>
              <w:t>TRANSACTION OF OTHER BUSINESS</w:t>
            </w:r>
          </w:p>
        </w:tc>
        <w:tc>
          <w:tcPr>
            <w:tcW w:w="700" w:type="dxa"/>
            <w:vAlign w:val="bottom"/>
            <w:tcBorders>
              <w:bottom w:val="single" w:sz="8" w:color="CCEEFF"/>
            </w:tcBorders>
            <w:gridSpan w:val="2"/>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720" w:type="dxa"/>
            <w:vAlign w:val="bottom"/>
            <w:tcBorders>
              <w:bottom w:val="single" w:sz="8" w:color="CCEEFF"/>
            </w:tcBorders>
            <w:gridSpan w:val="3"/>
            <w:vMerge w:val="restart"/>
            <w:shd w:val="clear" w:color="auto" w:fill="CCEEFF"/>
          </w:tcPr>
          <w:p>
            <w:pPr>
              <w:spacing w:after="0"/>
              <w:rPr>
                <w:sz w:val="21"/>
                <w:szCs w:val="21"/>
                <w:color w:val="auto"/>
              </w:rPr>
            </w:pPr>
          </w:p>
        </w:tc>
        <w:tc>
          <w:tcPr>
            <w:tcW w:w="200" w:type="dxa"/>
            <w:vAlign w:val="bottom"/>
            <w:tcBorders>
              <w:bottom w:val="single" w:sz="8" w:color="CCEEFF"/>
            </w:tcBorders>
            <w:gridSpan w:val="2"/>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4834BA"/>
                <w:w w:val="78"/>
              </w:rPr>
              <w:t>69</w:t>
            </w: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gridSpan w:val="2"/>
            <w:shd w:val="clear" w:color="auto" w:fill="CCEEFF"/>
          </w:tcPr>
          <w:p>
            <w:pPr>
              <w:spacing w:after="0" w:line="20" w:lineRule="exact"/>
              <w:rPr>
                <w:sz w:val="1"/>
                <w:szCs w:val="1"/>
                <w:color w:val="auto"/>
              </w:rPr>
            </w:pP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320" w:type="dxa"/>
            <w:vAlign w:val="bottom"/>
            <w:tcBorders>
              <w:bottom w:val="single" w:sz="8" w:color="CCEEFF"/>
            </w:tcBorders>
            <w:gridSpan w:val="2"/>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30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1000" w:type="dxa"/>
            <w:vAlign w:val="bottom"/>
            <w:tcBorders>
              <w:bottom w:val="single" w:sz="8" w:color="CCEEFF"/>
            </w:tcBorders>
            <w:shd w:val="clear" w:color="auto" w:fill="CCEEFF"/>
          </w:tcPr>
          <w:p>
            <w:pPr>
              <w:spacing w:after="0" w:line="20" w:lineRule="exact"/>
              <w:rPr>
                <w:sz w:val="1"/>
                <w:szCs w:val="1"/>
                <w:color w:val="auto"/>
              </w:rPr>
            </w:pPr>
          </w:p>
        </w:tc>
        <w:tc>
          <w:tcPr>
            <w:tcW w:w="70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720" w:type="dxa"/>
            <w:vAlign w:val="bottom"/>
            <w:tcBorders>
              <w:bottom w:val="single" w:sz="8" w:color="CCEEFF"/>
            </w:tcBorders>
            <w:gridSpan w:val="3"/>
            <w:vMerge w:val="continue"/>
            <w:shd w:val="clear" w:color="auto" w:fill="CCEEFF"/>
          </w:tcPr>
          <w:p>
            <w:pPr>
              <w:spacing w:after="0" w:line="20" w:lineRule="exact"/>
              <w:rPr>
                <w:sz w:val="1"/>
                <w:szCs w:val="1"/>
                <w:color w:val="auto"/>
              </w:rPr>
            </w:pPr>
          </w:p>
        </w:tc>
        <w:tc>
          <w:tcPr>
            <w:tcW w:w="20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160" w:type="dxa"/>
            <w:vAlign w:val="bottom"/>
            <w:tcBorders>
              <w:bottom w:val="single" w:sz="8" w:color="4834BA"/>
            </w:tcBorders>
            <w:vMerge w:val="continue"/>
            <w:shd w:val="clear" w:color="auto" w:fill="CCEEFF"/>
          </w:tcPr>
          <w:p>
            <w:pPr>
              <w:spacing w:after="0" w:line="20" w:lineRule="exact"/>
              <w:rPr>
                <w:sz w:val="1"/>
                <w:szCs w:val="1"/>
                <w:color w:val="auto"/>
              </w:rPr>
            </w:pPr>
          </w:p>
        </w:tc>
        <w:tc>
          <w:tcPr>
            <w:tcW w:w="60" w:type="dxa"/>
            <w:vAlign w:val="bottom"/>
            <w:tcBorders>
              <w:bottom w:val="single" w:sz="8" w:color="CCEEFF"/>
            </w:tcBorders>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gridSpan w:val="2"/>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220" w:type="dxa"/>
            <w:vAlign w:val="bottom"/>
            <w:tcBorders>
              <w:bottom w:val="single" w:sz="8" w:color="4834BA"/>
            </w:tcBorders>
            <w:gridSpan w:val="6"/>
          </w:tcPr>
          <w:p>
            <w:pPr>
              <w:spacing w:after="0"/>
              <w:rPr>
                <w:sz w:val="20"/>
                <w:szCs w:val="20"/>
                <w:color w:val="auto"/>
              </w:rPr>
            </w:pPr>
            <w:r>
              <w:rPr>
                <w:rFonts w:ascii="Arial" w:cs="Arial" w:eastAsia="Arial" w:hAnsi="Arial"/>
                <w:sz w:val="16"/>
                <w:szCs w:val="16"/>
                <w:b w:val="1"/>
                <w:bCs w:val="1"/>
                <w:color w:val="4834BA"/>
                <w:w w:val="91"/>
              </w:rPr>
              <w:t>HOUSEHOLDING</w:t>
            </w:r>
          </w:p>
        </w:tc>
        <w:tc>
          <w:tcPr>
            <w:tcW w:w="30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1000" w:type="dxa"/>
            <w:vAlign w:val="bottom"/>
            <w:vMerge w:val="restart"/>
          </w:tcPr>
          <w:p>
            <w:pPr>
              <w:spacing w:after="0"/>
              <w:rPr>
                <w:sz w:val="21"/>
                <w:szCs w:val="21"/>
                <w:color w:val="auto"/>
              </w:rPr>
            </w:pPr>
          </w:p>
        </w:tc>
        <w:tc>
          <w:tcPr>
            <w:tcW w:w="700" w:type="dxa"/>
            <w:vAlign w:val="bottom"/>
            <w:gridSpan w:val="2"/>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720" w:type="dxa"/>
            <w:vAlign w:val="bottom"/>
            <w:gridSpan w:val="3"/>
            <w:vMerge w:val="restart"/>
          </w:tcPr>
          <w:p>
            <w:pPr>
              <w:spacing w:after="0"/>
              <w:rPr>
                <w:sz w:val="21"/>
                <w:szCs w:val="21"/>
                <w:color w:val="auto"/>
              </w:rPr>
            </w:pPr>
          </w:p>
        </w:tc>
        <w:tc>
          <w:tcPr>
            <w:tcW w:w="2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4834BA"/>
                <w:w w:val="78"/>
              </w:rPr>
              <w:t>70</w:t>
            </w: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60" w:type="dxa"/>
            <w:vAlign w:val="bottom"/>
            <w:tcBorders>
              <w:bottom w:val="single" w:sz="8" w:color="4834BA"/>
            </w:tcBorders>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gridSpan w:val="15"/>
            <w:shd w:val="clear" w:color="auto" w:fill="CCEEFF"/>
          </w:tcPr>
          <w:p>
            <w:pPr>
              <w:spacing w:after="0"/>
              <w:rPr>
                <w:sz w:val="20"/>
                <w:szCs w:val="20"/>
                <w:color w:val="auto"/>
              </w:rPr>
            </w:pPr>
            <w:r>
              <w:rPr>
                <w:rFonts w:ascii="Arial" w:cs="Arial" w:eastAsia="Arial" w:hAnsi="Arial"/>
                <w:sz w:val="16"/>
                <w:szCs w:val="16"/>
                <w:b w:val="1"/>
                <w:bCs w:val="1"/>
                <w:color w:val="4834BA"/>
              </w:rPr>
              <w:t>PROXY STATEMENT FOR ANNUAL MEETING OF</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4834BA"/>
              <w:bottom w:val="single" w:sz="8" w:color="4834BA"/>
            </w:tcBorders>
            <w:gridSpan w:val="11"/>
            <w:shd w:val="clear" w:color="auto" w:fill="CCEEFF"/>
          </w:tcPr>
          <w:p>
            <w:pPr>
              <w:spacing w:after="0" w:line="155" w:lineRule="exact"/>
              <w:rPr>
                <w:sz w:val="20"/>
                <w:szCs w:val="20"/>
                <w:color w:val="auto"/>
              </w:rPr>
            </w:pPr>
            <w:r>
              <w:rPr>
                <w:rFonts w:ascii="Arial" w:cs="Arial" w:eastAsia="Arial" w:hAnsi="Arial"/>
                <w:sz w:val="16"/>
                <w:szCs w:val="16"/>
                <w:b w:val="1"/>
                <w:bCs w:val="1"/>
                <w:color w:val="4834BA"/>
                <w:w w:val="90"/>
              </w:rPr>
              <w:t>STOCKHOLDERS TO BE HELD ON JUNE 4, 2026</w:t>
            </w:r>
          </w:p>
        </w:tc>
        <w:tc>
          <w:tcPr>
            <w:tcW w:w="40" w:type="dxa"/>
            <w:vAlign w:val="bottom"/>
            <w:tcBorders>
              <w:top w:val="single" w:sz="8" w:color="4834BA"/>
              <w:bottom w:val="single" w:sz="8" w:color="4834BA"/>
            </w:tcBorders>
            <w:vMerge w:val="restart"/>
            <w:shd w:val="clear" w:color="auto" w:fill="CCEEFF"/>
          </w:tcPr>
          <w:p>
            <w:pPr>
              <w:spacing w:after="0"/>
              <w:rPr>
                <w:sz w:val="14"/>
                <w:szCs w:val="14"/>
                <w:color w:val="auto"/>
              </w:rPr>
            </w:pPr>
          </w:p>
        </w:tc>
        <w:tc>
          <w:tcPr>
            <w:tcW w:w="7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2"/>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CEEFF"/>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4834BA"/>
                <w:w w:val="78"/>
              </w:rPr>
              <w:t>71</w:t>
            </w:r>
          </w:p>
        </w:tc>
        <w:tc>
          <w:tcPr>
            <w:tcW w:w="6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gridSpan w:val="2"/>
            <w:shd w:val="clear" w:color="auto" w:fill="CCEEFF"/>
          </w:tcPr>
          <w:p>
            <w:pPr>
              <w:spacing w:after="0" w:line="20" w:lineRule="exact"/>
              <w:rPr>
                <w:sz w:val="1"/>
                <w:szCs w:val="1"/>
                <w:color w:val="auto"/>
              </w:rPr>
            </w:pP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320" w:type="dxa"/>
            <w:vAlign w:val="bottom"/>
            <w:tcBorders>
              <w:bottom w:val="single" w:sz="8" w:color="CCEEFF"/>
            </w:tcBorders>
            <w:gridSpan w:val="2"/>
            <w:shd w:val="clear" w:color="auto" w:fill="CCEEFF"/>
          </w:tcPr>
          <w:p>
            <w:pPr>
              <w:spacing w:after="0" w:line="20" w:lineRule="exact"/>
              <w:rPr>
                <w:sz w:val="1"/>
                <w:szCs w:val="1"/>
                <w:color w:val="auto"/>
              </w:rPr>
            </w:pPr>
          </w:p>
        </w:tc>
        <w:tc>
          <w:tcPr>
            <w:tcW w:w="380" w:type="dxa"/>
            <w:vAlign w:val="bottom"/>
            <w:tcBorders>
              <w:bottom w:val="single" w:sz="8" w:color="CCEEFF"/>
            </w:tcBorders>
            <w:gridSpan w:val="2"/>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1000" w:type="dxa"/>
            <w:vAlign w:val="bottom"/>
            <w:tcBorders>
              <w:bottom w:val="single" w:sz="8" w:color="CCEEFF"/>
            </w:tcBorders>
            <w:shd w:val="clear" w:color="auto" w:fill="CCEEFF"/>
          </w:tcPr>
          <w:p>
            <w:pPr>
              <w:spacing w:after="0" w:line="20" w:lineRule="exact"/>
              <w:rPr>
                <w:sz w:val="1"/>
                <w:szCs w:val="1"/>
                <w:color w:val="auto"/>
              </w:rPr>
            </w:pPr>
          </w:p>
        </w:tc>
        <w:tc>
          <w:tcPr>
            <w:tcW w:w="700" w:type="dxa"/>
            <w:vAlign w:val="bottom"/>
            <w:tcBorders>
              <w:bottom w:val="single" w:sz="8" w:color="CCEEFF"/>
            </w:tcBorders>
            <w:gridSpan w:val="2"/>
            <w:shd w:val="clear" w:color="auto" w:fill="CCEEFF"/>
          </w:tcPr>
          <w:p>
            <w:pPr>
              <w:spacing w:after="0" w:line="20" w:lineRule="exact"/>
              <w:rPr>
                <w:sz w:val="1"/>
                <w:szCs w:val="1"/>
                <w:color w:val="auto"/>
              </w:rPr>
            </w:pPr>
          </w:p>
        </w:tc>
        <w:tc>
          <w:tcPr>
            <w:tcW w:w="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5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160" w:type="dxa"/>
            <w:vAlign w:val="bottom"/>
            <w:tcBorders>
              <w:bottom w:val="single" w:sz="8" w:color="4834BA"/>
            </w:tcBorders>
            <w:vMerge w:val="continue"/>
            <w:shd w:val="clear" w:color="auto" w:fill="CCEEFF"/>
          </w:tcPr>
          <w:p>
            <w:pPr>
              <w:spacing w:after="0" w:line="20" w:lineRule="exact"/>
              <w:rPr>
                <w:sz w:val="1"/>
                <w:szCs w:val="1"/>
                <w:color w:val="auto"/>
              </w:rPr>
            </w:pPr>
          </w:p>
        </w:tc>
        <w:tc>
          <w:tcPr>
            <w:tcW w:w="60" w:type="dxa"/>
            <w:vAlign w:val="bottom"/>
            <w:tcBorders>
              <w:bottom w:val="single" w:sz="8" w:color="CCEEFF"/>
            </w:tcBorders>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2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gridSpan w:val="2"/>
            <w:vMerge w:val="continue"/>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120" w:type="dxa"/>
            <w:vAlign w:val="bottom"/>
            <w:gridSpan w:val="15"/>
          </w:tcPr>
          <w:p>
            <w:pPr>
              <w:spacing w:after="0"/>
              <w:rPr>
                <w:sz w:val="20"/>
                <w:szCs w:val="20"/>
                <w:color w:val="auto"/>
              </w:rPr>
            </w:pPr>
            <w:r>
              <w:rPr>
                <w:rFonts w:ascii="Arial" w:cs="Arial" w:eastAsia="Arial" w:hAnsi="Arial"/>
                <w:sz w:val="16"/>
                <w:szCs w:val="16"/>
                <w:b w:val="1"/>
                <w:bCs w:val="1"/>
                <w:color w:val="4834BA"/>
              </w:rPr>
              <w:t>THE ANNUAL MEETING</w:t>
            </w:r>
          </w:p>
        </w:tc>
        <w:tc>
          <w:tcPr>
            <w:tcW w:w="2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4834BA"/>
                <w:w w:val="78"/>
              </w:rPr>
              <w:t>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20" w:type="dxa"/>
            <w:vAlign w:val="bottom"/>
            <w:tcBorders>
              <w:top w:val="single" w:sz="8" w:color="4834BA"/>
            </w:tcBorders>
          </w:tcPr>
          <w:p>
            <w:pPr>
              <w:spacing w:after="0" w:line="20" w:lineRule="exact"/>
              <w:rPr>
                <w:sz w:val="1"/>
                <w:szCs w:val="1"/>
                <w:color w:val="auto"/>
              </w:rPr>
            </w:pPr>
          </w:p>
        </w:tc>
        <w:tc>
          <w:tcPr>
            <w:tcW w:w="20" w:type="dxa"/>
            <w:vAlign w:val="bottom"/>
            <w:tcBorders>
              <w:top w:val="single" w:sz="8" w:color="4834BA"/>
            </w:tcBorders>
          </w:tcPr>
          <w:p>
            <w:pPr>
              <w:spacing w:after="0" w:line="20" w:lineRule="exact"/>
              <w:rPr>
                <w:sz w:val="1"/>
                <w:szCs w:val="1"/>
                <w:color w:val="auto"/>
              </w:rPr>
            </w:pPr>
          </w:p>
        </w:tc>
        <w:tc>
          <w:tcPr>
            <w:tcW w:w="580" w:type="dxa"/>
            <w:vAlign w:val="bottom"/>
            <w:tcBorders>
              <w:top w:val="single" w:sz="8" w:color="4834BA"/>
            </w:tcBorders>
          </w:tcPr>
          <w:p>
            <w:pPr>
              <w:spacing w:after="0" w:line="20" w:lineRule="exact"/>
              <w:rPr>
                <w:sz w:val="1"/>
                <w:szCs w:val="1"/>
                <w:color w:val="auto"/>
              </w:rPr>
            </w:pPr>
          </w:p>
        </w:tc>
        <w:tc>
          <w:tcPr>
            <w:tcW w:w="180" w:type="dxa"/>
            <w:vAlign w:val="bottom"/>
            <w:tcBorders>
              <w:top w:val="single" w:sz="8" w:color="4834BA"/>
            </w:tcBorders>
          </w:tcPr>
          <w:p>
            <w:pPr>
              <w:spacing w:after="0" w:line="20" w:lineRule="exact"/>
              <w:rPr>
                <w:sz w:val="1"/>
                <w:szCs w:val="1"/>
                <w:color w:val="auto"/>
              </w:rPr>
            </w:pPr>
          </w:p>
        </w:tc>
        <w:tc>
          <w:tcPr>
            <w:tcW w:w="140" w:type="dxa"/>
            <w:vAlign w:val="bottom"/>
            <w:tcBorders>
              <w:top w:val="single" w:sz="8" w:color="4834BA"/>
            </w:tcBorders>
          </w:tcPr>
          <w:p>
            <w:pPr>
              <w:spacing w:after="0" w:line="20" w:lineRule="exact"/>
              <w:rPr>
                <w:sz w:val="1"/>
                <w:szCs w:val="1"/>
                <w:color w:val="auto"/>
              </w:rPr>
            </w:pPr>
          </w:p>
        </w:tc>
        <w:tc>
          <w:tcPr>
            <w:tcW w:w="80" w:type="dxa"/>
            <w:vAlign w:val="bottom"/>
            <w:tcBorders>
              <w:top w:val="single" w:sz="8" w:color="4834BA"/>
            </w:tcBorders>
          </w:tcPr>
          <w:p>
            <w:pPr>
              <w:spacing w:after="0" w:line="20" w:lineRule="exact"/>
              <w:rPr>
                <w:sz w:val="1"/>
                <w:szCs w:val="1"/>
                <w:color w:val="auto"/>
              </w:rPr>
            </w:pPr>
          </w:p>
        </w:tc>
        <w:tc>
          <w:tcPr>
            <w:tcW w:w="300" w:type="dxa"/>
            <w:vAlign w:val="bottom"/>
            <w:tcBorders>
              <w:top w:val="single" w:sz="8" w:color="4834BA"/>
            </w:tcBorders>
          </w:tcPr>
          <w:p>
            <w:pPr>
              <w:spacing w:after="0" w:line="20" w:lineRule="exact"/>
              <w:rPr>
                <w:sz w:val="1"/>
                <w:szCs w:val="1"/>
                <w:color w:val="auto"/>
              </w:rPr>
            </w:pPr>
          </w:p>
        </w:tc>
        <w:tc>
          <w:tcPr>
            <w:tcW w:w="140" w:type="dxa"/>
            <w:vAlign w:val="bottom"/>
            <w:tcBorders>
              <w:top w:val="single" w:sz="8" w:color="4834BA"/>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60" w:type="dxa"/>
            <w:vAlign w:val="bottom"/>
            <w:tcBorders>
              <w:bottom w:val="single" w:sz="8" w:color="4834BA"/>
            </w:tcBorders>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line="155" w:lineRule="exact"/>
              <w:rPr>
                <w:sz w:val="20"/>
                <w:szCs w:val="20"/>
                <w:color w:val="auto"/>
              </w:rPr>
            </w:pPr>
            <w:r>
              <w:rPr>
                <w:rFonts w:ascii="Arial" w:cs="Arial" w:eastAsia="Arial" w:hAnsi="Arial"/>
                <w:sz w:val="16"/>
                <w:szCs w:val="16"/>
                <w:color w:val="0000EE"/>
              </w:rPr>
              <w:t>Record Date</w:t>
            </w:r>
          </w:p>
        </w:tc>
        <w:tc>
          <w:tcPr>
            <w:tcW w:w="420" w:type="dxa"/>
            <w:vAlign w:val="bottom"/>
            <w:gridSpan w:val="4"/>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rPr>
              <w:t>72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140" w:type="dxa"/>
            <w:vAlign w:val="bottom"/>
            <w:tcBorders>
              <w:top w:val="single" w:sz="8" w:color="CCEEFF"/>
            </w:tcBorders>
            <w:shd w:val="clear" w:color="auto" w:fill="999999"/>
          </w:tcPr>
          <w:p>
            <w:pPr>
              <w:spacing w:after="0" w:line="20" w:lineRule="exact"/>
              <w:rPr>
                <w:sz w:val="1"/>
                <w:szCs w:val="1"/>
                <w:color w:val="auto"/>
              </w:rPr>
            </w:pPr>
          </w:p>
        </w:tc>
        <w:tc>
          <w:tcPr>
            <w:tcW w:w="1000" w:type="dxa"/>
            <w:vAlign w:val="bottom"/>
            <w:tcBorders>
              <w:top w:val="single" w:sz="8" w:color="CCEEFF"/>
            </w:tcBorders>
            <w:shd w:val="clear" w:color="auto" w:fill="999999"/>
          </w:tcPr>
          <w:p>
            <w:pPr>
              <w:spacing w:after="0" w:line="20" w:lineRule="exact"/>
              <w:rPr>
                <w:sz w:val="1"/>
                <w:szCs w:val="1"/>
                <w:color w:val="auto"/>
              </w:rPr>
            </w:pPr>
          </w:p>
        </w:tc>
        <w:tc>
          <w:tcPr>
            <w:tcW w:w="260" w:type="dxa"/>
            <w:vAlign w:val="bottom"/>
            <w:tcBorders>
              <w:top w:val="single" w:sz="8" w:color="CCEEFF"/>
            </w:tcBorders>
            <w:shd w:val="clear" w:color="auto" w:fill="999999"/>
          </w:tcPr>
          <w:p>
            <w:pPr>
              <w:spacing w:after="0" w:line="20" w:lineRule="exact"/>
              <w:rPr>
                <w:sz w:val="1"/>
                <w:szCs w:val="1"/>
                <w:color w:val="auto"/>
              </w:rPr>
            </w:pPr>
          </w:p>
        </w:tc>
        <w:tc>
          <w:tcPr>
            <w:tcW w:w="44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5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spacing w:after="0" w:line="155" w:lineRule="exact"/>
              <w:rPr>
                <w:sz w:val="20"/>
                <w:szCs w:val="20"/>
                <w:color w:val="auto"/>
              </w:rPr>
            </w:pPr>
            <w:r>
              <w:rPr>
                <w:rFonts w:ascii="Arial" w:cs="Arial" w:eastAsia="Arial" w:hAnsi="Arial"/>
                <w:sz w:val="16"/>
                <w:szCs w:val="16"/>
                <w:color w:val="0000EE"/>
              </w:rPr>
              <w:t>Quorum</w:t>
            </w:r>
          </w:p>
        </w:tc>
        <w:tc>
          <w:tcPr>
            <w:tcW w:w="2980" w:type="dxa"/>
            <w:vAlign w:val="bottom"/>
            <w:gridSpan w:val="10"/>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3"/>
          </w:tcPr>
          <w:p>
            <w:pPr>
              <w:jc w:val="right"/>
              <w:ind w:right="60"/>
              <w:spacing w:after="0" w:line="155" w:lineRule="exact"/>
              <w:rPr>
                <w:sz w:val="20"/>
                <w:szCs w:val="20"/>
                <w:color w:val="auto"/>
              </w:rPr>
            </w:pPr>
            <w:r>
              <w:rPr>
                <w:rFonts w:ascii="Arial" w:cs="Arial" w:eastAsia="Arial" w:hAnsi="Arial"/>
                <w:sz w:val="16"/>
                <w:szCs w:val="16"/>
                <w:color w:val="0000EE"/>
                <w:w w:val="89"/>
              </w:rPr>
              <w:t>72</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000" w:type="dxa"/>
            <w:vAlign w:val="bottom"/>
            <w:tcBorders>
              <w:bottom w:val="single" w:sz="8" w:color="999999"/>
            </w:tcBorders>
          </w:tcPr>
          <w:p>
            <w:pPr>
              <w:spacing w:after="0" w:line="20" w:lineRule="exact"/>
              <w:rPr>
                <w:sz w:val="1"/>
                <w:szCs w:val="1"/>
                <w:color w:val="auto"/>
              </w:rPr>
            </w:pPr>
          </w:p>
        </w:tc>
        <w:tc>
          <w:tcPr>
            <w:tcW w:w="260" w:type="dxa"/>
            <w:vAlign w:val="bottom"/>
            <w:tcBorders>
              <w:bottom w:val="single" w:sz="8" w:color="999999"/>
            </w:tcBorders>
          </w:tcPr>
          <w:p>
            <w:pPr>
              <w:spacing w:after="0" w:line="20" w:lineRule="exact"/>
              <w:rPr>
                <w:sz w:val="1"/>
                <w:szCs w:val="1"/>
                <w:color w:val="auto"/>
              </w:rPr>
            </w:pPr>
          </w:p>
        </w:tc>
        <w:tc>
          <w:tcPr>
            <w:tcW w:w="4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5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20" w:type="dxa"/>
            <w:vAlign w:val="bottom"/>
            <w:gridSpan w:val="7"/>
            <w:shd w:val="clear" w:color="auto" w:fill="CCEEFF"/>
          </w:tcPr>
          <w:p>
            <w:pPr>
              <w:spacing w:after="0" w:line="155" w:lineRule="exact"/>
              <w:rPr>
                <w:sz w:val="20"/>
                <w:szCs w:val="20"/>
                <w:color w:val="auto"/>
              </w:rPr>
            </w:pPr>
            <w:r>
              <w:rPr>
                <w:rFonts w:ascii="Arial" w:cs="Arial" w:eastAsia="Arial" w:hAnsi="Arial"/>
                <w:sz w:val="16"/>
                <w:szCs w:val="16"/>
                <w:color w:val="0000EE"/>
                <w:w w:val="99"/>
              </w:rPr>
              <w:t>Vote Required to Adopt Proposals</w:t>
            </w:r>
          </w:p>
        </w:tc>
        <w:tc>
          <w:tcPr>
            <w:tcW w:w="1460" w:type="dxa"/>
            <w:vAlign w:val="bottom"/>
            <w:gridSpan w:val="6"/>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72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0000EE"/>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80" w:type="dxa"/>
            <w:vAlign w:val="bottom"/>
            <w:tcBorders>
              <w:top w:val="single" w:sz="8" w:color="0000EE"/>
            </w:tcBorders>
            <w:shd w:val="clear" w:color="auto" w:fill="999999"/>
          </w:tcPr>
          <w:p>
            <w:pPr>
              <w:spacing w:after="0" w:line="20" w:lineRule="exact"/>
              <w:rPr>
                <w:sz w:val="1"/>
                <w:szCs w:val="1"/>
                <w:color w:val="auto"/>
              </w:rPr>
            </w:pPr>
          </w:p>
        </w:tc>
        <w:tc>
          <w:tcPr>
            <w:tcW w:w="300" w:type="dxa"/>
            <w:vAlign w:val="bottom"/>
            <w:tcBorders>
              <w:top w:val="single" w:sz="8" w:color="0000EE"/>
            </w:tcBorders>
            <w:shd w:val="clear" w:color="auto" w:fill="999999"/>
          </w:tcPr>
          <w:p>
            <w:pPr>
              <w:spacing w:after="0" w:line="20" w:lineRule="exact"/>
              <w:rPr>
                <w:sz w:val="1"/>
                <w:szCs w:val="1"/>
                <w:color w:val="auto"/>
              </w:rPr>
            </w:pPr>
          </w:p>
        </w:tc>
        <w:tc>
          <w:tcPr>
            <w:tcW w:w="140" w:type="dxa"/>
            <w:vAlign w:val="bottom"/>
            <w:tcBorders>
              <w:top w:val="single" w:sz="8" w:color="0000EE"/>
            </w:tcBorders>
            <w:shd w:val="clear" w:color="auto" w:fill="999999"/>
          </w:tcPr>
          <w:p>
            <w:pPr>
              <w:spacing w:after="0" w:line="20" w:lineRule="exact"/>
              <w:rPr>
                <w:sz w:val="1"/>
                <w:szCs w:val="1"/>
                <w:color w:val="auto"/>
              </w:rPr>
            </w:pPr>
          </w:p>
        </w:tc>
        <w:tc>
          <w:tcPr>
            <w:tcW w:w="1000" w:type="dxa"/>
            <w:vAlign w:val="bottom"/>
            <w:tcBorders>
              <w:top w:val="single" w:sz="8" w:color="0000EE"/>
            </w:tcBorders>
            <w:shd w:val="clear" w:color="auto" w:fill="999999"/>
          </w:tcPr>
          <w:p>
            <w:pPr>
              <w:spacing w:after="0" w:line="20" w:lineRule="exact"/>
              <w:rPr>
                <w:sz w:val="1"/>
                <w:szCs w:val="1"/>
                <w:color w:val="auto"/>
              </w:rPr>
            </w:pPr>
          </w:p>
        </w:tc>
        <w:tc>
          <w:tcPr>
            <w:tcW w:w="260" w:type="dxa"/>
            <w:vAlign w:val="bottom"/>
            <w:tcBorders>
              <w:top w:val="single" w:sz="8" w:color="CCEEFF"/>
            </w:tcBorders>
            <w:shd w:val="clear" w:color="auto" w:fill="999999"/>
          </w:tcPr>
          <w:p>
            <w:pPr>
              <w:spacing w:after="0" w:line="20" w:lineRule="exact"/>
              <w:rPr>
                <w:sz w:val="1"/>
                <w:szCs w:val="1"/>
                <w:color w:val="auto"/>
              </w:rPr>
            </w:pPr>
          </w:p>
        </w:tc>
        <w:tc>
          <w:tcPr>
            <w:tcW w:w="44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520" w:type="dxa"/>
            <w:vAlign w:val="bottom"/>
            <w:tcBorders>
              <w:top w:val="single" w:sz="8" w:color="CCEEFF"/>
            </w:tcBorders>
            <w:shd w:val="clear" w:color="auto" w:fill="999999"/>
          </w:tcPr>
          <w:p>
            <w:pPr>
              <w:spacing w:after="0" w:line="20" w:lineRule="exact"/>
              <w:rPr>
                <w:sz w:val="1"/>
                <w:szCs w:val="1"/>
                <w:color w:val="auto"/>
              </w:rPr>
            </w:pPr>
          </w:p>
        </w:tc>
        <w:tc>
          <w:tcPr>
            <w:tcW w:w="80" w:type="dxa"/>
            <w:vAlign w:val="bottom"/>
            <w:tcBorders>
              <w:top w:val="single" w:sz="8" w:color="CCEEFF"/>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8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16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7"/>
          </w:tcPr>
          <w:p>
            <w:pPr>
              <w:spacing w:after="0" w:line="155" w:lineRule="exact"/>
              <w:rPr>
                <w:sz w:val="20"/>
                <w:szCs w:val="20"/>
                <w:color w:val="auto"/>
              </w:rPr>
            </w:pPr>
            <w:r>
              <w:rPr>
                <w:rFonts w:ascii="Arial" w:cs="Arial" w:eastAsia="Arial" w:hAnsi="Arial"/>
                <w:sz w:val="16"/>
                <w:szCs w:val="16"/>
                <w:color w:val="0000EE"/>
              </w:rPr>
              <w:t>Broker Non-Votes</w:t>
            </w:r>
          </w:p>
        </w:tc>
        <w:tc>
          <w:tcPr>
            <w:tcW w:w="1460" w:type="dxa"/>
            <w:vAlign w:val="bottom"/>
            <w:gridSpan w:val="6"/>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3"/>
          </w:tcPr>
          <w:p>
            <w:pPr>
              <w:jc w:val="right"/>
              <w:ind w:right="60"/>
              <w:spacing w:after="0" w:line="155" w:lineRule="exact"/>
              <w:rPr>
                <w:sz w:val="20"/>
                <w:szCs w:val="20"/>
                <w:color w:val="auto"/>
              </w:rPr>
            </w:pPr>
            <w:r>
              <w:rPr>
                <w:rFonts w:ascii="Arial" w:cs="Arial" w:eastAsia="Arial" w:hAnsi="Arial"/>
                <w:sz w:val="16"/>
                <w:szCs w:val="16"/>
                <w:color w:val="0000EE"/>
                <w:w w:val="89"/>
              </w:rPr>
              <w:t>72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30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000" w:type="dxa"/>
            <w:vAlign w:val="bottom"/>
            <w:tcBorders>
              <w:bottom w:val="single" w:sz="8" w:color="999999"/>
            </w:tcBorders>
          </w:tcPr>
          <w:p>
            <w:pPr>
              <w:spacing w:after="0" w:line="20" w:lineRule="exact"/>
              <w:rPr>
                <w:sz w:val="1"/>
                <w:szCs w:val="1"/>
                <w:color w:val="auto"/>
              </w:rPr>
            </w:pPr>
          </w:p>
        </w:tc>
        <w:tc>
          <w:tcPr>
            <w:tcW w:w="260" w:type="dxa"/>
            <w:vAlign w:val="bottom"/>
            <w:tcBorders>
              <w:bottom w:val="single" w:sz="8" w:color="999999"/>
            </w:tcBorders>
          </w:tcPr>
          <w:p>
            <w:pPr>
              <w:spacing w:after="0" w:line="20" w:lineRule="exact"/>
              <w:rPr>
                <w:sz w:val="1"/>
                <w:szCs w:val="1"/>
                <w:color w:val="auto"/>
              </w:rPr>
            </w:pPr>
          </w:p>
        </w:tc>
        <w:tc>
          <w:tcPr>
            <w:tcW w:w="4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5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-170815</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-325120</wp:posOffset>
            </wp:positionV>
            <wp:extent cx="1460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050" cy="1714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-479425</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6"/>
                <w:szCs w:val="16"/>
                <w:color w:val="0000EE"/>
                <w:w w:val="98"/>
              </w:rPr>
              <w:t>Voting Instructions</w:t>
            </w:r>
          </w:p>
        </w:tc>
        <w:tc>
          <w:tcPr>
            <w:tcW w:w="2440" w:type="dxa"/>
            <w:vAlign w:val="bottom"/>
            <w:gridSpan w:val="8"/>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0000EE"/>
                <w:w w:val="89"/>
              </w:rPr>
              <w:t>73</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CCEEFF"/>
            </w:tcBorders>
            <w:shd w:val="clear" w:color="auto" w:fill="999999"/>
          </w:tcPr>
          <w:p>
            <w:pPr>
              <w:spacing w:after="0" w:line="20" w:lineRule="exact"/>
              <w:rPr>
                <w:sz w:val="1"/>
                <w:szCs w:val="1"/>
                <w:color w:val="auto"/>
              </w:rPr>
            </w:pPr>
          </w:p>
        </w:tc>
        <w:tc>
          <w:tcPr>
            <w:tcW w:w="100" w:type="dxa"/>
            <w:vAlign w:val="bottom"/>
            <w:tcBorders>
              <w:top w:val="single" w:sz="8" w:color="CCEEFF"/>
            </w:tcBorders>
            <w:shd w:val="clear" w:color="auto" w:fill="999999"/>
          </w:tcPr>
          <w:p>
            <w:pPr>
              <w:spacing w:after="0" w:line="20" w:lineRule="exact"/>
              <w:rPr>
                <w:sz w:val="1"/>
                <w:szCs w:val="1"/>
                <w:color w:val="auto"/>
              </w:rPr>
            </w:pPr>
          </w:p>
        </w:tc>
        <w:tc>
          <w:tcPr>
            <w:tcW w:w="13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22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3760" w:type="dxa"/>
            <w:vAlign w:val="bottom"/>
            <w:gridSpan w:val="11"/>
          </w:tcPr>
          <w:p>
            <w:pPr>
              <w:spacing w:after="0" w:line="169" w:lineRule="exact"/>
              <w:rPr>
                <w:sz w:val="20"/>
                <w:szCs w:val="20"/>
                <w:color w:val="auto"/>
              </w:rPr>
            </w:pPr>
            <w:r>
              <w:rPr>
                <w:rFonts w:ascii="Arial" w:cs="Arial" w:eastAsia="Arial" w:hAnsi="Arial"/>
                <w:sz w:val="16"/>
                <w:szCs w:val="16"/>
                <w:color w:val="0000EE"/>
              </w:rPr>
              <w:t>Electronic Availability of Proxy Statement and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3260" w:type="dxa"/>
            <w:vAlign w:val="bottom"/>
            <w:tcBorders>
              <w:top w:val="single" w:sz="8" w:color="0000EE"/>
            </w:tcBorders>
            <w:gridSpan w:val="9"/>
          </w:tcPr>
          <w:p>
            <w:pPr>
              <w:spacing w:after="0" w:line="155" w:lineRule="exact"/>
              <w:rPr>
                <w:sz w:val="20"/>
                <w:szCs w:val="20"/>
                <w:color w:val="auto"/>
              </w:rPr>
            </w:pPr>
            <w:r>
              <w:rPr>
                <w:rFonts w:ascii="Arial" w:cs="Arial" w:eastAsia="Arial" w:hAnsi="Arial"/>
                <w:sz w:val="16"/>
                <w:szCs w:val="16"/>
                <w:color w:val="0000EE"/>
              </w:rPr>
              <w:t>2025 Annual Report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4"/>
          </w:tcPr>
          <w:p>
            <w:pPr>
              <w:jc w:val="right"/>
              <w:ind w:right="60"/>
              <w:spacing w:after="0" w:line="155" w:lineRule="exact"/>
              <w:rPr>
                <w:sz w:val="20"/>
                <w:szCs w:val="20"/>
                <w:color w:val="auto"/>
              </w:rPr>
            </w:pPr>
            <w:r>
              <w:rPr>
                <w:rFonts w:ascii="Arial" w:cs="Arial" w:eastAsia="Arial" w:hAnsi="Arial"/>
                <w:sz w:val="16"/>
                <w:szCs w:val="16"/>
                <w:color w:val="0000EE"/>
              </w:rPr>
              <w:t>73</w:t>
            </w: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134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1540" w:type="dxa"/>
            <w:vAlign w:val="bottom"/>
            <w:gridSpan w:val="5"/>
            <w:shd w:val="clear" w:color="auto" w:fill="CCEEFF"/>
          </w:tcPr>
          <w:p>
            <w:pPr>
              <w:spacing w:after="0" w:line="155" w:lineRule="exact"/>
              <w:rPr>
                <w:sz w:val="20"/>
                <w:szCs w:val="20"/>
                <w:color w:val="auto"/>
              </w:rPr>
            </w:pPr>
            <w:r>
              <w:rPr>
                <w:rFonts w:ascii="Arial" w:cs="Arial" w:eastAsia="Arial" w:hAnsi="Arial"/>
                <w:sz w:val="16"/>
                <w:szCs w:val="16"/>
                <w:color w:val="0000EE"/>
                <w:w w:val="99"/>
              </w:rPr>
              <w:t>Solicitation of Proxies</w:t>
            </w:r>
          </w:p>
        </w:tc>
        <w:tc>
          <w:tcPr>
            <w:tcW w:w="2220" w:type="dxa"/>
            <w:vAlign w:val="bottom"/>
            <w:gridSpan w:val="6"/>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6"/>
                <w:szCs w:val="16"/>
                <w:color w:val="0000EE"/>
                <w:w w:val="89"/>
              </w:rPr>
              <w:t>73</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999999"/>
          </w:tcPr>
          <w:p>
            <w:pPr>
              <w:spacing w:after="0" w:line="20" w:lineRule="exact"/>
              <w:rPr>
                <w:sz w:val="1"/>
                <w:szCs w:val="1"/>
                <w:color w:val="auto"/>
              </w:rPr>
            </w:pPr>
          </w:p>
        </w:tc>
        <w:tc>
          <w:tcPr>
            <w:tcW w:w="20" w:type="dxa"/>
            <w:vAlign w:val="bottom"/>
            <w:tcBorders>
              <w:top w:val="single" w:sz="8" w:color="0000EE"/>
            </w:tcBorders>
            <w:shd w:val="clear" w:color="auto" w:fill="999999"/>
          </w:tcPr>
          <w:p>
            <w:pPr>
              <w:spacing w:after="0" w:line="20" w:lineRule="exact"/>
              <w:rPr>
                <w:sz w:val="1"/>
                <w:szCs w:val="1"/>
                <w:color w:val="auto"/>
              </w:rPr>
            </w:pPr>
          </w:p>
        </w:tc>
        <w:tc>
          <w:tcPr>
            <w:tcW w:w="280" w:type="dxa"/>
            <w:vAlign w:val="bottom"/>
            <w:tcBorders>
              <w:top w:val="single" w:sz="8" w:color="0000EE"/>
            </w:tcBorders>
            <w:shd w:val="clear" w:color="auto" w:fill="999999"/>
          </w:tcPr>
          <w:p>
            <w:pPr>
              <w:spacing w:after="0" w:line="20" w:lineRule="exact"/>
              <w:rPr>
                <w:sz w:val="1"/>
                <w:szCs w:val="1"/>
                <w:color w:val="auto"/>
              </w:rPr>
            </w:pPr>
          </w:p>
        </w:tc>
        <w:tc>
          <w:tcPr>
            <w:tcW w:w="120" w:type="dxa"/>
            <w:vAlign w:val="bottom"/>
            <w:tcBorders>
              <w:top w:val="single" w:sz="8" w:color="0000EE"/>
            </w:tcBorders>
            <w:shd w:val="clear" w:color="auto" w:fill="999999"/>
          </w:tcPr>
          <w:p>
            <w:pPr>
              <w:spacing w:after="0" w:line="20" w:lineRule="exact"/>
              <w:rPr>
                <w:sz w:val="1"/>
                <w:szCs w:val="1"/>
                <w:color w:val="auto"/>
              </w:rPr>
            </w:pPr>
          </w:p>
        </w:tc>
        <w:tc>
          <w:tcPr>
            <w:tcW w:w="100" w:type="dxa"/>
            <w:vAlign w:val="bottom"/>
            <w:tcBorders>
              <w:top w:val="single" w:sz="8" w:color="0000EE"/>
            </w:tcBorders>
            <w:shd w:val="clear" w:color="auto" w:fill="999999"/>
          </w:tcPr>
          <w:p>
            <w:pPr>
              <w:spacing w:after="0" w:line="20" w:lineRule="exact"/>
              <w:rPr>
                <w:sz w:val="1"/>
                <w:szCs w:val="1"/>
                <w:color w:val="auto"/>
              </w:rPr>
            </w:pPr>
          </w:p>
        </w:tc>
        <w:tc>
          <w:tcPr>
            <w:tcW w:w="1340" w:type="dxa"/>
            <w:vAlign w:val="bottom"/>
            <w:tcBorders>
              <w:top w:val="single" w:sz="8" w:color="CCEEFF"/>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20" w:type="dxa"/>
            <w:vAlign w:val="bottom"/>
            <w:tcBorders>
              <w:top w:val="single" w:sz="8" w:color="CCEEFF"/>
            </w:tcBorders>
            <w:shd w:val="clear" w:color="auto" w:fill="999999"/>
          </w:tcPr>
          <w:p>
            <w:pPr>
              <w:spacing w:after="0" w:line="20" w:lineRule="exact"/>
              <w:rPr>
                <w:sz w:val="1"/>
                <w:szCs w:val="1"/>
                <w:color w:val="auto"/>
              </w:rPr>
            </w:pPr>
          </w:p>
        </w:tc>
        <w:tc>
          <w:tcPr>
            <w:tcW w:w="280" w:type="dxa"/>
            <w:vAlign w:val="bottom"/>
            <w:tcBorders>
              <w:top w:val="single" w:sz="8" w:color="CCEEFF"/>
            </w:tcBorders>
            <w:shd w:val="clear" w:color="auto" w:fill="999999"/>
          </w:tcPr>
          <w:p>
            <w:pPr>
              <w:spacing w:after="0" w:line="20" w:lineRule="exact"/>
              <w:rPr>
                <w:sz w:val="1"/>
                <w:szCs w:val="1"/>
                <w:color w:val="auto"/>
              </w:rPr>
            </w:pPr>
          </w:p>
        </w:tc>
        <w:tc>
          <w:tcPr>
            <w:tcW w:w="220" w:type="dxa"/>
            <w:vAlign w:val="bottom"/>
            <w:tcBorders>
              <w:top w:val="single" w:sz="8" w:color="CCEEFF"/>
            </w:tcBorders>
            <w:shd w:val="clear" w:color="auto" w:fill="999999"/>
          </w:tcPr>
          <w:p>
            <w:pPr>
              <w:spacing w:after="0" w:line="20" w:lineRule="exact"/>
              <w:rPr>
                <w:sz w:val="1"/>
                <w:szCs w:val="1"/>
                <w:color w:val="auto"/>
              </w:rPr>
            </w:pPr>
          </w:p>
        </w:tc>
        <w:tc>
          <w:tcPr>
            <w:tcW w:w="300" w:type="dxa"/>
            <w:vAlign w:val="bottom"/>
            <w:tcBorders>
              <w:top w:val="single" w:sz="8" w:color="CCEEFF"/>
            </w:tcBorders>
            <w:shd w:val="clear" w:color="auto" w:fill="999999"/>
          </w:tcPr>
          <w:p>
            <w:pPr>
              <w:spacing w:after="0" w:line="20" w:lineRule="exact"/>
              <w:rPr>
                <w:sz w:val="1"/>
                <w:szCs w:val="1"/>
                <w:color w:val="auto"/>
              </w:rPr>
            </w:pPr>
          </w:p>
        </w:tc>
        <w:tc>
          <w:tcPr>
            <w:tcW w:w="40" w:type="dxa"/>
            <w:vAlign w:val="bottom"/>
            <w:tcBorders>
              <w:top w:val="single" w:sz="8" w:color="CCEEFF"/>
            </w:tcBorders>
            <w:shd w:val="clear" w:color="auto" w:fill="999999"/>
          </w:tcPr>
          <w:p>
            <w:pPr>
              <w:spacing w:after="0" w:line="20" w:lineRule="exact"/>
              <w:rPr>
                <w:sz w:val="1"/>
                <w:szCs w:val="1"/>
                <w:color w:val="auto"/>
              </w:rPr>
            </w:pPr>
          </w:p>
        </w:tc>
        <w:tc>
          <w:tcPr>
            <w:tcW w:w="180" w:type="dxa"/>
            <w:vAlign w:val="bottom"/>
            <w:tcBorders>
              <w:top w:val="single" w:sz="8" w:color="0000EE"/>
            </w:tcBorders>
            <w:shd w:val="clear" w:color="auto" w:fill="999999"/>
          </w:tcPr>
          <w:p>
            <w:pPr>
              <w:spacing w:after="0" w:line="20" w:lineRule="exact"/>
              <w:rPr>
                <w:sz w:val="1"/>
                <w:szCs w:val="1"/>
                <w:color w:val="auto"/>
              </w:rPr>
            </w:pPr>
          </w:p>
        </w:tc>
        <w:tc>
          <w:tcPr>
            <w:tcW w:w="60" w:type="dxa"/>
            <w:vAlign w:val="bottom"/>
            <w:tcBorders>
              <w:top w:val="single" w:sz="8" w:color="CCEEFF"/>
            </w:tcBorders>
            <w:shd w:val="clear" w:color="auto" w:fill="9999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540" w:type="dxa"/>
            <w:vAlign w:val="bottom"/>
            <w:gridSpan w:val="5"/>
          </w:tcPr>
          <w:p>
            <w:pPr>
              <w:spacing w:after="0" w:line="155" w:lineRule="exact"/>
              <w:rPr>
                <w:sz w:val="20"/>
                <w:szCs w:val="20"/>
                <w:color w:val="auto"/>
              </w:rPr>
            </w:pPr>
            <w:r>
              <w:rPr>
                <w:rFonts w:ascii="Arial" w:cs="Arial" w:eastAsia="Arial" w:hAnsi="Arial"/>
                <w:sz w:val="16"/>
                <w:szCs w:val="16"/>
                <w:color w:val="0000EE"/>
              </w:rPr>
              <w:t>Voting Results</w:t>
            </w:r>
          </w:p>
        </w:tc>
        <w:tc>
          <w:tcPr>
            <w:tcW w:w="2220" w:type="dxa"/>
            <w:vAlign w:val="bottom"/>
            <w:gridSpan w:val="6"/>
          </w:tcPr>
          <w:p>
            <w:pPr>
              <w:spacing w:after="0"/>
              <w:rPr>
                <w:sz w:val="15"/>
                <w:szCs w:val="15"/>
                <w:color w:val="auto"/>
              </w:rPr>
            </w:pPr>
          </w:p>
        </w:tc>
        <w:tc>
          <w:tcPr>
            <w:tcW w:w="340" w:type="dxa"/>
            <w:vAlign w:val="bottom"/>
            <w:gridSpan w:val="2"/>
          </w:tcPr>
          <w:p>
            <w:pPr>
              <w:spacing w:after="0"/>
              <w:rPr>
                <w:sz w:val="15"/>
                <w:szCs w:val="15"/>
                <w:color w:val="auto"/>
              </w:rPr>
            </w:pPr>
          </w:p>
        </w:tc>
        <w:tc>
          <w:tcPr>
            <w:tcW w:w="240" w:type="dxa"/>
            <w:vAlign w:val="bottom"/>
            <w:gridSpan w:val="2"/>
          </w:tcPr>
          <w:p>
            <w:pPr>
              <w:jc w:val="right"/>
              <w:ind w:right="60"/>
              <w:spacing w:after="0" w:line="155" w:lineRule="exact"/>
              <w:rPr>
                <w:sz w:val="20"/>
                <w:szCs w:val="20"/>
                <w:color w:val="auto"/>
              </w:rPr>
            </w:pPr>
            <w:r>
              <w:rPr>
                <w:rFonts w:ascii="Arial" w:cs="Arial" w:eastAsia="Arial" w:hAnsi="Arial"/>
                <w:sz w:val="16"/>
                <w:szCs w:val="16"/>
                <w:color w:val="0000EE"/>
                <w:w w:val="89"/>
              </w:rPr>
              <w:t>73</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Borders>
              <w:bottom w:val="single" w:sz="8" w:color="4834BA"/>
            </w:tcBorders>
            <w:gridSpan w:val="9"/>
            <w:shd w:val="clear" w:color="auto" w:fill="CCEEFF"/>
          </w:tcPr>
          <w:p>
            <w:pPr>
              <w:spacing w:after="0"/>
              <w:rPr>
                <w:sz w:val="20"/>
                <w:szCs w:val="20"/>
                <w:color w:val="auto"/>
              </w:rPr>
            </w:pPr>
            <w:r>
              <w:rPr>
                <w:rFonts w:ascii="Arial" w:cs="Arial" w:eastAsia="Arial" w:hAnsi="Arial"/>
                <w:sz w:val="16"/>
                <w:szCs w:val="16"/>
                <w:b w:val="1"/>
                <w:bCs w:val="1"/>
                <w:color w:val="4834BA"/>
                <w:w w:val="91"/>
              </w:rPr>
              <w:t>APPENDIX A NON-GAAP FINANCIAL MEASURES</w:t>
            </w:r>
          </w:p>
        </w:tc>
        <w:tc>
          <w:tcPr>
            <w:tcW w:w="300" w:type="dxa"/>
            <w:vAlign w:val="bottom"/>
            <w:tcBorders>
              <w:bottom w:val="single" w:sz="8" w:color="CCEEFF"/>
            </w:tcBorders>
            <w:gridSpan w:val="2"/>
            <w:vMerge w:val="restart"/>
            <w:shd w:val="clear" w:color="auto" w:fill="CCEEFF"/>
          </w:tcPr>
          <w:p>
            <w:pPr>
              <w:spacing w:after="0"/>
              <w:rPr>
                <w:sz w:val="18"/>
                <w:szCs w:val="18"/>
                <w:color w:val="auto"/>
              </w:rPr>
            </w:pPr>
          </w:p>
        </w:tc>
        <w:tc>
          <w:tcPr>
            <w:tcW w:w="220" w:type="dxa"/>
            <w:vAlign w:val="bottom"/>
            <w:tcBorders>
              <w:bottom w:val="single" w:sz="8" w:color="CCEEFF"/>
            </w:tcBorders>
            <w:vMerge w:val="restart"/>
            <w:shd w:val="clear" w:color="auto" w:fill="CCEEFF"/>
          </w:tcPr>
          <w:p>
            <w:pPr>
              <w:spacing w:after="0"/>
              <w:rPr>
                <w:sz w:val="18"/>
                <w:szCs w:val="18"/>
                <w:color w:val="auto"/>
              </w:rPr>
            </w:pPr>
          </w:p>
        </w:tc>
        <w:tc>
          <w:tcPr>
            <w:tcW w:w="300" w:type="dxa"/>
            <w:vAlign w:val="bottom"/>
            <w:tcBorders>
              <w:bottom w:val="single" w:sz="8" w:color="CCEEFF"/>
            </w:tcBorders>
            <w:vMerge w:val="restart"/>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4834BA"/>
            </w:tcBorders>
            <w:gridSpan w:val="2"/>
            <w:shd w:val="clear" w:color="auto" w:fill="CCEEFF"/>
          </w:tcPr>
          <w:p>
            <w:pPr>
              <w:spacing w:after="0"/>
              <w:rPr>
                <w:sz w:val="20"/>
                <w:szCs w:val="20"/>
                <w:color w:val="auto"/>
              </w:rPr>
            </w:pPr>
            <w:r>
              <w:rPr>
                <w:rFonts w:ascii="Arial" w:cs="Arial" w:eastAsia="Arial" w:hAnsi="Arial"/>
                <w:sz w:val="16"/>
                <w:szCs w:val="16"/>
                <w:b w:val="1"/>
                <w:bCs w:val="1"/>
                <w:color w:val="4834BA"/>
                <w:w w:val="77"/>
              </w:rPr>
              <w:t>A-1</w:t>
            </w: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1240" w:type="dxa"/>
            <w:vAlign w:val="bottom"/>
            <w:tcBorders>
              <w:bottom w:val="single" w:sz="8" w:color="auto"/>
            </w:tcBorders>
            <w:gridSpan w:val="3"/>
            <w:shd w:val="clear" w:color="auto" w:fill="CCEEFF"/>
          </w:tcPr>
          <w:p>
            <w:pPr>
              <w:spacing w:after="0"/>
              <w:rPr>
                <w:sz w:val="6"/>
                <w:szCs w:val="6"/>
                <w:color w:val="auto"/>
              </w:rPr>
            </w:pPr>
          </w:p>
        </w:tc>
        <w:tc>
          <w:tcPr>
            <w:tcW w:w="1840" w:type="dxa"/>
            <w:vAlign w:val="bottom"/>
            <w:tcBorders>
              <w:bottom w:val="single" w:sz="8" w:color="auto"/>
            </w:tcBorders>
            <w:gridSpan w:val="4"/>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gridSpan w:val="2"/>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gridSpan w:val="2"/>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960" w:type="dxa"/>
            <w:vAlign w:val="bottom"/>
            <w:gridSpan w:val="12"/>
          </w:tcPr>
          <w:p>
            <w:pPr>
              <w:spacing w:after="0"/>
              <w:rPr>
                <w:sz w:val="20"/>
                <w:szCs w:val="20"/>
                <w:color w:val="auto"/>
              </w:rPr>
            </w:pPr>
            <w:r>
              <w:rPr>
                <w:rFonts w:ascii="Arial" w:cs="Arial" w:eastAsia="Arial" w:hAnsi="Arial"/>
                <w:sz w:val="16"/>
                <w:szCs w:val="16"/>
                <w:b w:val="1"/>
                <w:bCs w:val="1"/>
                <w:color w:val="4834BA"/>
                <w:w w:val="96"/>
              </w:rPr>
              <w:t>APPENDIX B VOTE CLARIFICATION AMENDMENT TO</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40" w:type="dxa"/>
            <w:vAlign w:val="bottom"/>
            <w:tcBorders>
              <w:top w:val="single" w:sz="8" w:color="4834BA"/>
            </w:tcBorders>
            <w:gridSpan w:val="11"/>
          </w:tcPr>
          <w:p>
            <w:pPr>
              <w:spacing w:after="0" w:line="169" w:lineRule="exact"/>
              <w:rPr>
                <w:sz w:val="20"/>
                <w:szCs w:val="20"/>
                <w:color w:val="auto"/>
              </w:rPr>
            </w:pPr>
            <w:r>
              <w:rPr>
                <w:rFonts w:ascii="Arial" w:cs="Arial" w:eastAsia="Arial" w:hAnsi="Arial"/>
                <w:sz w:val="16"/>
                <w:szCs w:val="16"/>
                <w:b w:val="1"/>
                <w:bCs w:val="1"/>
                <w:color w:val="4834BA"/>
              </w:rPr>
              <w:t>AMENDED AND RESTATED CERTIFICATE OF</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40" w:type="dxa"/>
            <w:vAlign w:val="bottom"/>
            <w:tcBorders>
              <w:top w:val="single" w:sz="8" w:color="4834BA"/>
              <w:bottom w:val="single" w:sz="8" w:color="4834BA"/>
            </w:tcBorders>
            <w:gridSpan w:val="3"/>
          </w:tcPr>
          <w:p>
            <w:pPr>
              <w:spacing w:after="0" w:line="169" w:lineRule="exact"/>
              <w:rPr>
                <w:sz w:val="20"/>
                <w:szCs w:val="20"/>
                <w:color w:val="auto"/>
              </w:rPr>
            </w:pPr>
            <w:r>
              <w:rPr>
                <w:rFonts w:ascii="Arial" w:cs="Arial" w:eastAsia="Arial" w:hAnsi="Arial"/>
                <w:sz w:val="16"/>
                <w:szCs w:val="16"/>
                <w:b w:val="1"/>
                <w:bCs w:val="1"/>
                <w:color w:val="4834BA"/>
                <w:w w:val="89"/>
              </w:rPr>
              <w:t>INCORPORATION</w:t>
            </w:r>
          </w:p>
        </w:tc>
        <w:tc>
          <w:tcPr>
            <w:tcW w:w="1840" w:type="dxa"/>
            <w:vAlign w:val="bottom"/>
            <w:tcBorders>
              <w:top w:val="single" w:sz="8" w:color="4834BA"/>
              <w:bottom w:val="single" w:sz="8" w:color="4834BA"/>
            </w:tcBorders>
            <w:gridSpan w:val="4"/>
          </w:tcPr>
          <w:p>
            <w:pPr>
              <w:spacing w:after="0"/>
              <w:rPr>
                <w:sz w:val="17"/>
                <w:szCs w:val="17"/>
                <w:color w:val="auto"/>
              </w:rPr>
            </w:pPr>
          </w:p>
        </w:tc>
        <w:tc>
          <w:tcPr>
            <w:tcW w:w="60" w:type="dxa"/>
            <w:vAlign w:val="bottom"/>
            <w:tcBorders>
              <w:top w:val="single" w:sz="8" w:color="4834BA"/>
              <w:bottom w:val="single" w:sz="8" w:color="4834BA"/>
            </w:tcBorders>
          </w:tcPr>
          <w:p>
            <w:pPr>
              <w:spacing w:after="0"/>
              <w:rPr>
                <w:sz w:val="17"/>
                <w:szCs w:val="17"/>
                <w:color w:val="auto"/>
              </w:rPr>
            </w:pPr>
          </w:p>
        </w:tc>
        <w:tc>
          <w:tcPr>
            <w:tcW w:w="820" w:type="dxa"/>
            <w:vAlign w:val="bottom"/>
            <w:gridSpan w:val="4"/>
          </w:tcPr>
          <w:p>
            <w:pPr>
              <w:spacing w:after="0"/>
              <w:rPr>
                <w:sz w:val="17"/>
                <w:szCs w:val="17"/>
                <w:color w:val="auto"/>
              </w:rPr>
            </w:pPr>
          </w:p>
        </w:tc>
        <w:tc>
          <w:tcPr>
            <w:tcW w:w="3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4834BA"/>
            </w:tcBorders>
            <w:gridSpan w:val="2"/>
          </w:tcPr>
          <w:p>
            <w:pPr>
              <w:spacing w:after="0" w:line="183" w:lineRule="exact"/>
              <w:rPr>
                <w:sz w:val="20"/>
                <w:szCs w:val="20"/>
                <w:color w:val="auto"/>
              </w:rPr>
            </w:pPr>
            <w:r>
              <w:rPr>
                <w:rFonts w:ascii="Arial" w:cs="Arial" w:eastAsia="Arial" w:hAnsi="Arial"/>
                <w:sz w:val="16"/>
                <w:szCs w:val="16"/>
                <w:b w:val="1"/>
                <w:bCs w:val="1"/>
                <w:color w:val="4834BA"/>
                <w:w w:val="77"/>
              </w:rPr>
              <w:t>B-1</w:t>
            </w: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4834BA"/>
            </w:tcBorders>
            <w:gridSpan w:val="7"/>
            <w:shd w:val="clear" w:color="auto" w:fill="CCEEFF"/>
          </w:tcPr>
          <w:p>
            <w:pPr>
              <w:spacing w:after="0"/>
              <w:rPr>
                <w:sz w:val="20"/>
                <w:szCs w:val="20"/>
                <w:color w:val="auto"/>
              </w:rPr>
            </w:pPr>
            <w:r>
              <w:rPr>
                <w:rFonts w:ascii="Arial" w:cs="Arial" w:eastAsia="Arial" w:hAnsi="Arial"/>
                <w:sz w:val="16"/>
                <w:szCs w:val="16"/>
                <w:b w:val="1"/>
                <w:bCs w:val="1"/>
                <w:color w:val="4834BA"/>
                <w:w w:val="90"/>
              </w:rPr>
              <w:t>APPENDIX C 2026 EQUITY INCENTIVE PLAN</w:t>
            </w:r>
          </w:p>
        </w:tc>
        <w:tc>
          <w:tcPr>
            <w:tcW w:w="880" w:type="dxa"/>
            <w:vAlign w:val="bottom"/>
            <w:tcBorders>
              <w:bottom w:val="single" w:sz="8" w:color="CCEEFF"/>
            </w:tcBorders>
            <w:gridSpan w:val="5"/>
            <w:vMerge w:val="restart"/>
            <w:shd w:val="clear" w:color="auto" w:fill="CCEEFF"/>
          </w:tcPr>
          <w:p>
            <w:pPr>
              <w:spacing w:after="0"/>
              <w:rPr>
                <w:sz w:val="21"/>
                <w:szCs w:val="21"/>
                <w:color w:val="auto"/>
              </w:rPr>
            </w:pPr>
          </w:p>
        </w:tc>
        <w:tc>
          <w:tcPr>
            <w:tcW w:w="300" w:type="dxa"/>
            <w:vAlign w:val="bottom"/>
            <w:tcBorders>
              <w:bottom w:val="single" w:sz="8" w:color="CCEEFF"/>
            </w:tcBorders>
            <w:vMerge w:val="restart"/>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4834BA"/>
                <w:w w:val="77"/>
              </w:rPr>
              <w:t>C-1</w:t>
            </w: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gridSpan w:val="7"/>
            <w:shd w:val="clear" w:color="auto" w:fill="CCEEFF"/>
          </w:tcPr>
          <w:p>
            <w:pPr>
              <w:spacing w:after="0" w:line="20" w:lineRule="exact"/>
              <w:rPr>
                <w:sz w:val="1"/>
                <w:szCs w:val="1"/>
                <w:color w:val="auto"/>
              </w:rPr>
            </w:pPr>
          </w:p>
        </w:tc>
        <w:tc>
          <w:tcPr>
            <w:tcW w:w="880" w:type="dxa"/>
            <w:vAlign w:val="bottom"/>
            <w:tcBorders>
              <w:bottom w:val="single" w:sz="8" w:color="CCEEFF"/>
            </w:tcBorders>
            <w:gridSpan w:val="5"/>
            <w:vMerge w:val="continue"/>
            <w:shd w:val="clear" w:color="auto" w:fill="CCEEFF"/>
          </w:tcPr>
          <w:p>
            <w:pPr>
              <w:spacing w:after="0" w:line="20" w:lineRule="exact"/>
              <w:rPr>
                <w:sz w:val="1"/>
                <w:szCs w:val="1"/>
                <w:color w:val="auto"/>
              </w:rPr>
            </w:pPr>
          </w:p>
        </w:tc>
        <w:tc>
          <w:tcPr>
            <w:tcW w:w="30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20" w:type="dxa"/>
            <w:vAlign w:val="bottom"/>
            <w:tcBorders>
              <w:bottom w:val="single" w:sz="8" w:color="4834BA"/>
            </w:tcBorders>
            <w:gridSpan w:val="2"/>
            <w:vMerge w:val="continue"/>
            <w:shd w:val="clear" w:color="auto" w:fill="CCEEFF"/>
          </w:tcPr>
          <w:p>
            <w:pPr>
              <w:spacing w:after="0" w:line="20" w:lineRule="exact"/>
              <w:rPr>
                <w:sz w:val="1"/>
                <w:szCs w:val="1"/>
                <w:color w:val="auto"/>
              </w:rPr>
            </w:pPr>
          </w:p>
        </w:tc>
        <w:tc>
          <w:tcPr>
            <w:tcW w:w="60" w:type="dxa"/>
            <w:vAlign w:val="bottom"/>
            <w:tcBorders>
              <w:bottom w:val="single" w:sz="8" w:color="CCEEFF"/>
            </w:tcBorders>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220" w:type="dxa"/>
            <w:vAlign w:val="bottom"/>
            <w:tcBorders>
              <w:bottom w:val="single" w:sz="8" w:color="auto"/>
            </w:tcBorders>
            <w:gridSpan w:val="2"/>
            <w:shd w:val="clear" w:color="auto" w:fill="CCEEFF"/>
          </w:tcPr>
          <w:p>
            <w:pPr>
              <w:spacing w:after="0"/>
              <w:rPr>
                <w:sz w:val="5"/>
                <w:szCs w:val="5"/>
                <w:color w:val="auto"/>
              </w:rPr>
            </w:pPr>
          </w:p>
        </w:tc>
        <w:tc>
          <w:tcPr>
            <w:tcW w:w="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6811010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-1276985</wp:posOffset>
            </wp:positionV>
            <wp:extent cx="12890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7145"/>
                    </a:xfrm>
                    <a:prstGeom prst="rect">
                      <a:avLst/>
                    </a:prstGeom>
                    <a:noFill/>
                  </pic:spPr>
                </pic:pic>
              </a:graphicData>
            </a:graphic>
          </wp:anchor>
        </w:drawing>
      </w:r>
    </w:p>
    <w:p>
      <w:pPr>
        <w:sectPr>
          <w:pgSz w:w="11900" w:h="16838" w:orient="portrait"/>
          <w:cols w:equalWidth="0" w:num="2">
            <w:col w:w="5200" w:space="320"/>
            <w:col w:w="4540"/>
          </w:cols>
          <w:pgMar w:left="580" w:top="97" w:right="125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1127125</wp:posOffset>
            </wp:positionV>
            <wp:extent cx="5966460" cy="2139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6460" cy="21399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6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3217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FFFFFF"/>
        </w:rPr>
        <w:t>Information about the Annual Meeting of Stockholders</w:t>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301"/>
        </w:trPr>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Annual Meeting held at</w:t>
            </w:r>
          </w:p>
        </w:tc>
        <w:tc>
          <w:tcPr>
            <w:tcW w:w="6800" w:type="dxa"/>
            <w:vAlign w:val="bottom"/>
          </w:tcPr>
          <w:p>
            <w:pPr>
              <w:ind w:left="300"/>
              <w:spacing w:after="0"/>
              <w:rPr>
                <w:sz w:val="20"/>
                <w:szCs w:val="20"/>
                <w:color w:val="auto"/>
              </w:rPr>
            </w:pPr>
            <w:r>
              <w:rPr>
                <w:rFonts w:ascii="Arial" w:cs="Arial" w:eastAsia="Arial" w:hAnsi="Arial"/>
                <w:sz w:val="18"/>
                <w:szCs w:val="18"/>
                <w:color w:val="auto"/>
              </w:rPr>
              <w:t>13139 Jess Pirtle Blvd., Sugar Land, TX 77478</w:t>
            </w:r>
          </w:p>
        </w:tc>
      </w:tr>
      <w:tr>
        <w:trPr>
          <w:trHeight w:val="77"/>
        </w:trPr>
        <w:tc>
          <w:tcPr>
            <w:tcW w:w="2600" w:type="dxa"/>
            <w:vAlign w:val="bottom"/>
            <w:tcBorders>
              <w:bottom w:val="single" w:sz="8" w:color="auto"/>
              <w:right w:val="single" w:sz="8" w:color="auto"/>
            </w:tcBorders>
          </w:tcPr>
          <w:p>
            <w:pPr>
              <w:spacing w:after="0"/>
              <w:rPr>
                <w:sz w:val="6"/>
                <w:szCs w:val="6"/>
                <w:color w:val="auto"/>
              </w:rPr>
            </w:pPr>
          </w:p>
        </w:tc>
        <w:tc>
          <w:tcPr>
            <w:tcW w:w="6800" w:type="dxa"/>
            <w:vAlign w:val="bottom"/>
            <w:tcBorders>
              <w:bottom w:val="single" w:sz="8" w:color="auto"/>
            </w:tcBorders>
          </w:tcPr>
          <w:p>
            <w:pPr>
              <w:spacing w:after="0"/>
              <w:rPr>
                <w:sz w:val="6"/>
                <w:szCs w:val="6"/>
                <w:color w:val="auto"/>
              </w:rPr>
            </w:pPr>
          </w:p>
        </w:tc>
      </w:tr>
      <w:tr>
        <w:trPr>
          <w:trHeight w:val="281"/>
        </w:trPr>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Date and Time</w:t>
            </w:r>
          </w:p>
        </w:tc>
        <w:tc>
          <w:tcPr>
            <w:tcW w:w="6800" w:type="dxa"/>
            <w:vAlign w:val="bottom"/>
          </w:tcPr>
          <w:p>
            <w:pPr>
              <w:ind w:left="300"/>
              <w:spacing w:after="0"/>
              <w:rPr>
                <w:sz w:val="20"/>
                <w:szCs w:val="20"/>
                <w:color w:val="auto"/>
              </w:rPr>
            </w:pPr>
            <w:r>
              <w:rPr>
                <w:rFonts w:ascii="Arial" w:cs="Arial" w:eastAsia="Arial" w:hAnsi="Arial"/>
                <w:sz w:val="18"/>
                <w:szCs w:val="18"/>
                <w:color w:val="auto"/>
              </w:rPr>
              <w:t>June 4, 2026 at 9:30 a.m. Central Time</w:t>
            </w:r>
          </w:p>
        </w:tc>
      </w:tr>
      <w:tr>
        <w:trPr>
          <w:trHeight w:val="77"/>
        </w:trPr>
        <w:tc>
          <w:tcPr>
            <w:tcW w:w="2600" w:type="dxa"/>
            <w:vAlign w:val="bottom"/>
            <w:tcBorders>
              <w:bottom w:val="single" w:sz="8" w:color="auto"/>
              <w:right w:val="single" w:sz="8" w:color="auto"/>
            </w:tcBorders>
          </w:tcPr>
          <w:p>
            <w:pPr>
              <w:spacing w:after="0"/>
              <w:rPr>
                <w:sz w:val="6"/>
                <w:szCs w:val="6"/>
                <w:color w:val="auto"/>
              </w:rPr>
            </w:pPr>
          </w:p>
        </w:tc>
        <w:tc>
          <w:tcPr>
            <w:tcW w:w="6800" w:type="dxa"/>
            <w:vAlign w:val="bottom"/>
            <w:tcBorders>
              <w:bottom w:val="single" w:sz="8" w:color="auto"/>
            </w:tcBorders>
          </w:tcPr>
          <w:p>
            <w:pPr>
              <w:spacing w:after="0"/>
              <w:rPr>
                <w:sz w:val="6"/>
                <w:szCs w:val="6"/>
                <w:color w:val="auto"/>
              </w:rPr>
            </w:pPr>
          </w:p>
        </w:tc>
      </w:tr>
      <w:tr>
        <w:trPr>
          <w:trHeight w:val="281"/>
        </w:trPr>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Online Voting Website</w:t>
            </w:r>
          </w:p>
        </w:tc>
        <w:tc>
          <w:tcPr>
            <w:tcW w:w="6800" w:type="dxa"/>
            <w:vAlign w:val="bottom"/>
          </w:tcPr>
          <w:p>
            <w:pPr>
              <w:ind w:left="300"/>
              <w:spacing w:after="0"/>
              <w:rPr>
                <w:sz w:val="20"/>
                <w:szCs w:val="20"/>
                <w:color w:val="auto"/>
              </w:rPr>
            </w:pPr>
            <w:r>
              <w:rPr>
                <w:rFonts w:ascii="Arial" w:cs="Arial" w:eastAsia="Arial" w:hAnsi="Arial"/>
                <w:sz w:val="18"/>
                <w:szCs w:val="18"/>
                <w:color w:val="auto"/>
              </w:rPr>
              <w:t>www.proxyvote.com</w:t>
            </w:r>
          </w:p>
        </w:tc>
      </w:tr>
      <w:tr>
        <w:trPr>
          <w:trHeight w:val="77"/>
        </w:trPr>
        <w:tc>
          <w:tcPr>
            <w:tcW w:w="2600" w:type="dxa"/>
            <w:vAlign w:val="bottom"/>
            <w:tcBorders>
              <w:bottom w:val="single" w:sz="8" w:color="auto"/>
              <w:right w:val="single" w:sz="8" w:color="auto"/>
            </w:tcBorders>
          </w:tcPr>
          <w:p>
            <w:pPr>
              <w:spacing w:after="0"/>
              <w:rPr>
                <w:sz w:val="6"/>
                <w:szCs w:val="6"/>
                <w:color w:val="auto"/>
              </w:rPr>
            </w:pPr>
          </w:p>
        </w:tc>
        <w:tc>
          <w:tcPr>
            <w:tcW w:w="6800" w:type="dxa"/>
            <w:vAlign w:val="bottom"/>
            <w:tcBorders>
              <w:bottom w:val="single" w:sz="8" w:color="auto"/>
            </w:tcBorders>
          </w:tcPr>
          <w:p>
            <w:pPr>
              <w:spacing w:after="0"/>
              <w:rPr>
                <w:sz w:val="6"/>
                <w:szCs w:val="6"/>
                <w:color w:val="auto"/>
              </w:rPr>
            </w:pPr>
          </w:p>
        </w:tc>
      </w:tr>
      <w:tr>
        <w:trPr>
          <w:trHeight w:val="281"/>
        </w:trPr>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Telephone contact</w:t>
            </w:r>
          </w:p>
        </w:tc>
        <w:tc>
          <w:tcPr>
            <w:tcW w:w="6800" w:type="dxa"/>
            <w:vAlign w:val="bottom"/>
          </w:tcPr>
          <w:p>
            <w:pPr>
              <w:ind w:left="300"/>
              <w:spacing w:after="0"/>
              <w:rPr>
                <w:sz w:val="20"/>
                <w:szCs w:val="20"/>
                <w:color w:val="auto"/>
              </w:rPr>
            </w:pPr>
            <w:r>
              <w:rPr>
                <w:rFonts w:ascii="Arial" w:cs="Arial" w:eastAsia="Arial" w:hAnsi="Arial"/>
                <w:sz w:val="18"/>
                <w:szCs w:val="18"/>
                <w:color w:val="auto"/>
              </w:rPr>
              <w:t>1-800-690-6903</w:t>
            </w:r>
          </w:p>
        </w:tc>
      </w:tr>
      <w:tr>
        <w:trPr>
          <w:trHeight w:val="77"/>
        </w:trPr>
        <w:tc>
          <w:tcPr>
            <w:tcW w:w="2600" w:type="dxa"/>
            <w:vAlign w:val="bottom"/>
            <w:tcBorders>
              <w:bottom w:val="single" w:sz="8" w:color="auto"/>
              <w:right w:val="single" w:sz="8" w:color="auto"/>
            </w:tcBorders>
          </w:tcPr>
          <w:p>
            <w:pPr>
              <w:spacing w:after="0"/>
              <w:rPr>
                <w:sz w:val="6"/>
                <w:szCs w:val="6"/>
                <w:color w:val="auto"/>
              </w:rPr>
            </w:pPr>
          </w:p>
        </w:tc>
        <w:tc>
          <w:tcPr>
            <w:tcW w:w="6800" w:type="dxa"/>
            <w:vAlign w:val="bottom"/>
            <w:tcBorders>
              <w:bottom w:val="single" w:sz="8" w:color="auto"/>
            </w:tcBorders>
          </w:tcPr>
          <w:p>
            <w:pPr>
              <w:spacing w:after="0"/>
              <w:rPr>
                <w:sz w:val="6"/>
                <w:szCs w:val="6"/>
                <w:color w:val="auto"/>
              </w:rPr>
            </w:pPr>
          </w:p>
        </w:tc>
      </w:tr>
      <w:tr>
        <w:trPr>
          <w:trHeight w:val="258"/>
        </w:trPr>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Attendance Requirements</w:t>
            </w:r>
          </w:p>
        </w:tc>
        <w:tc>
          <w:tcPr>
            <w:tcW w:w="6800" w:type="dxa"/>
            <w:vAlign w:val="bottom"/>
          </w:tcPr>
          <w:p>
            <w:pPr>
              <w:ind w:left="300"/>
              <w:spacing w:after="0"/>
              <w:rPr>
                <w:sz w:val="20"/>
                <w:szCs w:val="20"/>
                <w:color w:val="auto"/>
              </w:rPr>
            </w:pPr>
            <w:r>
              <w:rPr>
                <w:rFonts w:ascii="Arial" w:cs="Arial" w:eastAsia="Arial" w:hAnsi="Arial"/>
                <w:sz w:val="18"/>
                <w:szCs w:val="18"/>
                <w:color w:val="auto"/>
              </w:rPr>
              <w:t>Attendance at the Annual Meeting is limited to our stockholders, their</w:t>
            </w:r>
          </w:p>
        </w:tc>
      </w:tr>
      <w:tr>
        <w:trPr>
          <w:trHeight w:val="216"/>
        </w:trPr>
        <w:tc>
          <w:tcPr>
            <w:tcW w:w="2600" w:type="dxa"/>
            <w:vAlign w:val="bottom"/>
            <w:tcBorders>
              <w:right w:val="single" w:sz="8" w:color="auto"/>
            </w:tcBorders>
          </w:tcPr>
          <w:p>
            <w:pPr>
              <w:spacing w:after="0"/>
              <w:rPr>
                <w:sz w:val="18"/>
                <w:szCs w:val="18"/>
                <w:color w:val="auto"/>
              </w:rPr>
            </w:pPr>
          </w:p>
        </w:tc>
        <w:tc>
          <w:tcPr>
            <w:tcW w:w="6800" w:type="dxa"/>
            <w:vAlign w:val="bottom"/>
          </w:tcPr>
          <w:p>
            <w:pPr>
              <w:ind w:left="300"/>
              <w:spacing w:after="0"/>
              <w:rPr>
                <w:sz w:val="20"/>
                <w:szCs w:val="20"/>
                <w:color w:val="auto"/>
              </w:rPr>
            </w:pPr>
            <w:r>
              <w:rPr>
                <w:rFonts w:ascii="Arial" w:cs="Arial" w:eastAsia="Arial" w:hAnsi="Arial"/>
                <w:sz w:val="18"/>
                <w:szCs w:val="18"/>
                <w:color w:val="auto"/>
              </w:rPr>
              <w:t>proxyholders, and guests of the Company. Proof of Company stock ownership</w:t>
            </w:r>
          </w:p>
        </w:tc>
      </w:tr>
      <w:tr>
        <w:trPr>
          <w:trHeight w:val="239"/>
        </w:trPr>
        <w:tc>
          <w:tcPr>
            <w:tcW w:w="2600" w:type="dxa"/>
            <w:vAlign w:val="bottom"/>
            <w:tcBorders>
              <w:right w:val="single" w:sz="8" w:color="auto"/>
            </w:tcBorders>
          </w:tcPr>
          <w:p>
            <w:pPr>
              <w:spacing w:after="0"/>
              <w:rPr>
                <w:sz w:val="20"/>
                <w:szCs w:val="20"/>
                <w:color w:val="auto"/>
              </w:rPr>
            </w:pPr>
          </w:p>
        </w:tc>
        <w:tc>
          <w:tcPr>
            <w:tcW w:w="6800" w:type="dxa"/>
            <w:vAlign w:val="bottom"/>
          </w:tcPr>
          <w:p>
            <w:pPr>
              <w:ind w:left="300"/>
              <w:spacing w:after="0"/>
              <w:rPr>
                <w:sz w:val="20"/>
                <w:szCs w:val="20"/>
                <w:color w:val="auto"/>
              </w:rPr>
            </w:pPr>
            <w:r>
              <w:rPr>
                <w:rFonts w:ascii="Arial" w:cs="Arial" w:eastAsia="Arial" w:hAnsi="Arial"/>
                <w:sz w:val="18"/>
                <w:szCs w:val="18"/>
                <w:color w:val="auto"/>
              </w:rPr>
              <w:t>and photo identification is required to attend the Annual Meeting.</w:t>
            </w:r>
          </w:p>
        </w:tc>
      </w:tr>
      <w:tr>
        <w:trPr>
          <w:trHeight w:val="77"/>
        </w:trPr>
        <w:tc>
          <w:tcPr>
            <w:tcW w:w="2600" w:type="dxa"/>
            <w:vAlign w:val="bottom"/>
            <w:tcBorders>
              <w:bottom w:val="single" w:sz="8" w:color="auto"/>
              <w:right w:val="single" w:sz="8" w:color="auto"/>
            </w:tcBorders>
          </w:tcPr>
          <w:p>
            <w:pPr>
              <w:spacing w:after="0"/>
              <w:rPr>
                <w:sz w:val="6"/>
                <w:szCs w:val="6"/>
                <w:color w:val="auto"/>
              </w:rPr>
            </w:pPr>
          </w:p>
        </w:tc>
        <w:tc>
          <w:tcPr>
            <w:tcW w:w="6800" w:type="dxa"/>
            <w:vAlign w:val="bottom"/>
            <w:tcBorders>
              <w:bottom w:val="single" w:sz="8" w:color="auto"/>
            </w:tcBorders>
          </w:tcPr>
          <w:p>
            <w:pPr>
              <w:spacing w:after="0"/>
              <w:rPr>
                <w:sz w:val="6"/>
                <w:szCs w:val="6"/>
                <w:color w:val="auto"/>
              </w:rPr>
            </w:pPr>
          </w:p>
        </w:tc>
      </w:tr>
      <w:tr>
        <w:trPr>
          <w:trHeight w:val="294"/>
        </w:trPr>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 Devices</w:t>
            </w:r>
          </w:p>
        </w:tc>
        <w:tc>
          <w:tcPr>
            <w:tcW w:w="6800" w:type="dxa"/>
            <w:vAlign w:val="bottom"/>
          </w:tcPr>
          <w:p>
            <w:pPr>
              <w:ind w:left="300"/>
              <w:spacing w:after="0"/>
              <w:rPr>
                <w:sz w:val="20"/>
                <w:szCs w:val="20"/>
                <w:color w:val="auto"/>
              </w:rPr>
            </w:pPr>
            <w:r>
              <w:rPr>
                <w:rFonts w:ascii="Arial" w:cs="Arial" w:eastAsia="Arial" w:hAnsi="Arial"/>
                <w:sz w:val="18"/>
                <w:szCs w:val="18"/>
                <w:color w:val="auto"/>
              </w:rPr>
              <w:t>The use of cameras or other audio or video recording devices is not allowed.</w:t>
            </w:r>
          </w:p>
        </w:tc>
      </w:tr>
      <w:tr>
        <w:trPr>
          <w:trHeight w:val="91"/>
        </w:trPr>
        <w:tc>
          <w:tcPr>
            <w:tcW w:w="2600" w:type="dxa"/>
            <w:vAlign w:val="bottom"/>
            <w:tcBorders>
              <w:bottom w:val="single" w:sz="8" w:color="auto"/>
              <w:right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111125</wp:posOffset>
            </wp:positionV>
            <wp:extent cx="595757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57570" cy="20574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2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FFFFFF"/>
        </w:rPr>
        <w:t>Questions and Answers</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About Annual Meeting</w:t>
      </w:r>
    </w:p>
    <w:p>
      <w:pPr>
        <w:spacing w:after="0" w:line="35" w:lineRule="exact"/>
        <w:rPr>
          <w:sz w:val="20"/>
          <w:szCs w:val="20"/>
          <w:color w:val="auto"/>
        </w:rPr>
      </w:pPr>
    </w:p>
    <w:p>
      <w:pPr>
        <w:ind w:left="780" w:right="560"/>
        <w:spacing w:after="0" w:line="255" w:lineRule="auto"/>
        <w:rPr>
          <w:sz w:val="20"/>
          <w:szCs w:val="20"/>
          <w:color w:val="auto"/>
        </w:rPr>
      </w:pPr>
      <w:r>
        <w:rPr>
          <w:rFonts w:ascii="Arial" w:cs="Arial" w:eastAsia="Arial" w:hAnsi="Arial"/>
          <w:sz w:val="16"/>
          <w:szCs w:val="16"/>
          <w:color w:val="auto"/>
        </w:rPr>
        <w:t>Applied Optoelectronics, Inc. Investor Relations at IR@ao-inc.com Alliance Advisors at AAOI@allianceadvisors.com</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Toll-free: (833) 215-7318</w:t>
      </w:r>
    </w:p>
    <w:p>
      <w:pPr>
        <w:spacing w:after="0" w:line="84" w:lineRule="exact"/>
        <w:rPr>
          <w:sz w:val="20"/>
          <w:szCs w:val="20"/>
          <w:color w:val="auto"/>
        </w:rPr>
      </w:pPr>
    </w:p>
    <w:p>
      <w:pPr>
        <w:ind w:left="780" w:right="640"/>
        <w:spacing w:after="0" w:line="271" w:lineRule="auto"/>
        <w:rPr>
          <w:sz w:val="20"/>
          <w:szCs w:val="20"/>
          <w:color w:val="auto"/>
        </w:rPr>
      </w:pPr>
      <w:r>
        <w:rPr>
          <w:rFonts w:ascii="Arial" w:cs="Arial" w:eastAsia="Arial" w:hAnsi="Arial"/>
          <w:sz w:val="16"/>
          <w:szCs w:val="16"/>
          <w:b w:val="1"/>
          <w:bCs w:val="1"/>
          <w:color w:val="auto"/>
        </w:rPr>
        <w:t xml:space="preserve">Stock ownership for registered holders submit your proxy </w:t>
      </w:r>
      <w:r>
        <w:rPr>
          <w:rFonts w:ascii="Arial" w:cs="Arial" w:eastAsia="Arial" w:hAnsi="Arial"/>
          <w:sz w:val="16"/>
          <w:szCs w:val="16"/>
          <w:color w:val="auto"/>
        </w:rPr>
        <w:t>Continental Stock Transfer &amp; Trust Company at (800) 509-5586 (within the U.S. and Canada) or (212) 509-4000 (worldwide) or at cstmail@continentalstock.com</w:t>
      </w:r>
    </w:p>
    <w:p>
      <w:pPr>
        <w:spacing w:after="0" w:line="46" w:lineRule="exact"/>
        <w:rPr>
          <w:sz w:val="20"/>
          <w:szCs w:val="20"/>
          <w:color w:val="auto"/>
        </w:rPr>
      </w:pPr>
    </w:p>
    <w:p>
      <w:pPr>
        <w:ind w:left="780" w:right="1620"/>
        <w:spacing w:after="0" w:line="328" w:lineRule="auto"/>
        <w:rPr>
          <w:sz w:val="20"/>
          <w:szCs w:val="20"/>
          <w:color w:val="auto"/>
        </w:rPr>
      </w:pPr>
      <w:r>
        <w:rPr>
          <w:rFonts w:ascii="Arial" w:cs="Arial" w:eastAsia="Arial" w:hAnsi="Arial"/>
          <w:sz w:val="15"/>
          <w:szCs w:val="15"/>
          <w:b w:val="1"/>
          <w:bCs w:val="1"/>
          <w:color w:val="auto"/>
        </w:rPr>
        <w:t xml:space="preserve">Stock ownership or voting for beneficial holders </w:t>
      </w:r>
      <w:r>
        <w:rPr>
          <w:rFonts w:ascii="Arial" w:cs="Arial" w:eastAsia="Arial" w:hAnsi="Arial"/>
          <w:sz w:val="15"/>
          <w:szCs w:val="15"/>
          <w:color w:val="auto"/>
        </w:rPr>
        <w:t>Please contact your bank, broker, or other nominee</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Voting for registered holders</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Applied Optoelectronics, Inc. Investor Relations at IR@ao-inc.com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121920</wp:posOffset>
            </wp:positionV>
            <wp:extent cx="349758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97580" cy="205740"/>
                    </a:xfrm>
                    <a:prstGeom prst="rect">
                      <a:avLst/>
                    </a:prstGeom>
                    <a:noFill/>
                  </pic:spPr>
                </pic:pic>
              </a:graphicData>
            </a:graphic>
          </wp:anchor>
        </w:drawing>
      </w:r>
    </w:p>
    <w:p>
      <w:pPr>
        <w:spacing w:after="0" w:line="22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FFFFFF"/>
        </w:rPr>
        <w:t>Important Documents and Information</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Documents &amp; Charters</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https://investors.ao-inc.com/corporate-governance/documents-charters</w:t>
      </w:r>
    </w:p>
    <w:p>
      <w:pPr>
        <w:spacing w:after="0" w:line="7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Management</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https://investors.ao-inc.com/corporate-governance/management</w:t>
      </w:r>
    </w:p>
    <w:p>
      <w:pPr>
        <w:spacing w:after="0" w:line="7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Board of Directors</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https://investors.ao-inc.com/corporate-governance/board-of-directors</w:t>
      </w:r>
    </w:p>
    <w:p>
      <w:pPr>
        <w:spacing w:after="0" w:line="7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Committee Composition</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5"/>
          <w:szCs w:val="15"/>
          <w:color w:val="auto"/>
        </w:rPr>
        <w:t>https://investors.ao-inc.com/corporate-governance/committee-composition</w:t>
      </w:r>
    </w:p>
    <w:p>
      <w:pPr>
        <w:spacing w:after="0" w:line="27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Sustainability Report</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https://ao-inc.com/assets/legal/AOI_2024_ESG-Sustainability-Report.pdf</w:t>
      </w:r>
    </w:p>
    <w:p>
      <w:pPr>
        <w:spacing w:after="0" w:line="7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Annual Reports</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https://investors.ao-inc.com/financial-information/annual-reports</w:t>
      </w:r>
    </w:p>
    <w:p>
      <w:pPr>
        <w:spacing w:after="0" w:line="7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Investor Relations</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https://investors.ao-inc.com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619125</wp:posOffset>
            </wp:positionV>
            <wp:extent cx="33401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78" w:hanging="78"/>
        <w:spacing w:after="0"/>
        <w:tabs>
          <w:tab w:leader="none" w:pos="78" w:val="left"/>
        </w:tabs>
        <w:numPr>
          <w:ilvl w:val="0"/>
          <w:numId w:val="7"/>
        </w:numPr>
        <w:rPr>
          <w:rFonts w:ascii="Arial" w:cs="Arial" w:eastAsia="Arial" w:hAnsi="Arial"/>
          <w:sz w:val="16"/>
          <w:szCs w:val="16"/>
          <w:b w:val="1"/>
          <w:bCs w:val="1"/>
          <w:color w:val="FFFFFF"/>
        </w:rPr>
      </w:pPr>
      <w:r>
        <w:rPr>
          <w:rFonts w:ascii="Arial" w:cs="Arial" w:eastAsia="Arial" w:hAnsi="Arial"/>
          <w:sz w:val="16"/>
          <w:szCs w:val="16"/>
          <w:b w:val="1"/>
          <w:bCs w:val="1"/>
          <w:color w:val="FFFFFF"/>
        </w:rPr>
        <w:t>Acronyms Used</w:t>
      </w:r>
    </w:p>
    <w:p>
      <w:pPr>
        <w:spacing w:after="0" w:line="38" w:lineRule="exact"/>
        <w:rPr>
          <w:rFonts w:ascii="Arial" w:cs="Arial" w:eastAsia="Arial" w:hAnsi="Arial"/>
          <w:sz w:val="16"/>
          <w:szCs w:val="16"/>
          <w:b w:val="1"/>
          <w:bCs w:val="1"/>
          <w:color w:val="FFFFFF"/>
        </w:rPr>
      </w:pPr>
    </w:p>
    <w:p>
      <w:pPr>
        <w:ind w:left="78" w:hanging="78"/>
        <w:spacing w:after="0" w:line="217" w:lineRule="auto"/>
        <w:tabs>
          <w:tab w:leader="none" w:pos="78"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4834BA"/>
        </w:rPr>
        <w:t>GAAP</w:t>
      </w:r>
    </w:p>
    <w:p>
      <w:pPr>
        <w:ind w:left="78"/>
        <w:spacing w:after="0"/>
        <w:rPr>
          <w:rFonts w:ascii="Arial" w:cs="Arial" w:eastAsia="Arial" w:hAnsi="Arial"/>
          <w:sz w:val="32"/>
          <w:szCs w:val="32"/>
          <w:b w:val="1"/>
          <w:bCs w:val="1"/>
          <w:color w:val="auto"/>
          <w:vertAlign w:val="superscript"/>
        </w:rPr>
      </w:pPr>
      <w:r>
        <w:rPr>
          <w:rFonts w:ascii="Arial" w:cs="Arial" w:eastAsia="Arial" w:hAnsi="Arial"/>
          <w:sz w:val="16"/>
          <w:szCs w:val="16"/>
          <w:color w:val="auto"/>
        </w:rPr>
        <w:t>Generally Accepted Accounting Principles</w:t>
      </w:r>
    </w:p>
    <w:p>
      <w:pPr>
        <w:spacing w:after="0" w:line="14" w:lineRule="exact"/>
        <w:rPr>
          <w:rFonts w:ascii="Arial" w:cs="Arial" w:eastAsia="Arial" w:hAnsi="Arial"/>
          <w:sz w:val="32"/>
          <w:szCs w:val="32"/>
          <w:b w:val="1"/>
          <w:bCs w:val="1"/>
          <w:color w:val="auto"/>
          <w:vertAlign w:val="superscript"/>
        </w:rPr>
      </w:pPr>
    </w:p>
    <w:p>
      <w:pPr>
        <w:ind w:left="78" w:hanging="78"/>
        <w:spacing w:after="0" w:line="213" w:lineRule="auto"/>
        <w:tabs>
          <w:tab w:leader="none" w:pos="78"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4834BA"/>
        </w:rPr>
        <w:t>PCAOB</w:t>
      </w:r>
    </w:p>
    <w:p>
      <w:pPr>
        <w:spacing w:after="0" w:line="1" w:lineRule="exact"/>
        <w:rPr>
          <w:rFonts w:ascii="Arial" w:cs="Arial" w:eastAsia="Arial" w:hAnsi="Arial"/>
          <w:sz w:val="32"/>
          <w:szCs w:val="32"/>
          <w:b w:val="1"/>
          <w:bCs w:val="1"/>
          <w:color w:val="auto"/>
          <w:vertAlign w:val="superscript"/>
        </w:rPr>
      </w:pPr>
    </w:p>
    <w:p>
      <w:pPr>
        <w:ind w:left="78"/>
        <w:spacing w:after="0"/>
        <w:rPr>
          <w:rFonts w:ascii="Arial" w:cs="Arial" w:eastAsia="Arial" w:hAnsi="Arial"/>
          <w:sz w:val="32"/>
          <w:szCs w:val="32"/>
          <w:b w:val="1"/>
          <w:bCs w:val="1"/>
          <w:color w:val="auto"/>
          <w:vertAlign w:val="superscript"/>
        </w:rPr>
      </w:pPr>
      <w:r>
        <w:rPr>
          <w:rFonts w:ascii="Arial" w:cs="Arial" w:eastAsia="Arial" w:hAnsi="Arial"/>
          <w:sz w:val="15"/>
          <w:szCs w:val="15"/>
          <w:color w:val="auto"/>
        </w:rPr>
        <w:t>Public Company Accounting Oversight Board</w:t>
      </w:r>
    </w:p>
    <w:p>
      <w:pPr>
        <w:spacing w:after="0" w:line="26" w:lineRule="exact"/>
        <w:rPr>
          <w:rFonts w:ascii="Arial" w:cs="Arial" w:eastAsia="Arial" w:hAnsi="Arial"/>
          <w:sz w:val="32"/>
          <w:szCs w:val="32"/>
          <w:b w:val="1"/>
          <w:bCs w:val="1"/>
          <w:color w:val="auto"/>
          <w:vertAlign w:val="superscript"/>
        </w:rPr>
      </w:pPr>
    </w:p>
    <w:p>
      <w:pPr>
        <w:ind w:left="78" w:hanging="78"/>
        <w:spacing w:after="0" w:line="213" w:lineRule="auto"/>
        <w:tabs>
          <w:tab w:leader="none" w:pos="78"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4834BA"/>
        </w:rPr>
        <w:t>SEC</w:t>
      </w:r>
    </w:p>
    <w:p>
      <w:pPr>
        <w:spacing w:after="0" w:line="1" w:lineRule="exact"/>
        <w:rPr>
          <w:rFonts w:ascii="Arial" w:cs="Arial" w:eastAsia="Arial" w:hAnsi="Arial"/>
          <w:sz w:val="32"/>
          <w:szCs w:val="32"/>
          <w:b w:val="1"/>
          <w:bCs w:val="1"/>
          <w:color w:val="auto"/>
          <w:vertAlign w:val="superscript"/>
        </w:rPr>
      </w:pPr>
    </w:p>
    <w:p>
      <w:pPr>
        <w:ind w:left="78"/>
        <w:spacing w:after="0"/>
        <w:rPr>
          <w:rFonts w:ascii="Arial" w:cs="Arial" w:eastAsia="Arial" w:hAnsi="Arial"/>
          <w:sz w:val="32"/>
          <w:szCs w:val="32"/>
          <w:b w:val="1"/>
          <w:bCs w:val="1"/>
          <w:color w:val="auto"/>
          <w:vertAlign w:val="superscript"/>
        </w:rPr>
      </w:pPr>
      <w:r>
        <w:rPr>
          <w:rFonts w:ascii="Arial" w:cs="Arial" w:eastAsia="Arial" w:hAnsi="Arial"/>
          <w:sz w:val="16"/>
          <w:szCs w:val="16"/>
          <w:color w:val="auto"/>
        </w:rPr>
        <w:t>Securities and Exchange Commission</w:t>
      </w:r>
    </w:p>
    <w:p>
      <w:pPr>
        <w:spacing w:after="0" w:line="14" w:lineRule="exact"/>
        <w:rPr>
          <w:rFonts w:ascii="Arial" w:cs="Arial" w:eastAsia="Arial" w:hAnsi="Arial"/>
          <w:sz w:val="32"/>
          <w:szCs w:val="32"/>
          <w:b w:val="1"/>
          <w:bCs w:val="1"/>
          <w:color w:val="auto"/>
          <w:vertAlign w:val="superscript"/>
        </w:rPr>
      </w:pPr>
    </w:p>
    <w:p>
      <w:pPr>
        <w:ind w:left="78" w:hanging="78"/>
        <w:spacing w:after="0" w:line="213" w:lineRule="auto"/>
        <w:tabs>
          <w:tab w:leader="none" w:pos="78"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4834BA"/>
        </w:rPr>
        <w:t>TSR</w:t>
      </w:r>
    </w:p>
    <w:p>
      <w:pPr>
        <w:spacing w:after="0" w:line="1" w:lineRule="exact"/>
        <w:rPr>
          <w:rFonts w:ascii="Arial" w:cs="Arial" w:eastAsia="Arial" w:hAnsi="Arial"/>
          <w:sz w:val="32"/>
          <w:szCs w:val="32"/>
          <w:b w:val="1"/>
          <w:bCs w:val="1"/>
          <w:color w:val="auto"/>
          <w:vertAlign w:val="superscript"/>
        </w:rPr>
      </w:pPr>
    </w:p>
    <w:p>
      <w:pPr>
        <w:ind w:left="78"/>
        <w:spacing w:after="0"/>
        <w:rPr>
          <w:rFonts w:ascii="Arial" w:cs="Arial" w:eastAsia="Arial" w:hAnsi="Arial"/>
          <w:sz w:val="32"/>
          <w:szCs w:val="32"/>
          <w:b w:val="1"/>
          <w:bCs w:val="1"/>
          <w:color w:val="auto"/>
          <w:vertAlign w:val="superscript"/>
        </w:rPr>
      </w:pPr>
      <w:r>
        <w:rPr>
          <w:rFonts w:ascii="Arial" w:cs="Arial" w:eastAsia="Arial" w:hAnsi="Arial"/>
          <w:sz w:val="16"/>
          <w:szCs w:val="16"/>
          <w:color w:val="auto"/>
        </w:rPr>
        <w:t>Total Shareholder Return</w:t>
      </w:r>
    </w:p>
    <w:p>
      <w:pPr>
        <w:spacing w:after="0" w:line="14" w:lineRule="exact"/>
        <w:rPr>
          <w:rFonts w:ascii="Arial" w:cs="Arial" w:eastAsia="Arial" w:hAnsi="Arial"/>
          <w:sz w:val="32"/>
          <w:szCs w:val="32"/>
          <w:b w:val="1"/>
          <w:bCs w:val="1"/>
          <w:color w:val="auto"/>
          <w:vertAlign w:val="superscript"/>
        </w:rPr>
      </w:pPr>
    </w:p>
    <w:p>
      <w:pPr>
        <w:ind w:left="78" w:hanging="78"/>
        <w:spacing w:after="0" w:line="213" w:lineRule="auto"/>
        <w:tabs>
          <w:tab w:leader="none" w:pos="78"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4834BA"/>
        </w:rPr>
        <w:t>PSU</w:t>
      </w:r>
    </w:p>
    <w:p>
      <w:pPr>
        <w:spacing w:after="0" w:line="1" w:lineRule="exact"/>
        <w:rPr>
          <w:rFonts w:ascii="Arial" w:cs="Arial" w:eastAsia="Arial" w:hAnsi="Arial"/>
          <w:sz w:val="32"/>
          <w:szCs w:val="32"/>
          <w:b w:val="1"/>
          <w:bCs w:val="1"/>
          <w:color w:val="auto"/>
          <w:vertAlign w:val="superscript"/>
        </w:rPr>
      </w:pPr>
    </w:p>
    <w:p>
      <w:pPr>
        <w:ind w:left="78"/>
        <w:spacing w:after="0"/>
        <w:rPr>
          <w:rFonts w:ascii="Arial" w:cs="Arial" w:eastAsia="Arial" w:hAnsi="Arial"/>
          <w:sz w:val="32"/>
          <w:szCs w:val="32"/>
          <w:b w:val="1"/>
          <w:bCs w:val="1"/>
          <w:color w:val="auto"/>
          <w:vertAlign w:val="superscript"/>
        </w:rPr>
      </w:pPr>
      <w:r>
        <w:rPr>
          <w:rFonts w:ascii="Arial" w:cs="Arial" w:eastAsia="Arial" w:hAnsi="Arial"/>
          <w:sz w:val="16"/>
          <w:szCs w:val="16"/>
          <w:color w:val="auto"/>
        </w:rPr>
        <w:t>Performance Stock Unit</w:t>
      </w:r>
    </w:p>
    <w:p>
      <w:pPr>
        <w:spacing w:after="0" w:line="14" w:lineRule="exact"/>
        <w:rPr>
          <w:rFonts w:ascii="Arial" w:cs="Arial" w:eastAsia="Arial" w:hAnsi="Arial"/>
          <w:sz w:val="32"/>
          <w:szCs w:val="32"/>
          <w:b w:val="1"/>
          <w:bCs w:val="1"/>
          <w:color w:val="auto"/>
          <w:vertAlign w:val="superscript"/>
        </w:rPr>
      </w:pPr>
    </w:p>
    <w:p>
      <w:pPr>
        <w:ind w:left="78" w:hanging="78"/>
        <w:spacing w:after="0" w:line="213" w:lineRule="auto"/>
        <w:tabs>
          <w:tab w:leader="none" w:pos="78"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4834BA"/>
        </w:rPr>
        <w:t>RSU</w:t>
      </w:r>
    </w:p>
    <w:p>
      <w:pPr>
        <w:spacing w:after="0" w:line="1" w:lineRule="exact"/>
        <w:rPr>
          <w:rFonts w:ascii="Arial" w:cs="Arial" w:eastAsia="Arial" w:hAnsi="Arial"/>
          <w:sz w:val="32"/>
          <w:szCs w:val="32"/>
          <w:b w:val="1"/>
          <w:bCs w:val="1"/>
          <w:color w:val="auto"/>
          <w:vertAlign w:val="superscript"/>
        </w:rPr>
      </w:pPr>
    </w:p>
    <w:p>
      <w:pPr>
        <w:ind w:left="78"/>
        <w:spacing w:after="0"/>
        <w:rPr>
          <w:rFonts w:ascii="Arial" w:cs="Arial" w:eastAsia="Arial" w:hAnsi="Arial"/>
          <w:sz w:val="32"/>
          <w:szCs w:val="32"/>
          <w:b w:val="1"/>
          <w:bCs w:val="1"/>
          <w:color w:val="auto"/>
          <w:vertAlign w:val="superscript"/>
        </w:rPr>
      </w:pPr>
      <w:r>
        <w:rPr>
          <w:rFonts w:ascii="Arial" w:cs="Arial" w:eastAsia="Arial" w:hAnsi="Arial"/>
          <w:sz w:val="16"/>
          <w:szCs w:val="16"/>
          <w:color w:val="auto"/>
        </w:rPr>
        <w:t>Restricted Stock Unit</w:t>
      </w:r>
    </w:p>
    <w:p>
      <w:pPr>
        <w:spacing w:after="0" w:line="14" w:lineRule="exact"/>
        <w:rPr>
          <w:rFonts w:ascii="Arial" w:cs="Arial" w:eastAsia="Arial" w:hAnsi="Arial"/>
          <w:sz w:val="32"/>
          <w:szCs w:val="32"/>
          <w:b w:val="1"/>
          <w:bCs w:val="1"/>
          <w:color w:val="auto"/>
          <w:vertAlign w:val="superscript"/>
        </w:rPr>
      </w:pPr>
    </w:p>
    <w:p>
      <w:pPr>
        <w:ind w:left="78" w:hanging="78"/>
        <w:spacing w:after="0" w:line="213" w:lineRule="auto"/>
        <w:tabs>
          <w:tab w:leader="none" w:pos="78"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4834BA"/>
        </w:rPr>
        <w:t>CD&amp;A</w:t>
      </w:r>
    </w:p>
    <w:p>
      <w:pPr>
        <w:spacing w:after="0" w:line="1" w:lineRule="exact"/>
        <w:rPr>
          <w:rFonts w:ascii="Arial" w:cs="Arial" w:eastAsia="Arial" w:hAnsi="Arial"/>
          <w:sz w:val="32"/>
          <w:szCs w:val="32"/>
          <w:b w:val="1"/>
          <w:bCs w:val="1"/>
          <w:color w:val="auto"/>
          <w:vertAlign w:val="superscript"/>
        </w:rPr>
      </w:pPr>
    </w:p>
    <w:p>
      <w:pPr>
        <w:ind w:left="78"/>
        <w:spacing w:after="0"/>
        <w:rPr>
          <w:rFonts w:ascii="Arial" w:cs="Arial" w:eastAsia="Arial" w:hAnsi="Arial"/>
          <w:sz w:val="32"/>
          <w:szCs w:val="32"/>
          <w:b w:val="1"/>
          <w:bCs w:val="1"/>
          <w:color w:val="auto"/>
          <w:vertAlign w:val="superscript"/>
        </w:rPr>
      </w:pPr>
      <w:r>
        <w:rPr>
          <w:rFonts w:ascii="Arial" w:cs="Arial" w:eastAsia="Arial" w:hAnsi="Arial"/>
          <w:sz w:val="16"/>
          <w:szCs w:val="16"/>
          <w:color w:val="auto"/>
        </w:rPr>
        <w:t>Compensation Discussion and Analysis</w:t>
      </w:r>
    </w:p>
    <w:p>
      <w:pPr>
        <w:spacing w:after="0" w:line="14" w:lineRule="exact"/>
        <w:rPr>
          <w:rFonts w:ascii="Arial" w:cs="Arial" w:eastAsia="Arial" w:hAnsi="Arial"/>
          <w:sz w:val="32"/>
          <w:szCs w:val="32"/>
          <w:b w:val="1"/>
          <w:bCs w:val="1"/>
          <w:color w:val="auto"/>
          <w:vertAlign w:val="superscript"/>
        </w:rPr>
      </w:pPr>
    </w:p>
    <w:p>
      <w:pPr>
        <w:ind w:left="78" w:hanging="78"/>
        <w:spacing w:after="0" w:line="213" w:lineRule="auto"/>
        <w:tabs>
          <w:tab w:leader="none" w:pos="78"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4834BA"/>
        </w:rPr>
        <w:t>IRC</w:t>
      </w:r>
    </w:p>
    <w:p>
      <w:pPr>
        <w:spacing w:after="0" w:line="1" w:lineRule="exact"/>
        <w:rPr>
          <w:rFonts w:ascii="Arial" w:cs="Arial" w:eastAsia="Arial" w:hAnsi="Arial"/>
          <w:sz w:val="32"/>
          <w:szCs w:val="32"/>
          <w:b w:val="1"/>
          <w:bCs w:val="1"/>
          <w:color w:val="auto"/>
          <w:vertAlign w:val="superscript"/>
        </w:rPr>
      </w:pPr>
    </w:p>
    <w:p>
      <w:pPr>
        <w:ind w:left="78"/>
        <w:spacing w:after="0"/>
        <w:rPr>
          <w:rFonts w:ascii="Arial" w:cs="Arial" w:eastAsia="Arial" w:hAnsi="Arial"/>
          <w:sz w:val="32"/>
          <w:szCs w:val="32"/>
          <w:b w:val="1"/>
          <w:bCs w:val="1"/>
          <w:color w:val="auto"/>
          <w:vertAlign w:val="superscript"/>
        </w:rPr>
      </w:pPr>
      <w:r>
        <w:rPr>
          <w:rFonts w:ascii="Arial" w:cs="Arial" w:eastAsia="Arial" w:hAnsi="Arial"/>
          <w:sz w:val="16"/>
          <w:szCs w:val="16"/>
          <w:color w:val="auto"/>
        </w:rPr>
        <w:t>Internal Revenue Code</w:t>
      </w:r>
    </w:p>
    <w:p>
      <w:pPr>
        <w:spacing w:after="0" w:line="14" w:lineRule="exact"/>
        <w:rPr>
          <w:rFonts w:ascii="Arial" w:cs="Arial" w:eastAsia="Arial" w:hAnsi="Arial"/>
          <w:sz w:val="32"/>
          <w:szCs w:val="32"/>
          <w:b w:val="1"/>
          <w:bCs w:val="1"/>
          <w:color w:val="auto"/>
          <w:vertAlign w:val="superscript"/>
        </w:rPr>
      </w:pPr>
    </w:p>
    <w:p>
      <w:pPr>
        <w:ind w:left="78" w:hanging="78"/>
        <w:spacing w:after="0" w:line="213" w:lineRule="auto"/>
        <w:tabs>
          <w:tab w:leader="none" w:pos="78"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4834BA"/>
        </w:rPr>
        <w:t>NEO</w:t>
      </w:r>
    </w:p>
    <w:p>
      <w:pPr>
        <w:spacing w:after="0" w:line="1" w:lineRule="exact"/>
        <w:rPr>
          <w:rFonts w:ascii="Arial" w:cs="Arial" w:eastAsia="Arial" w:hAnsi="Arial"/>
          <w:sz w:val="32"/>
          <w:szCs w:val="32"/>
          <w:b w:val="1"/>
          <w:bCs w:val="1"/>
          <w:color w:val="auto"/>
          <w:vertAlign w:val="superscript"/>
        </w:rPr>
      </w:pPr>
    </w:p>
    <w:p>
      <w:pPr>
        <w:ind w:left="78"/>
        <w:spacing w:after="0"/>
        <w:rPr>
          <w:rFonts w:ascii="Arial" w:cs="Arial" w:eastAsia="Arial" w:hAnsi="Arial"/>
          <w:sz w:val="32"/>
          <w:szCs w:val="32"/>
          <w:b w:val="1"/>
          <w:bCs w:val="1"/>
          <w:color w:val="auto"/>
          <w:vertAlign w:val="superscript"/>
        </w:rPr>
      </w:pPr>
      <w:r>
        <w:rPr>
          <w:rFonts w:ascii="Arial" w:cs="Arial" w:eastAsia="Arial" w:hAnsi="Arial"/>
          <w:sz w:val="16"/>
          <w:szCs w:val="16"/>
          <w:color w:val="auto"/>
        </w:rPr>
        <w:t>Named Executive Officer</w:t>
      </w:r>
    </w:p>
    <w:p>
      <w:pPr>
        <w:spacing w:after="0" w:line="14" w:lineRule="exact"/>
        <w:rPr>
          <w:rFonts w:ascii="Arial" w:cs="Arial" w:eastAsia="Arial" w:hAnsi="Arial"/>
          <w:sz w:val="32"/>
          <w:szCs w:val="32"/>
          <w:b w:val="1"/>
          <w:bCs w:val="1"/>
          <w:color w:val="auto"/>
          <w:vertAlign w:val="superscript"/>
        </w:rPr>
      </w:pPr>
    </w:p>
    <w:p>
      <w:pPr>
        <w:ind w:left="78" w:hanging="78"/>
        <w:spacing w:after="0" w:line="213" w:lineRule="auto"/>
        <w:tabs>
          <w:tab w:leader="none" w:pos="78"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4834BA"/>
        </w:rPr>
        <w:t>CEO</w:t>
      </w:r>
    </w:p>
    <w:p>
      <w:pPr>
        <w:spacing w:after="0" w:line="1" w:lineRule="exact"/>
        <w:rPr>
          <w:rFonts w:ascii="Arial" w:cs="Arial" w:eastAsia="Arial" w:hAnsi="Arial"/>
          <w:sz w:val="32"/>
          <w:szCs w:val="32"/>
          <w:b w:val="1"/>
          <w:bCs w:val="1"/>
          <w:color w:val="auto"/>
          <w:vertAlign w:val="superscript"/>
        </w:rPr>
      </w:pPr>
    </w:p>
    <w:p>
      <w:pPr>
        <w:ind w:left="78"/>
        <w:spacing w:after="0"/>
        <w:rPr>
          <w:rFonts w:ascii="Arial" w:cs="Arial" w:eastAsia="Arial" w:hAnsi="Arial"/>
          <w:sz w:val="32"/>
          <w:szCs w:val="32"/>
          <w:b w:val="1"/>
          <w:bCs w:val="1"/>
          <w:color w:val="auto"/>
          <w:vertAlign w:val="superscript"/>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-2971800</wp:posOffset>
            </wp:positionV>
            <wp:extent cx="2280285" cy="3340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80285" cy="3340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-2303145</wp:posOffset>
            </wp:positionV>
            <wp:extent cx="2280285" cy="3340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80285" cy="3340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2280285" cy="3340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80285" cy="3340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-965835</wp:posOffset>
            </wp:positionV>
            <wp:extent cx="2280285" cy="3340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80285" cy="3340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-297180</wp:posOffset>
            </wp:positionV>
            <wp:extent cx="2280285" cy="3511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80285"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1997" w:lineRule="exact"/>
        <w:rPr>
          <w:sz w:val="20"/>
          <w:szCs w:val="20"/>
          <w:color w:val="auto"/>
        </w:rPr>
      </w:pPr>
    </w:p>
    <w:p>
      <w:pPr>
        <w:sectPr>
          <w:pgSz w:w="11900" w:h="16838" w:orient="portrait"/>
          <w:cols w:equalWidth="0" w:num="3">
            <w:col w:w="6020" w:space="442"/>
            <w:col w:w="3278" w:space="240"/>
            <w:col w:w="8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tabs>
          <w:tab w:leader="none" w:pos="8620" w:val="left"/>
        </w:tabs>
        <w:rPr>
          <w:sz w:val="20"/>
          <w:szCs w:val="20"/>
          <w:color w:val="auto"/>
        </w:rPr>
      </w:pPr>
      <w:r>
        <w:rPr>
          <w:rFonts w:ascii="Arial" w:cs="Arial" w:eastAsia="Arial" w:hAnsi="Arial"/>
          <w:sz w:val="14"/>
          <w:szCs w:val="14"/>
          <w:color w:val="auto"/>
        </w:rPr>
        <w:t>»  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6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3217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109855</wp:posOffset>
            </wp:positionV>
            <wp:extent cx="5958205" cy="2631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5820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720" w:type="dxa"/>
        <w:tblCellMar>
          <w:top w:w="0" w:type="dxa"/>
          <w:left w:w="0" w:type="dxa"/>
          <w:bottom w:w="0" w:type="dxa"/>
          <w:right w:w="0" w:type="dxa"/>
        </w:tblCellMar>
      </w:tblPr>
      <w:tr>
        <w:trPr>
          <w:trHeight w:val="223"/>
        </w:trPr>
        <w:tc>
          <w:tcPr>
            <w:tcW w:w="460" w:type="dxa"/>
            <w:vAlign w:val="bottom"/>
          </w:tcPr>
          <w:p>
            <w:pPr>
              <w:spacing w:after="0"/>
              <w:rPr>
                <w:sz w:val="20"/>
                <w:szCs w:val="20"/>
                <w:color w:val="auto"/>
              </w:rPr>
            </w:pPr>
            <w:r>
              <w:rPr>
                <w:rFonts w:ascii="Arial" w:cs="Arial" w:eastAsia="Arial" w:hAnsi="Arial"/>
                <w:sz w:val="16"/>
                <w:szCs w:val="16"/>
                <w:b w:val="1"/>
                <w:bCs w:val="1"/>
                <w:color w:val="auto"/>
              </w:rPr>
              <w:t>​</w:t>
            </w:r>
          </w:p>
        </w:tc>
        <w:tc>
          <w:tcPr>
            <w:tcW w:w="21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Founded</w:t>
            </w:r>
          </w:p>
        </w:tc>
        <w:tc>
          <w:tcPr>
            <w:tcW w:w="372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Founder, President, CEO,</w:t>
            </w:r>
          </w:p>
        </w:tc>
        <w:tc>
          <w:tcPr>
            <w:tcW w:w="258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Employees</w:t>
            </w:r>
          </w:p>
        </w:tc>
        <w:tc>
          <w:tcPr>
            <w:tcW w:w="0" w:type="dxa"/>
            <w:vAlign w:val="bottom"/>
          </w:tcPr>
          <w:p>
            <w:pPr>
              <w:spacing w:after="0"/>
              <w:rPr>
                <w:sz w:val="1"/>
                <w:szCs w:val="1"/>
                <w:color w:val="auto"/>
              </w:rPr>
            </w:pPr>
          </w:p>
        </w:tc>
      </w:tr>
      <w:tr>
        <w:trPr>
          <w:trHeight w:val="124"/>
        </w:trPr>
        <w:tc>
          <w:tcPr>
            <w:tcW w:w="46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3720" w:type="dxa"/>
            <w:vAlign w:val="bottom"/>
            <w:vMerge w:val="continue"/>
          </w:tcPr>
          <w:p>
            <w:pPr>
              <w:spacing w:after="0"/>
              <w:rPr>
                <w:sz w:val="10"/>
                <w:szCs w:val="10"/>
                <w:color w:val="auto"/>
              </w:rPr>
            </w:pPr>
          </w:p>
        </w:tc>
        <w:tc>
          <w:tcPr>
            <w:tcW w:w="2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140" w:type="dxa"/>
            <w:vAlign w:val="bottom"/>
          </w:tcPr>
          <w:p>
            <w:pPr>
              <w:ind w:left="400"/>
              <w:spacing w:after="0"/>
              <w:rPr>
                <w:sz w:val="20"/>
                <w:szCs w:val="20"/>
                <w:color w:val="auto"/>
              </w:rPr>
            </w:pPr>
            <w:r>
              <w:rPr>
                <w:rFonts w:ascii="Arial" w:cs="Arial" w:eastAsia="Arial" w:hAnsi="Arial"/>
                <w:sz w:val="16"/>
                <w:szCs w:val="16"/>
                <w:b w:val="1"/>
                <w:bCs w:val="1"/>
                <w:color w:val="4834BA"/>
              </w:rPr>
              <w:t>1997</w:t>
            </w:r>
          </w:p>
        </w:tc>
        <w:tc>
          <w:tcPr>
            <w:tcW w:w="3720" w:type="dxa"/>
            <w:vAlign w:val="bottom"/>
          </w:tcPr>
          <w:p>
            <w:pPr>
              <w:ind w:left="800"/>
              <w:spacing w:after="0"/>
              <w:rPr>
                <w:sz w:val="20"/>
                <w:szCs w:val="20"/>
                <w:color w:val="auto"/>
              </w:rPr>
            </w:pPr>
            <w:r>
              <w:rPr>
                <w:rFonts w:ascii="Arial" w:cs="Arial" w:eastAsia="Arial" w:hAnsi="Arial"/>
                <w:sz w:val="18"/>
                <w:szCs w:val="18"/>
                <w:b w:val="1"/>
                <w:bCs w:val="1"/>
                <w:color w:val="auto"/>
              </w:rPr>
              <w:t>&amp;</w:t>
            </w:r>
          </w:p>
        </w:tc>
        <w:tc>
          <w:tcPr>
            <w:tcW w:w="2580" w:type="dxa"/>
            <w:vAlign w:val="bottom"/>
          </w:tcPr>
          <w:p>
            <w:pPr>
              <w:ind w:left="880"/>
              <w:spacing w:after="0"/>
              <w:rPr>
                <w:sz w:val="20"/>
                <w:szCs w:val="20"/>
                <w:color w:val="auto"/>
              </w:rPr>
            </w:pPr>
            <w:r>
              <w:rPr>
                <w:rFonts w:ascii="Arial" w:cs="Arial" w:eastAsia="Arial" w:hAnsi="Arial"/>
                <w:sz w:val="16"/>
                <w:szCs w:val="16"/>
                <w:b w:val="1"/>
                <w:bCs w:val="1"/>
                <w:color w:val="4834BA"/>
              </w:rPr>
              <w:t>4,800 in 3 countries</w:t>
            </w:r>
          </w:p>
        </w:tc>
        <w:tc>
          <w:tcPr>
            <w:tcW w:w="0" w:type="dxa"/>
            <w:vAlign w:val="bottom"/>
          </w:tcPr>
          <w:p>
            <w:pPr>
              <w:spacing w:after="0"/>
              <w:rPr>
                <w:sz w:val="1"/>
                <w:szCs w:val="1"/>
                <w:color w:val="auto"/>
              </w:rPr>
            </w:pPr>
          </w:p>
        </w:tc>
      </w:tr>
      <w:tr>
        <w:trPr>
          <w:trHeight w:val="247"/>
        </w:trPr>
        <w:tc>
          <w:tcPr>
            <w:tcW w:w="4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720" w:type="dxa"/>
            <w:vAlign w:val="bottom"/>
          </w:tcPr>
          <w:p>
            <w:pPr>
              <w:ind w:left="800"/>
              <w:spacing w:after="0"/>
              <w:rPr>
                <w:sz w:val="20"/>
                <w:szCs w:val="20"/>
                <w:color w:val="auto"/>
              </w:rPr>
            </w:pPr>
            <w:r>
              <w:rPr>
                <w:rFonts w:ascii="Arial" w:cs="Arial" w:eastAsia="Arial" w:hAnsi="Arial"/>
                <w:sz w:val="18"/>
                <w:szCs w:val="18"/>
                <w:b w:val="1"/>
                <w:bCs w:val="1"/>
                <w:color w:val="auto"/>
              </w:rPr>
              <w:t>Chairman</w:t>
            </w:r>
          </w:p>
        </w:tc>
        <w:tc>
          <w:tcPr>
            <w:tcW w:w="2580" w:type="dxa"/>
            <w:vAlign w:val="bottom"/>
          </w:tcPr>
          <w:p>
            <w:pPr>
              <w:ind w:left="880"/>
              <w:spacing w:after="0"/>
              <w:rPr>
                <w:sz w:val="20"/>
                <w:szCs w:val="20"/>
                <w:color w:val="auto"/>
              </w:rPr>
            </w:pPr>
            <w:r>
              <w:rPr>
                <w:rFonts w:ascii="Arial" w:cs="Arial" w:eastAsia="Arial" w:hAnsi="Arial"/>
                <w:sz w:val="16"/>
                <w:szCs w:val="16"/>
                <w:b w:val="1"/>
                <w:bCs w:val="1"/>
                <w:color w:val="4834BA"/>
              </w:rPr>
              <w:t>(500+ in Texas)</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720" w:type="dxa"/>
            <w:vAlign w:val="bottom"/>
          </w:tcPr>
          <w:p>
            <w:pPr>
              <w:ind w:left="800"/>
              <w:spacing w:after="0"/>
              <w:rPr>
                <w:sz w:val="20"/>
                <w:szCs w:val="20"/>
                <w:color w:val="auto"/>
              </w:rPr>
            </w:pPr>
            <w:r>
              <w:rPr>
                <w:rFonts w:ascii="Arial" w:cs="Arial" w:eastAsia="Arial" w:hAnsi="Arial"/>
                <w:sz w:val="16"/>
                <w:szCs w:val="16"/>
                <w:b w:val="1"/>
                <w:bCs w:val="1"/>
                <w:color w:val="4834BA"/>
              </w:rPr>
              <w:t>Dr. Thompson Lin</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6"/>
                <w:szCs w:val="16"/>
                <w:b w:val="1"/>
                <w:bCs w:val="1"/>
                <w:color w:val="auto"/>
              </w:rPr>
              <w:t>​</w:t>
            </w:r>
          </w:p>
        </w:tc>
        <w:tc>
          <w:tcPr>
            <w:tcW w:w="21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Market Cap</w:t>
            </w:r>
          </w:p>
        </w:tc>
        <w:tc>
          <w:tcPr>
            <w:tcW w:w="372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Global Research</w:t>
            </w:r>
          </w:p>
        </w:tc>
        <w:tc>
          <w:tcPr>
            <w:tcW w:w="258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Publicly Traded</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4"/>
        </w:trPr>
        <w:tc>
          <w:tcPr>
            <w:tcW w:w="46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3720" w:type="dxa"/>
            <w:vAlign w:val="bottom"/>
            <w:vMerge w:val="continue"/>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140" w:type="dxa"/>
            <w:vAlign w:val="bottom"/>
          </w:tcPr>
          <w:p>
            <w:pPr>
              <w:ind w:left="400"/>
              <w:spacing w:after="0"/>
              <w:rPr>
                <w:sz w:val="20"/>
                <w:szCs w:val="20"/>
                <w:color w:val="auto"/>
              </w:rPr>
            </w:pPr>
            <w:r>
              <w:rPr>
                <w:rFonts w:ascii="Arial" w:cs="Arial" w:eastAsia="Arial" w:hAnsi="Arial"/>
                <w:sz w:val="16"/>
                <w:szCs w:val="16"/>
                <w:b w:val="1"/>
                <w:bCs w:val="1"/>
                <w:color w:val="4834BA"/>
              </w:rPr>
              <w:t>$11.7B</w:t>
            </w:r>
          </w:p>
        </w:tc>
        <w:tc>
          <w:tcPr>
            <w:tcW w:w="3720" w:type="dxa"/>
            <w:vAlign w:val="bottom"/>
          </w:tcPr>
          <w:p>
            <w:pPr>
              <w:ind w:left="800"/>
              <w:spacing w:after="0"/>
              <w:rPr>
                <w:sz w:val="20"/>
                <w:szCs w:val="20"/>
                <w:color w:val="auto"/>
              </w:rPr>
            </w:pPr>
            <w:r>
              <w:rPr>
                <w:rFonts w:ascii="Arial" w:cs="Arial" w:eastAsia="Arial" w:hAnsi="Arial"/>
                <w:sz w:val="16"/>
                <w:szCs w:val="16"/>
                <w:b w:val="1"/>
                <w:bCs w:val="1"/>
                <w:color w:val="4834BA"/>
              </w:rPr>
              <w:t>Over 300 end customers in</w:t>
            </w:r>
          </w:p>
        </w:tc>
        <w:tc>
          <w:tcPr>
            <w:tcW w:w="2580" w:type="dxa"/>
            <w:vAlign w:val="bottom"/>
          </w:tcPr>
          <w:p>
            <w:pPr>
              <w:ind w:left="880"/>
              <w:spacing w:after="0"/>
              <w:rPr>
                <w:sz w:val="20"/>
                <w:szCs w:val="20"/>
                <w:color w:val="auto"/>
              </w:rPr>
            </w:pPr>
            <w:r>
              <w:rPr>
                <w:rFonts w:ascii="Arial" w:cs="Arial" w:eastAsia="Arial" w:hAnsi="Arial"/>
                <w:sz w:val="16"/>
                <w:szCs w:val="16"/>
                <w:b w:val="1"/>
                <w:bCs w:val="1"/>
                <w:color w:val="4834BA"/>
                <w:w w:val="93"/>
              </w:rPr>
              <w:t>AOI (AAOI) is traded on</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720" w:type="dxa"/>
            <w:vAlign w:val="bottom"/>
          </w:tcPr>
          <w:p>
            <w:pPr>
              <w:ind w:left="800"/>
              <w:spacing w:after="0"/>
              <w:rPr>
                <w:sz w:val="20"/>
                <w:szCs w:val="20"/>
                <w:color w:val="auto"/>
              </w:rPr>
            </w:pPr>
            <w:r>
              <w:rPr>
                <w:rFonts w:ascii="Arial" w:cs="Arial" w:eastAsia="Arial" w:hAnsi="Arial"/>
                <w:sz w:val="16"/>
                <w:szCs w:val="16"/>
                <w:b w:val="1"/>
                <w:bCs w:val="1"/>
                <w:color w:val="4834BA"/>
              </w:rPr>
              <w:t>38 countries</w:t>
            </w:r>
          </w:p>
        </w:tc>
        <w:tc>
          <w:tcPr>
            <w:tcW w:w="2580" w:type="dxa"/>
            <w:vAlign w:val="bottom"/>
          </w:tcPr>
          <w:p>
            <w:pPr>
              <w:ind w:left="880"/>
              <w:spacing w:after="0"/>
              <w:rPr>
                <w:sz w:val="20"/>
                <w:szCs w:val="20"/>
                <w:color w:val="auto"/>
              </w:rPr>
            </w:pPr>
            <w:r>
              <w:rPr>
                <w:rFonts w:ascii="Arial" w:cs="Arial" w:eastAsia="Arial" w:hAnsi="Arial"/>
                <w:sz w:val="16"/>
                <w:szCs w:val="16"/>
                <w:b w:val="1"/>
                <w:bCs w:val="1"/>
                <w:color w:val="4834BA"/>
              </w:rPr>
              <w:t>Nasdaq Stock market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-1186180</wp:posOffset>
            </wp:positionV>
            <wp:extent cx="5974715" cy="1800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74715" cy="1800225"/>
                    </a:xfrm>
                    <a:prstGeom prst="rect">
                      <a:avLst/>
                    </a:prstGeom>
                    <a:noFill/>
                  </pic:spPr>
                </pic:pic>
              </a:graphicData>
            </a:graphic>
          </wp:anchor>
        </w:drawing>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Manufacturing Capacity</w:t>
      </w:r>
      <w:r>
        <w:rPr>
          <w:rFonts w:ascii="Arial" w:cs="Arial" w:eastAsia="Arial" w:hAnsi="Arial"/>
          <w:sz w:val="16"/>
          <w:szCs w:val="16"/>
          <w:b w:val="1"/>
          <w:bCs w:val="1"/>
          <w:color w:val="auto"/>
        </w:rPr>
        <w:t>​</w:t>
      </w:r>
    </w:p>
    <w:p>
      <w:pPr>
        <w:spacing w:after="0" w:line="54" w:lineRule="exact"/>
        <w:rPr>
          <w:sz w:val="20"/>
          <w:szCs w:val="20"/>
          <w:color w:val="auto"/>
        </w:rPr>
      </w:pPr>
    </w:p>
    <w:p>
      <w:pPr>
        <w:ind w:left="1580" w:right="3640"/>
        <w:spacing w:after="0" w:line="296" w:lineRule="auto"/>
        <w:rPr>
          <w:sz w:val="20"/>
          <w:szCs w:val="20"/>
          <w:color w:val="auto"/>
        </w:rPr>
      </w:pPr>
      <w:r>
        <w:rPr>
          <w:rFonts w:ascii="Arial" w:cs="Arial" w:eastAsia="Arial" w:hAnsi="Arial"/>
          <w:sz w:val="16"/>
          <w:szCs w:val="16"/>
          <w:b w:val="1"/>
          <w:bCs w:val="1"/>
          <w:color w:val="4834BA"/>
        </w:rPr>
        <w:t>1.2M+ semiconductor chips per month; 270K+ optical transceivers per month; 75+ amplifiers per month</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106680</wp:posOffset>
            </wp:positionV>
            <wp:extent cx="5958205" cy="2400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5820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2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4854575</wp:posOffset>
            </wp:positionH>
            <wp:positionV relativeFrom="paragraph">
              <wp:posOffset>109855</wp:posOffset>
            </wp:positionV>
            <wp:extent cx="93980" cy="3557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355727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109855</wp:posOffset>
            </wp:positionV>
            <wp:extent cx="93980" cy="3557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3557270"/>
                    </a:xfrm>
                    <a:prstGeom prst="rect">
                      <a:avLst/>
                    </a:prstGeom>
                    <a:noFill/>
                  </pic:spPr>
                </pic:pic>
              </a:graphicData>
            </a:graphic>
          </wp:anchor>
        </w:drawing>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63"/>
        </w:trPr>
        <w:tc>
          <w:tcPr>
            <w:tcW w:w="1040" w:type="dxa"/>
            <w:vAlign w:val="bottom"/>
            <w:shd w:val="clear" w:color="auto" w:fill="4834BA"/>
          </w:tcPr>
          <w:p>
            <w:pPr>
              <w:ind w:left="140"/>
              <w:spacing w:after="0"/>
              <w:rPr>
                <w:sz w:val="20"/>
                <w:szCs w:val="20"/>
                <w:color w:val="auto"/>
              </w:rPr>
            </w:pPr>
            <w:r>
              <w:rPr>
                <w:rFonts w:ascii="Arial" w:cs="Arial" w:eastAsia="Arial" w:hAnsi="Arial"/>
                <w:sz w:val="16"/>
                <w:szCs w:val="16"/>
                <w:b w:val="1"/>
                <w:bCs w:val="1"/>
                <w:color w:val="FFFFFF"/>
              </w:rPr>
              <w:t>Proposals</w:t>
            </w:r>
          </w:p>
        </w:tc>
        <w:tc>
          <w:tcPr>
            <w:tcW w:w="140" w:type="dxa"/>
            <w:vAlign w:val="bottom"/>
          </w:tcPr>
          <w:p>
            <w:pPr>
              <w:spacing w:after="0"/>
              <w:rPr>
                <w:sz w:val="22"/>
                <w:szCs w:val="22"/>
                <w:color w:val="auto"/>
              </w:rPr>
            </w:pPr>
          </w:p>
        </w:tc>
        <w:tc>
          <w:tcPr>
            <w:tcW w:w="5800" w:type="dxa"/>
            <w:vAlign w:val="bottom"/>
            <w:shd w:val="clear" w:color="auto" w:fill="4834BA"/>
          </w:tcPr>
          <w:p>
            <w:pPr>
              <w:ind w:left="100"/>
              <w:spacing w:after="0"/>
              <w:rPr>
                <w:sz w:val="20"/>
                <w:szCs w:val="20"/>
                <w:color w:val="auto"/>
              </w:rPr>
            </w:pPr>
            <w:r>
              <w:rPr>
                <w:rFonts w:ascii="Arial" w:cs="Arial" w:eastAsia="Arial" w:hAnsi="Arial"/>
                <w:sz w:val="16"/>
                <w:szCs w:val="16"/>
                <w:b w:val="1"/>
                <w:bCs w:val="1"/>
                <w:color w:val="FFFFFF"/>
              </w:rPr>
              <w:t>Items of Business</w:t>
            </w:r>
          </w:p>
        </w:tc>
      </w:tr>
      <w:tr>
        <w:trPr>
          <w:trHeight w:val="34"/>
        </w:trPr>
        <w:tc>
          <w:tcPr>
            <w:tcW w:w="1040" w:type="dxa"/>
            <w:vAlign w:val="bottom"/>
            <w:shd w:val="clear" w:color="auto" w:fill="4834BA"/>
          </w:tcPr>
          <w:p>
            <w:pPr>
              <w:spacing w:after="0"/>
              <w:rPr>
                <w:sz w:val="3"/>
                <w:szCs w:val="3"/>
                <w:color w:val="auto"/>
              </w:rPr>
            </w:pPr>
          </w:p>
        </w:tc>
        <w:tc>
          <w:tcPr>
            <w:tcW w:w="140" w:type="dxa"/>
            <w:vAlign w:val="bottom"/>
          </w:tcPr>
          <w:p>
            <w:pPr>
              <w:spacing w:after="0"/>
              <w:rPr>
                <w:sz w:val="3"/>
                <w:szCs w:val="3"/>
                <w:color w:val="auto"/>
              </w:rPr>
            </w:pPr>
          </w:p>
        </w:tc>
        <w:tc>
          <w:tcPr>
            <w:tcW w:w="5800" w:type="dxa"/>
            <w:vAlign w:val="bottom"/>
            <w:shd w:val="clear" w:color="auto" w:fill="4834BA"/>
          </w:tcPr>
          <w:p>
            <w:pPr>
              <w:spacing w:after="0"/>
              <w:rPr>
                <w:sz w:val="3"/>
                <w:szCs w:val="3"/>
                <w:color w:val="auto"/>
              </w:rPr>
            </w:pPr>
          </w:p>
        </w:tc>
      </w:tr>
    </w:tbl>
    <w:p>
      <w:pPr>
        <w:spacing w:after="0" w:line="94" w:lineRule="exact"/>
        <w:rPr>
          <w:sz w:val="20"/>
          <w:szCs w:val="20"/>
          <w:color w:val="auto"/>
        </w:rPr>
      </w:pPr>
    </w:p>
    <w:p>
      <w:pPr>
        <w:ind w:left="1940" w:right="160"/>
        <w:spacing w:after="0" w:line="275" w:lineRule="auto"/>
        <w:rPr>
          <w:sz w:val="20"/>
          <w:szCs w:val="20"/>
          <w:color w:val="auto"/>
        </w:rPr>
      </w:pPr>
      <w:r>
        <w:rPr>
          <w:rFonts w:ascii="Arial" w:cs="Arial" w:eastAsia="Arial" w:hAnsi="Arial"/>
          <w:sz w:val="16"/>
          <w:szCs w:val="16"/>
          <w:color w:val="auto"/>
        </w:rPr>
        <w:t xml:space="preserve">To elect the two Class I directors named in the Proxy Statement to serve for three-year terms until the 2029 annual meeting of stockholders and hold office until their respective successors are elected and qualified, which we refer to as Proposal No. 1. </w:t>
      </w:r>
      <w:r>
        <w:rPr>
          <w:rFonts w:ascii="Arial" w:cs="Arial" w:eastAsia="Arial" w:hAnsi="Arial"/>
          <w:sz w:val="16"/>
          <w:szCs w:val="16"/>
          <w:b w:val="1"/>
          <w:bCs w:val="1"/>
          <w:color w:val="4834BA"/>
        </w:rPr>
        <w:t>Page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4834BA"/>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-525780</wp:posOffset>
            </wp:positionV>
            <wp:extent cx="282575" cy="283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82" w:lineRule="exact"/>
        <w:rPr>
          <w:sz w:val="20"/>
          <w:szCs w:val="20"/>
          <w:color w:val="auto"/>
        </w:rPr>
      </w:pPr>
    </w:p>
    <w:p>
      <w:pPr>
        <w:jc w:val="both"/>
        <w:ind w:left="1940" w:right="160"/>
        <w:spacing w:after="0" w:line="280" w:lineRule="auto"/>
        <w:rPr>
          <w:sz w:val="20"/>
          <w:szCs w:val="20"/>
          <w:color w:val="auto"/>
        </w:rPr>
      </w:pPr>
      <w:r>
        <w:rPr>
          <w:rFonts w:ascii="Arial" w:cs="Arial" w:eastAsia="Arial" w:hAnsi="Arial"/>
          <w:sz w:val="16"/>
          <w:szCs w:val="16"/>
          <w:color w:val="auto"/>
        </w:rPr>
        <w:t xml:space="preserve">To ratify the appointment of Grant Thornton LLP as our independent registered public accounting firm for the fiscal year ending December 31, 2026, which we refer to as Proposal No. 2. </w:t>
      </w:r>
      <w:r>
        <w:rPr>
          <w:rFonts w:ascii="Arial" w:cs="Arial" w:eastAsia="Arial" w:hAnsi="Arial"/>
          <w:sz w:val="16"/>
          <w:szCs w:val="16"/>
          <w:b w:val="1"/>
          <w:bCs w:val="1"/>
          <w:color w:val="4834BA"/>
        </w:rPr>
        <w:t>Page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4834BA"/>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-399415</wp:posOffset>
            </wp:positionV>
            <wp:extent cx="282575" cy="283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92" w:lineRule="exact"/>
        <w:rPr>
          <w:sz w:val="20"/>
          <w:szCs w:val="20"/>
          <w:color w:val="auto"/>
        </w:rPr>
      </w:pPr>
    </w:p>
    <w:p>
      <w:pPr>
        <w:ind w:left="1940" w:right="180"/>
        <w:spacing w:after="0" w:line="332" w:lineRule="auto"/>
        <w:rPr>
          <w:sz w:val="20"/>
          <w:szCs w:val="20"/>
          <w:color w:val="auto"/>
        </w:rPr>
      </w:pPr>
      <w:r>
        <w:rPr>
          <w:rFonts w:ascii="Arial" w:cs="Arial" w:eastAsia="Arial" w:hAnsi="Arial"/>
          <w:sz w:val="15"/>
          <w:szCs w:val="15"/>
          <w:color w:val="auto"/>
        </w:rPr>
        <w:t xml:space="preserve">To approve, on an advisory basis, the compensation of our named executive officers, which we refer to as Proposal No. 3 or the “say-on-pay” vote. </w:t>
      </w:r>
      <w:r>
        <w:rPr>
          <w:rFonts w:ascii="Arial" w:cs="Arial" w:eastAsia="Arial" w:hAnsi="Arial"/>
          <w:sz w:val="15"/>
          <w:szCs w:val="15"/>
          <w:b w:val="1"/>
          <w:bCs w:val="1"/>
          <w:color w:val="4834BA"/>
        </w:rPr>
        <w:t>Page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4834BA"/>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-293370</wp:posOffset>
            </wp:positionV>
            <wp:extent cx="282575" cy="283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151" w:lineRule="exact"/>
        <w:rPr>
          <w:sz w:val="20"/>
          <w:szCs w:val="20"/>
          <w:color w:val="auto"/>
        </w:rPr>
      </w:pPr>
    </w:p>
    <w:p>
      <w:pPr>
        <w:ind w:left="1940" w:right="120"/>
        <w:spacing w:after="0" w:line="275" w:lineRule="auto"/>
        <w:rPr>
          <w:sz w:val="20"/>
          <w:szCs w:val="20"/>
          <w:color w:val="auto"/>
        </w:rPr>
      </w:pPr>
      <w:r>
        <w:rPr>
          <w:rFonts w:ascii="Arial" w:cs="Arial" w:eastAsia="Arial" w:hAnsi="Arial"/>
          <w:sz w:val="16"/>
          <w:szCs w:val="16"/>
          <w:color w:val="auto"/>
        </w:rPr>
        <w:t xml:space="preserve">To approve the amendment of our Amended and Restated Certificate of Incorporation, as amended (the “Certificate of Incorporation”), to clarify the voting standard that applies to certain future amendments, which we refer to as Proposal No. 4. </w:t>
      </w:r>
      <w:r>
        <w:rPr>
          <w:rFonts w:ascii="Arial" w:cs="Arial" w:eastAsia="Arial" w:hAnsi="Arial"/>
          <w:sz w:val="16"/>
          <w:szCs w:val="16"/>
          <w:b w:val="1"/>
          <w:bCs w:val="1"/>
          <w:color w:val="4834BA"/>
        </w:rPr>
        <w:t>Page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4834BA"/>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-525780</wp:posOffset>
            </wp:positionV>
            <wp:extent cx="282575" cy="282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9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To approve the 2026 equity incentive plan, which we refer to as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-107315</wp:posOffset>
            </wp:positionV>
            <wp:extent cx="282575" cy="283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4834BA"/>
        </w:rPr>
        <w:t xml:space="preserve">Page </w:t>
      </w:r>
      <w:r>
        <w:rPr>
          <w:rFonts w:ascii="Arial" w:cs="Arial" w:eastAsia="Arial" w:hAnsi="Arial"/>
          <w:sz w:val="16"/>
          <w:szCs w:val="16"/>
          <w:b w:val="1"/>
          <w:bCs w:val="1"/>
          <w:u w:val="single" w:color="auto"/>
          <w:color w:val="4834BA"/>
        </w:rPr>
        <w:t>53</w:t>
      </w:r>
    </w:p>
    <w:p>
      <w:pPr>
        <w:spacing w:after="0" w:line="259" w:lineRule="exact"/>
        <w:rPr>
          <w:sz w:val="20"/>
          <w:szCs w:val="20"/>
          <w:color w:val="auto"/>
        </w:rPr>
      </w:pPr>
    </w:p>
    <w:p>
      <w:pPr>
        <w:ind w:left="1940" w:right="40"/>
        <w:spacing w:after="0" w:line="296" w:lineRule="auto"/>
        <w:rPr>
          <w:sz w:val="20"/>
          <w:szCs w:val="20"/>
          <w:color w:val="auto"/>
        </w:rPr>
      </w:pPr>
      <w:r>
        <w:rPr>
          <w:rFonts w:ascii="Arial" w:cs="Arial" w:eastAsia="Arial" w:hAnsi="Arial"/>
          <w:sz w:val="16"/>
          <w:szCs w:val="16"/>
          <w:color w:val="auto"/>
        </w:rPr>
        <w:t xml:space="preserve">To adjourn the Annual Meeting to a later date, if necessary or appropriate, which we refer to as Proposal No. 6. </w:t>
      </w:r>
      <w:r>
        <w:rPr>
          <w:rFonts w:ascii="Arial" w:cs="Arial" w:eastAsia="Arial" w:hAnsi="Arial"/>
          <w:sz w:val="16"/>
          <w:szCs w:val="16"/>
          <w:b w:val="1"/>
          <w:bCs w:val="1"/>
          <w:color w:val="4834BA"/>
        </w:rPr>
        <w:t>Page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4834BA"/>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-278765</wp:posOffset>
            </wp:positionV>
            <wp:extent cx="282575" cy="282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174" w:lineRule="exact"/>
        <w:rPr>
          <w:sz w:val="20"/>
          <w:szCs w:val="20"/>
          <w:color w:val="auto"/>
        </w:rPr>
      </w:pPr>
    </w:p>
    <w:p>
      <w:pPr>
        <w:ind w:left="1940" w:right="280"/>
        <w:spacing w:after="0" w:line="286" w:lineRule="auto"/>
        <w:rPr>
          <w:sz w:val="20"/>
          <w:szCs w:val="20"/>
          <w:color w:val="auto"/>
        </w:rPr>
      </w:pPr>
      <w:r>
        <w:rPr>
          <w:rFonts w:ascii="Arial" w:cs="Arial" w:eastAsia="Arial" w:hAnsi="Arial"/>
          <w:sz w:val="16"/>
          <w:szCs w:val="16"/>
          <w:color w:val="auto"/>
        </w:rPr>
        <w:t>To transact such other business as may properly come before the meeting or any adjournment or postponement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-268605</wp:posOffset>
            </wp:positionV>
            <wp:extent cx="282575" cy="282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4213860</wp:posOffset>
            </wp:positionV>
            <wp:extent cx="33401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-141605</wp:posOffset>
            </wp:positionV>
            <wp:extent cx="14401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40180" cy="188595"/>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-107315</wp:posOffset>
            </wp:positionV>
            <wp:extent cx="240030"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310515</wp:posOffset>
            </wp:positionV>
            <wp:extent cx="240030" cy="240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286385</wp:posOffset>
            </wp:positionV>
            <wp:extent cx="24003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346710</wp:posOffset>
            </wp:positionV>
            <wp:extent cx="240030" cy="2400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346710</wp:posOffset>
            </wp:positionV>
            <wp:extent cx="24003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252095</wp:posOffset>
            </wp:positionV>
            <wp:extent cx="240030"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color w:val="7F7F7F"/>
        </w:rPr>
        <w:t>2026 Proxy Statement</w:t>
      </w:r>
    </w:p>
    <w:p>
      <w:pPr>
        <w:sectPr>
          <w:pgSz w:w="11900" w:h="16838" w:orient="portrait"/>
          <w:cols w:equalWidth="0" w:num="2">
            <w:col w:w="7640" w:space="320"/>
            <w:col w:w="2080"/>
          </w:cols>
          <w:pgMar w:left="580" w:top="97" w:right="127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Directors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67310</wp:posOffset>
            </wp:positionV>
            <wp:extent cx="3960495" cy="46634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60495" cy="4663440"/>
                    </a:xfrm>
                    <a:prstGeom prst="rect">
                      <a:avLst/>
                    </a:prstGeom>
                    <a:noFill/>
                  </pic:spPr>
                </pic:pic>
              </a:graphicData>
            </a:graphic>
          </wp:anchor>
        </w:drawing>
      </w:r>
    </w:p>
    <w:p>
      <w:pPr>
        <w:spacing w:after="0" w:line="86" w:lineRule="exact"/>
        <w:rPr>
          <w:sz w:val="20"/>
          <w:szCs w:val="20"/>
          <w:color w:val="auto"/>
        </w:rPr>
      </w:pPr>
    </w:p>
    <w:tbl>
      <w:tblPr>
        <w:tblLayout w:type="fixed"/>
        <w:tblInd w:w="660" w:type="dxa"/>
        <w:tblCellMar>
          <w:top w:w="0" w:type="dxa"/>
          <w:left w:w="0" w:type="dxa"/>
          <w:bottom w:w="0" w:type="dxa"/>
          <w:right w:w="0" w:type="dxa"/>
        </w:tblCellMar>
      </w:tblPr>
      <w:tr>
        <w:trPr>
          <w:trHeight w:val="276"/>
        </w:trPr>
        <w:tc>
          <w:tcPr>
            <w:tcW w:w="2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70" w:type="dxa"/>
            <w:vAlign w:val="bottom"/>
          </w:tcPr>
          <w:p>
            <w:pPr>
              <w:ind w:left="440"/>
              <w:spacing w:after="0"/>
              <w:rPr>
                <w:sz w:val="20"/>
                <w:szCs w:val="20"/>
                <w:color w:val="auto"/>
              </w:rPr>
            </w:pPr>
            <w:r>
              <w:rPr>
                <w:rFonts w:ascii="Arial" w:cs="Arial" w:eastAsia="Arial" w:hAnsi="Arial"/>
                <w:sz w:val="16"/>
                <w:szCs w:val="16"/>
                <w:b w:val="1"/>
                <w:bCs w:val="1"/>
                <w:color w:val="auto"/>
                <w:w w:val="95"/>
              </w:rPr>
              <w:t>COMMITTEES</w:t>
            </w:r>
          </w:p>
        </w:tc>
        <w:tc>
          <w:tcPr>
            <w:tcW w:w="21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70" w:type="dxa"/>
            <w:vAlign w:val="bottom"/>
            <w:tcBorders>
              <w:bottom w:val="single" w:sz="8" w:color="auto"/>
            </w:tcBorders>
          </w:tcPr>
          <w:p>
            <w:pPr>
              <w:spacing w:after="0" w:line="20" w:lineRule="exact"/>
              <w:rPr>
                <w:sz w:val="1"/>
                <w:szCs w:val="1"/>
                <w:color w:val="auto"/>
              </w:rPr>
            </w:pPr>
          </w:p>
        </w:tc>
        <w:tc>
          <w:tcPr>
            <w:tcW w:w="21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3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Name</w:t>
            </w:r>
          </w:p>
        </w:tc>
        <w:tc>
          <w:tcPr>
            <w:tcW w:w="820" w:type="dxa"/>
            <w:vAlign w:val="bottom"/>
          </w:tcPr>
          <w:p>
            <w:pPr>
              <w:spacing w:after="0"/>
              <w:rPr>
                <w:sz w:val="20"/>
                <w:szCs w:val="20"/>
                <w:color w:val="auto"/>
              </w:rPr>
            </w:pPr>
          </w:p>
        </w:tc>
        <w:tc>
          <w:tcPr>
            <w:tcW w:w="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Age</w:t>
            </w:r>
          </w:p>
        </w:tc>
        <w:tc>
          <w:tcPr>
            <w:tcW w:w="180" w:type="dxa"/>
            <w:vAlign w:val="bottom"/>
          </w:tcPr>
          <w:p>
            <w:pPr>
              <w:spacing w:after="0"/>
              <w:rPr>
                <w:sz w:val="20"/>
                <w:szCs w:val="20"/>
                <w:color w:val="auto"/>
              </w:rPr>
            </w:pPr>
          </w:p>
        </w:tc>
        <w:tc>
          <w:tcPr>
            <w:tcW w:w="74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Director</w:t>
            </w:r>
          </w:p>
        </w:tc>
        <w:tc>
          <w:tcPr>
            <w:tcW w:w="260" w:type="dxa"/>
            <w:vAlign w:val="bottom"/>
          </w:tcPr>
          <w:p>
            <w:pPr>
              <w:spacing w:after="0"/>
              <w:rPr>
                <w:sz w:val="20"/>
                <w:szCs w:val="2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Audit</w:t>
            </w:r>
          </w:p>
        </w:tc>
        <w:tc>
          <w:tcPr>
            <w:tcW w:w="420" w:type="dxa"/>
            <w:vAlign w:val="bottom"/>
          </w:tcPr>
          <w:p>
            <w:pPr>
              <w:spacing w:after="0"/>
              <w:rPr>
                <w:sz w:val="20"/>
                <w:szCs w:val="20"/>
                <w:color w:val="auto"/>
              </w:rPr>
            </w:pPr>
          </w:p>
        </w:tc>
        <w:tc>
          <w:tcPr>
            <w:tcW w:w="1470" w:type="dxa"/>
            <w:vAlign w:val="bottom"/>
            <w:vMerge w:val="restart"/>
          </w:tcPr>
          <w:p>
            <w:pPr>
              <w:jc w:val="center"/>
              <w:ind w:right="69"/>
              <w:spacing w:after="0"/>
              <w:rPr>
                <w:sz w:val="20"/>
                <w:szCs w:val="20"/>
                <w:color w:val="auto"/>
              </w:rPr>
            </w:pPr>
            <w:r>
              <w:rPr>
                <w:rFonts w:ascii="Arial" w:cs="Arial" w:eastAsia="Arial" w:hAnsi="Arial"/>
                <w:sz w:val="16"/>
                <w:szCs w:val="16"/>
                <w:b w:val="1"/>
                <w:bCs w:val="1"/>
                <w:color w:val="auto"/>
                <w:w w:val="97"/>
              </w:rPr>
              <w:t>Compensation</w:t>
            </w:r>
          </w:p>
        </w:tc>
        <w:tc>
          <w:tcPr>
            <w:tcW w:w="21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Arial" w:cs="Arial" w:eastAsia="Arial" w:hAnsi="Arial"/>
                <w:sz w:val="16"/>
                <w:szCs w:val="16"/>
                <w:b w:val="1"/>
                <w:bCs w:val="1"/>
                <w:color w:val="auto"/>
              </w:rPr>
              <w:t>Nominating and</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Since</w:t>
            </w: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w:t>
            </w:r>
          </w:p>
        </w:tc>
        <w:tc>
          <w:tcPr>
            <w:tcW w:w="1470" w:type="dxa"/>
            <w:vAlign w:val="bottom"/>
            <w:tcBorders>
              <w:bottom w:val="single" w:sz="8" w:color="auto"/>
            </w:tcBorders>
            <w:vMerge w:val="continue"/>
          </w:tcPr>
          <w:p>
            <w:pPr>
              <w:spacing w:after="0"/>
              <w:rPr>
                <w:sz w:val="20"/>
                <w:szCs w:val="20"/>
                <w:color w:val="auto"/>
              </w:rPr>
            </w:pPr>
          </w:p>
        </w:tc>
        <w:tc>
          <w:tcPr>
            <w:tcW w:w="1890" w:type="dxa"/>
            <w:vAlign w:val="bottom"/>
            <w:tcBorders>
              <w:bottom w:val="single" w:sz="8" w:color="auto"/>
            </w:tcBorders>
            <w:gridSpan w:val="4"/>
          </w:tcPr>
          <w:p>
            <w:pPr>
              <w:ind w:left="10"/>
              <w:spacing w:after="0"/>
              <w:rPr>
                <w:sz w:val="20"/>
                <w:szCs w:val="20"/>
                <w:color w:val="auto"/>
              </w:rPr>
            </w:pPr>
            <w:r>
              <w:rPr>
                <w:rFonts w:ascii="Arial" w:cs="Arial" w:eastAsia="Arial" w:hAnsi="Arial"/>
                <w:sz w:val="16"/>
                <w:szCs w:val="16"/>
                <w:b w:val="1"/>
                <w:bCs w:val="1"/>
                <w:color w:val="auto"/>
              </w:rPr>
              <w:t>​​Corporate Governance ​</w:t>
            </w:r>
          </w:p>
        </w:tc>
        <w:tc>
          <w:tcPr>
            <w:tcW w:w="0" w:type="dxa"/>
            <w:vAlign w:val="bottom"/>
          </w:tcPr>
          <w:p>
            <w:pPr>
              <w:spacing w:after="0"/>
              <w:rPr>
                <w:sz w:val="1"/>
                <w:szCs w:val="1"/>
                <w:color w:val="auto"/>
              </w:rPr>
            </w:pPr>
          </w:p>
        </w:tc>
      </w:tr>
      <w:tr>
        <w:trPr>
          <w:trHeight w:val="300"/>
        </w:trPr>
        <w:tc>
          <w:tcPr>
            <w:tcW w:w="2340" w:type="dxa"/>
            <w:vAlign w:val="bottom"/>
            <w:tcBorders>
              <w:bottom w:val="single" w:sz="8" w:color="auto"/>
            </w:tcBorders>
            <w:shd w:val="clear" w:color="auto" w:fill="4834BA"/>
          </w:tcPr>
          <w:p>
            <w:pPr>
              <w:ind w:left="80"/>
              <w:spacing w:after="0"/>
              <w:rPr>
                <w:sz w:val="20"/>
                <w:szCs w:val="20"/>
                <w:color w:val="auto"/>
              </w:rPr>
            </w:pPr>
            <w:r>
              <w:rPr>
                <w:rFonts w:ascii="Arial" w:cs="Arial" w:eastAsia="Arial" w:hAnsi="Arial"/>
                <w:sz w:val="16"/>
                <w:szCs w:val="16"/>
                <w:b w:val="1"/>
                <w:bCs w:val="1"/>
                <w:color w:val="FEFEFE"/>
              </w:rPr>
              <w:t>Class I Directors</w:t>
            </w:r>
          </w:p>
        </w:tc>
        <w:tc>
          <w:tcPr>
            <w:tcW w:w="820" w:type="dxa"/>
            <w:vAlign w:val="bottom"/>
            <w:tcBorders>
              <w:bottom w:val="single" w:sz="8" w:color="auto"/>
            </w:tcBorders>
            <w:shd w:val="clear" w:color="auto" w:fill="4834BA"/>
          </w:tcPr>
          <w:p>
            <w:pPr>
              <w:spacing w:after="0"/>
              <w:rPr>
                <w:sz w:val="24"/>
                <w:szCs w:val="24"/>
                <w:color w:val="auto"/>
              </w:rPr>
            </w:pPr>
          </w:p>
        </w:tc>
        <w:tc>
          <w:tcPr>
            <w:tcW w:w="140" w:type="dxa"/>
            <w:vAlign w:val="bottom"/>
            <w:tcBorders>
              <w:bottom w:val="single" w:sz="8" w:color="auto"/>
            </w:tcBorders>
            <w:shd w:val="clear" w:color="auto" w:fill="4834BA"/>
          </w:tcPr>
          <w:p>
            <w:pPr>
              <w:spacing w:after="0"/>
              <w:rPr>
                <w:sz w:val="24"/>
                <w:szCs w:val="24"/>
                <w:color w:val="auto"/>
              </w:rPr>
            </w:pPr>
          </w:p>
        </w:tc>
        <w:tc>
          <w:tcPr>
            <w:tcW w:w="360" w:type="dxa"/>
            <w:vAlign w:val="bottom"/>
            <w:tcBorders>
              <w:bottom w:val="single" w:sz="8" w:color="auto"/>
            </w:tcBorders>
            <w:shd w:val="clear" w:color="auto" w:fill="4834BA"/>
          </w:tcPr>
          <w:p>
            <w:pPr>
              <w:spacing w:after="0"/>
              <w:rPr>
                <w:sz w:val="24"/>
                <w:szCs w:val="24"/>
                <w:color w:val="auto"/>
              </w:rPr>
            </w:pPr>
          </w:p>
        </w:tc>
        <w:tc>
          <w:tcPr>
            <w:tcW w:w="180" w:type="dxa"/>
            <w:vAlign w:val="bottom"/>
            <w:tcBorders>
              <w:bottom w:val="single" w:sz="8" w:color="auto"/>
            </w:tcBorders>
            <w:shd w:val="clear" w:color="auto" w:fill="4834BA"/>
          </w:tcPr>
          <w:p>
            <w:pPr>
              <w:spacing w:after="0"/>
              <w:rPr>
                <w:sz w:val="24"/>
                <w:szCs w:val="24"/>
                <w:color w:val="auto"/>
              </w:rPr>
            </w:pPr>
          </w:p>
        </w:tc>
        <w:tc>
          <w:tcPr>
            <w:tcW w:w="740" w:type="dxa"/>
            <w:vAlign w:val="bottom"/>
            <w:tcBorders>
              <w:bottom w:val="single" w:sz="8" w:color="auto"/>
            </w:tcBorders>
            <w:shd w:val="clear" w:color="auto" w:fill="4834BA"/>
          </w:tcPr>
          <w:p>
            <w:pPr>
              <w:spacing w:after="0"/>
              <w:rPr>
                <w:sz w:val="24"/>
                <w:szCs w:val="24"/>
                <w:color w:val="auto"/>
              </w:rPr>
            </w:pPr>
          </w:p>
        </w:tc>
        <w:tc>
          <w:tcPr>
            <w:tcW w:w="260" w:type="dxa"/>
            <w:vAlign w:val="bottom"/>
            <w:tcBorders>
              <w:bottom w:val="single" w:sz="8" w:color="auto"/>
            </w:tcBorders>
            <w:shd w:val="clear" w:color="auto" w:fill="4834BA"/>
          </w:tcPr>
          <w:p>
            <w:pPr>
              <w:spacing w:after="0"/>
              <w:rPr>
                <w:sz w:val="24"/>
                <w:szCs w:val="24"/>
                <w:color w:val="auto"/>
              </w:rPr>
            </w:pPr>
          </w:p>
        </w:tc>
        <w:tc>
          <w:tcPr>
            <w:tcW w:w="780" w:type="dxa"/>
            <w:vAlign w:val="bottom"/>
            <w:tcBorders>
              <w:bottom w:val="single" w:sz="8" w:color="auto"/>
            </w:tcBorders>
            <w:shd w:val="clear" w:color="auto" w:fill="4834BA"/>
          </w:tcPr>
          <w:p>
            <w:pPr>
              <w:spacing w:after="0"/>
              <w:rPr>
                <w:sz w:val="24"/>
                <w:szCs w:val="24"/>
                <w:color w:val="auto"/>
              </w:rPr>
            </w:pPr>
          </w:p>
        </w:tc>
        <w:tc>
          <w:tcPr>
            <w:tcW w:w="420" w:type="dxa"/>
            <w:vAlign w:val="bottom"/>
            <w:tcBorders>
              <w:bottom w:val="single" w:sz="8" w:color="auto"/>
            </w:tcBorders>
            <w:shd w:val="clear" w:color="auto" w:fill="4834BA"/>
          </w:tcPr>
          <w:p>
            <w:pPr>
              <w:spacing w:after="0"/>
              <w:rPr>
                <w:sz w:val="24"/>
                <w:szCs w:val="24"/>
                <w:color w:val="auto"/>
              </w:rPr>
            </w:pPr>
          </w:p>
        </w:tc>
        <w:tc>
          <w:tcPr>
            <w:tcW w:w="1470" w:type="dxa"/>
            <w:vAlign w:val="bottom"/>
            <w:tcBorders>
              <w:bottom w:val="single" w:sz="8" w:color="auto"/>
            </w:tcBorders>
            <w:shd w:val="clear" w:color="auto" w:fill="4834BA"/>
          </w:tcPr>
          <w:p>
            <w:pPr>
              <w:spacing w:after="0"/>
              <w:rPr>
                <w:sz w:val="24"/>
                <w:szCs w:val="24"/>
                <w:color w:val="auto"/>
              </w:rPr>
            </w:pPr>
          </w:p>
        </w:tc>
        <w:tc>
          <w:tcPr>
            <w:tcW w:w="210" w:type="dxa"/>
            <w:vAlign w:val="bottom"/>
            <w:tcBorders>
              <w:bottom w:val="single" w:sz="8" w:color="auto"/>
            </w:tcBorders>
            <w:shd w:val="clear" w:color="auto" w:fill="4834BA"/>
          </w:tcPr>
          <w:p>
            <w:pPr>
              <w:spacing w:after="0"/>
              <w:rPr>
                <w:sz w:val="24"/>
                <w:szCs w:val="24"/>
                <w:color w:val="auto"/>
              </w:rPr>
            </w:pPr>
          </w:p>
        </w:tc>
        <w:tc>
          <w:tcPr>
            <w:tcW w:w="1460" w:type="dxa"/>
            <w:vAlign w:val="bottom"/>
            <w:tcBorders>
              <w:bottom w:val="single" w:sz="8" w:color="auto"/>
            </w:tcBorders>
            <w:shd w:val="clear" w:color="auto" w:fill="4834BA"/>
          </w:tcPr>
          <w:p>
            <w:pPr>
              <w:spacing w:after="0"/>
              <w:rPr>
                <w:sz w:val="24"/>
                <w:szCs w:val="24"/>
                <w:color w:val="auto"/>
              </w:rPr>
            </w:pPr>
          </w:p>
        </w:tc>
        <w:tc>
          <w:tcPr>
            <w:tcW w:w="200" w:type="dxa"/>
            <w:vAlign w:val="bottom"/>
            <w:tcBorders>
              <w:bottom w:val="single" w:sz="8" w:color="auto"/>
            </w:tcBorders>
            <w:shd w:val="clear" w:color="auto" w:fill="4834BA"/>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340" w:type="dxa"/>
            <w:vAlign w:val="bottom"/>
          </w:tcPr>
          <w:p>
            <w:pPr>
              <w:ind w:left="6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Che-Wei Lin</w:t>
            </w:r>
          </w:p>
        </w:tc>
        <w:tc>
          <w:tcPr>
            <w:tcW w:w="8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center"/>
              <w:spacing w:after="0"/>
              <w:rPr>
                <w:sz w:val="20"/>
                <w:szCs w:val="20"/>
                <w:color w:val="auto"/>
              </w:rPr>
            </w:pPr>
            <w:r>
              <w:rPr>
                <w:rFonts w:ascii="Arial" w:cs="Arial" w:eastAsia="Arial" w:hAnsi="Arial"/>
                <w:sz w:val="16"/>
                <w:szCs w:val="16"/>
                <w:color w:val="auto"/>
              </w:rPr>
              <w:t>​</w:t>
            </w:r>
          </w:p>
        </w:tc>
        <w:tc>
          <w:tcPr>
            <w:tcW w:w="420" w:type="dxa"/>
            <w:vAlign w:val="bottom"/>
          </w:tcPr>
          <w:p>
            <w:pPr>
              <w:ind w:left="240"/>
              <w:spacing w:after="0"/>
              <w:rPr>
                <w:sz w:val="20"/>
                <w:szCs w:val="20"/>
                <w:color w:val="auto"/>
              </w:rPr>
            </w:pPr>
            <w:r>
              <w:rPr>
                <w:rFonts w:ascii="Arial" w:cs="Arial" w:eastAsia="Arial" w:hAnsi="Arial"/>
                <w:sz w:val="16"/>
                <w:szCs w:val="16"/>
                <w:color w:val="auto"/>
              </w:rPr>
              <w:t>​​</w:t>
            </w:r>
          </w:p>
        </w:tc>
        <w:tc>
          <w:tcPr>
            <w:tcW w:w="1470" w:type="dxa"/>
            <w:vAlign w:val="bottom"/>
          </w:tcPr>
          <w:p>
            <w:pPr>
              <w:spacing w:after="0"/>
              <w:rPr>
                <w:sz w:val="24"/>
                <w:szCs w:val="24"/>
                <w:color w:val="auto"/>
              </w:rPr>
            </w:pPr>
          </w:p>
        </w:tc>
        <w:tc>
          <w:tcPr>
            <w:tcW w:w="210" w:type="dxa"/>
            <w:vAlign w:val="bottom"/>
          </w:tcPr>
          <w:p>
            <w:pPr>
              <w:ind w:left="10"/>
              <w:spacing w:after="0"/>
              <w:rPr>
                <w:sz w:val="20"/>
                <w:szCs w:val="20"/>
                <w:color w:val="auto"/>
              </w:rPr>
            </w:pPr>
            <w:r>
              <w:rPr>
                <w:rFonts w:ascii="Arial" w:cs="Arial" w:eastAsia="Arial" w:hAnsi="Arial"/>
                <w:sz w:val="16"/>
                <w:szCs w:val="16"/>
                <w:color w:val="auto"/>
              </w:rPr>
              <w:t>​​</w:t>
            </w:r>
          </w:p>
        </w:tc>
        <w:tc>
          <w:tcPr>
            <w:tcW w:w="146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40" w:type="dxa"/>
            <w:vAlign w:val="bottom"/>
          </w:tcPr>
          <w:p>
            <w:pPr>
              <w:ind w:left="740"/>
              <w:spacing w:after="0"/>
              <w:rPr>
                <w:sz w:val="20"/>
                <w:szCs w:val="20"/>
                <w:color w:val="auto"/>
              </w:rPr>
            </w:pPr>
            <w:r>
              <w:rPr>
                <w:rFonts w:ascii="Arial" w:cs="Arial" w:eastAsia="Arial" w:hAnsi="Arial"/>
                <w:sz w:val="16"/>
                <w:szCs w:val="16"/>
                <w:color w:val="auto"/>
              </w:rPr>
              <w:t>Independent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7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70" w:type="dxa"/>
            <w:vAlign w:val="bottom"/>
            <w:tcBorders>
              <w:bottom w:val="single" w:sz="8" w:color="auto"/>
            </w:tcBorders>
          </w:tcPr>
          <w:p>
            <w:pPr>
              <w:spacing w:after="0"/>
              <w:rPr>
                <w:sz w:val="13"/>
                <w:szCs w:val="13"/>
                <w:color w:val="auto"/>
              </w:rPr>
            </w:pPr>
          </w:p>
        </w:tc>
        <w:tc>
          <w:tcPr>
            <w:tcW w:w="21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2340" w:type="dxa"/>
            <w:vAlign w:val="bottom"/>
          </w:tcPr>
          <w:p>
            <w:pPr>
              <w:ind w:left="6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Elizabeth Loboa</w:t>
            </w:r>
          </w:p>
        </w:tc>
        <w:tc>
          <w:tcPr>
            <w:tcW w:w="8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2020</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center"/>
              <w:spacing w:after="0"/>
              <w:rPr>
                <w:sz w:val="20"/>
                <w:szCs w:val="20"/>
                <w:color w:val="auto"/>
              </w:rPr>
            </w:pPr>
            <w:r>
              <w:rPr>
                <w:rFonts w:ascii="Arial" w:cs="Arial" w:eastAsia="Arial" w:hAnsi="Arial"/>
                <w:sz w:val="16"/>
                <w:szCs w:val="16"/>
                <w:color w:val="auto"/>
              </w:rPr>
              <w:t>​</w:t>
            </w:r>
          </w:p>
        </w:tc>
        <w:tc>
          <w:tcPr>
            <w:tcW w:w="420" w:type="dxa"/>
            <w:vAlign w:val="bottom"/>
          </w:tcPr>
          <w:p>
            <w:pPr>
              <w:ind w:left="240"/>
              <w:spacing w:after="0"/>
              <w:rPr>
                <w:sz w:val="20"/>
                <w:szCs w:val="20"/>
                <w:color w:val="auto"/>
              </w:rPr>
            </w:pPr>
            <w:r>
              <w:rPr>
                <w:rFonts w:ascii="Arial" w:cs="Arial" w:eastAsia="Arial" w:hAnsi="Arial"/>
                <w:sz w:val="16"/>
                <w:szCs w:val="16"/>
                <w:color w:val="auto"/>
              </w:rPr>
              <w:t>​​</w:t>
            </w:r>
          </w:p>
        </w:tc>
        <w:tc>
          <w:tcPr>
            <w:tcW w:w="1470" w:type="dxa"/>
            <w:vAlign w:val="bottom"/>
          </w:tcPr>
          <w:p>
            <w:pPr>
              <w:spacing w:after="0"/>
              <w:rPr>
                <w:sz w:val="24"/>
                <w:szCs w:val="24"/>
                <w:color w:val="auto"/>
              </w:rPr>
            </w:pPr>
          </w:p>
        </w:tc>
        <w:tc>
          <w:tcPr>
            <w:tcW w:w="210" w:type="dxa"/>
            <w:vAlign w:val="bottom"/>
          </w:tcPr>
          <w:p>
            <w:pPr>
              <w:ind w:left="10"/>
              <w:spacing w:after="0"/>
              <w:rPr>
                <w:sz w:val="20"/>
                <w:szCs w:val="20"/>
                <w:color w:val="auto"/>
              </w:rPr>
            </w:pPr>
            <w:r>
              <w:rPr>
                <w:rFonts w:ascii="Arial" w:cs="Arial" w:eastAsia="Arial" w:hAnsi="Arial"/>
                <w:sz w:val="16"/>
                <w:szCs w:val="16"/>
                <w:color w:val="auto"/>
              </w:rPr>
              <w:t>​​</w:t>
            </w:r>
          </w:p>
        </w:tc>
        <w:tc>
          <w:tcPr>
            <w:tcW w:w="146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40" w:type="dxa"/>
            <w:vAlign w:val="bottom"/>
          </w:tcPr>
          <w:p>
            <w:pPr>
              <w:ind w:left="740"/>
              <w:spacing w:after="0"/>
              <w:rPr>
                <w:sz w:val="20"/>
                <w:szCs w:val="20"/>
                <w:color w:val="auto"/>
              </w:rPr>
            </w:pPr>
            <w:r>
              <w:rPr>
                <w:rFonts w:ascii="Arial" w:cs="Arial" w:eastAsia="Arial" w:hAnsi="Arial"/>
                <w:sz w:val="16"/>
                <w:szCs w:val="16"/>
                <w:color w:val="auto"/>
              </w:rPr>
              <w:t>Independent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7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70" w:type="dxa"/>
            <w:vAlign w:val="bottom"/>
            <w:tcBorders>
              <w:bottom w:val="single" w:sz="8" w:color="auto"/>
            </w:tcBorders>
          </w:tcPr>
          <w:p>
            <w:pPr>
              <w:spacing w:after="0"/>
              <w:rPr>
                <w:sz w:val="10"/>
                <w:szCs w:val="10"/>
                <w:color w:val="auto"/>
              </w:rPr>
            </w:pPr>
          </w:p>
        </w:tc>
        <w:tc>
          <w:tcPr>
            <w:tcW w:w="21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2340" w:type="dxa"/>
            <w:vAlign w:val="bottom"/>
            <w:tcBorders>
              <w:bottom w:val="single" w:sz="8" w:color="auto"/>
            </w:tcBorders>
            <w:shd w:val="clear" w:color="auto" w:fill="4834BA"/>
          </w:tcPr>
          <w:p>
            <w:pPr>
              <w:ind w:left="80"/>
              <w:spacing w:after="0"/>
              <w:rPr>
                <w:sz w:val="20"/>
                <w:szCs w:val="20"/>
                <w:color w:val="auto"/>
              </w:rPr>
            </w:pPr>
            <w:r>
              <w:rPr>
                <w:rFonts w:ascii="Arial" w:cs="Arial" w:eastAsia="Arial" w:hAnsi="Arial"/>
                <w:sz w:val="16"/>
                <w:szCs w:val="16"/>
                <w:b w:val="1"/>
                <w:bCs w:val="1"/>
                <w:color w:val="FEFEFE"/>
              </w:rPr>
              <w:t>Class II Directors</w:t>
            </w:r>
          </w:p>
        </w:tc>
        <w:tc>
          <w:tcPr>
            <w:tcW w:w="820" w:type="dxa"/>
            <w:vAlign w:val="bottom"/>
            <w:tcBorders>
              <w:bottom w:val="single" w:sz="8" w:color="auto"/>
            </w:tcBorders>
            <w:shd w:val="clear" w:color="auto" w:fill="4834BA"/>
          </w:tcPr>
          <w:p>
            <w:pPr>
              <w:spacing w:after="0"/>
              <w:rPr>
                <w:sz w:val="22"/>
                <w:szCs w:val="22"/>
                <w:color w:val="auto"/>
              </w:rPr>
            </w:pPr>
          </w:p>
        </w:tc>
        <w:tc>
          <w:tcPr>
            <w:tcW w:w="140" w:type="dxa"/>
            <w:vAlign w:val="bottom"/>
            <w:tcBorders>
              <w:bottom w:val="single" w:sz="8" w:color="auto"/>
            </w:tcBorders>
            <w:shd w:val="clear" w:color="auto" w:fill="4834BA"/>
          </w:tcPr>
          <w:p>
            <w:pPr>
              <w:spacing w:after="0"/>
              <w:rPr>
                <w:sz w:val="22"/>
                <w:szCs w:val="22"/>
                <w:color w:val="auto"/>
              </w:rPr>
            </w:pPr>
          </w:p>
        </w:tc>
        <w:tc>
          <w:tcPr>
            <w:tcW w:w="360" w:type="dxa"/>
            <w:vAlign w:val="bottom"/>
            <w:tcBorders>
              <w:bottom w:val="single" w:sz="8" w:color="auto"/>
            </w:tcBorders>
            <w:shd w:val="clear" w:color="auto" w:fill="4834BA"/>
          </w:tcPr>
          <w:p>
            <w:pPr>
              <w:spacing w:after="0"/>
              <w:rPr>
                <w:sz w:val="22"/>
                <w:szCs w:val="22"/>
                <w:color w:val="auto"/>
              </w:rPr>
            </w:pPr>
          </w:p>
        </w:tc>
        <w:tc>
          <w:tcPr>
            <w:tcW w:w="180" w:type="dxa"/>
            <w:vAlign w:val="bottom"/>
            <w:tcBorders>
              <w:bottom w:val="single" w:sz="8" w:color="auto"/>
            </w:tcBorders>
            <w:shd w:val="clear" w:color="auto" w:fill="4834BA"/>
          </w:tcPr>
          <w:p>
            <w:pPr>
              <w:spacing w:after="0"/>
              <w:rPr>
                <w:sz w:val="22"/>
                <w:szCs w:val="22"/>
                <w:color w:val="auto"/>
              </w:rPr>
            </w:pPr>
          </w:p>
        </w:tc>
        <w:tc>
          <w:tcPr>
            <w:tcW w:w="740" w:type="dxa"/>
            <w:vAlign w:val="bottom"/>
            <w:tcBorders>
              <w:bottom w:val="single" w:sz="8" w:color="auto"/>
            </w:tcBorders>
            <w:shd w:val="clear" w:color="auto" w:fill="4834BA"/>
          </w:tcPr>
          <w:p>
            <w:pPr>
              <w:spacing w:after="0"/>
              <w:rPr>
                <w:sz w:val="22"/>
                <w:szCs w:val="22"/>
                <w:color w:val="auto"/>
              </w:rPr>
            </w:pPr>
          </w:p>
        </w:tc>
        <w:tc>
          <w:tcPr>
            <w:tcW w:w="260" w:type="dxa"/>
            <w:vAlign w:val="bottom"/>
            <w:tcBorders>
              <w:bottom w:val="single" w:sz="8" w:color="auto"/>
            </w:tcBorders>
            <w:shd w:val="clear" w:color="auto" w:fill="4834BA"/>
          </w:tcPr>
          <w:p>
            <w:pPr>
              <w:spacing w:after="0"/>
              <w:rPr>
                <w:sz w:val="22"/>
                <w:szCs w:val="22"/>
                <w:color w:val="auto"/>
              </w:rPr>
            </w:pPr>
          </w:p>
        </w:tc>
        <w:tc>
          <w:tcPr>
            <w:tcW w:w="780" w:type="dxa"/>
            <w:vAlign w:val="bottom"/>
            <w:tcBorders>
              <w:bottom w:val="single" w:sz="8" w:color="auto"/>
            </w:tcBorders>
            <w:shd w:val="clear" w:color="auto" w:fill="4834BA"/>
          </w:tcPr>
          <w:p>
            <w:pPr>
              <w:spacing w:after="0"/>
              <w:rPr>
                <w:sz w:val="22"/>
                <w:szCs w:val="22"/>
                <w:color w:val="auto"/>
              </w:rPr>
            </w:pPr>
          </w:p>
        </w:tc>
        <w:tc>
          <w:tcPr>
            <w:tcW w:w="420" w:type="dxa"/>
            <w:vAlign w:val="bottom"/>
            <w:tcBorders>
              <w:bottom w:val="single" w:sz="8" w:color="auto"/>
            </w:tcBorders>
            <w:shd w:val="clear" w:color="auto" w:fill="4834BA"/>
          </w:tcPr>
          <w:p>
            <w:pPr>
              <w:spacing w:after="0"/>
              <w:rPr>
                <w:sz w:val="22"/>
                <w:szCs w:val="22"/>
                <w:color w:val="auto"/>
              </w:rPr>
            </w:pPr>
          </w:p>
        </w:tc>
        <w:tc>
          <w:tcPr>
            <w:tcW w:w="1470" w:type="dxa"/>
            <w:vAlign w:val="bottom"/>
            <w:tcBorders>
              <w:bottom w:val="single" w:sz="8" w:color="auto"/>
            </w:tcBorders>
            <w:shd w:val="clear" w:color="auto" w:fill="4834BA"/>
          </w:tcPr>
          <w:p>
            <w:pPr>
              <w:spacing w:after="0"/>
              <w:rPr>
                <w:sz w:val="22"/>
                <w:szCs w:val="22"/>
                <w:color w:val="auto"/>
              </w:rPr>
            </w:pPr>
          </w:p>
        </w:tc>
        <w:tc>
          <w:tcPr>
            <w:tcW w:w="210" w:type="dxa"/>
            <w:vAlign w:val="bottom"/>
            <w:tcBorders>
              <w:bottom w:val="single" w:sz="8" w:color="auto"/>
            </w:tcBorders>
            <w:shd w:val="clear" w:color="auto" w:fill="4834BA"/>
          </w:tcPr>
          <w:p>
            <w:pPr>
              <w:spacing w:after="0"/>
              <w:rPr>
                <w:sz w:val="22"/>
                <w:szCs w:val="22"/>
                <w:color w:val="auto"/>
              </w:rPr>
            </w:pPr>
          </w:p>
        </w:tc>
        <w:tc>
          <w:tcPr>
            <w:tcW w:w="1460" w:type="dxa"/>
            <w:vAlign w:val="bottom"/>
            <w:tcBorders>
              <w:bottom w:val="single" w:sz="8" w:color="auto"/>
            </w:tcBorders>
            <w:shd w:val="clear" w:color="auto" w:fill="4834BA"/>
          </w:tcPr>
          <w:p>
            <w:pPr>
              <w:spacing w:after="0"/>
              <w:rPr>
                <w:sz w:val="22"/>
                <w:szCs w:val="22"/>
                <w:color w:val="auto"/>
              </w:rPr>
            </w:pPr>
          </w:p>
        </w:tc>
        <w:tc>
          <w:tcPr>
            <w:tcW w:w="200" w:type="dxa"/>
            <w:vAlign w:val="bottom"/>
            <w:tcBorders>
              <w:bottom w:val="single" w:sz="8" w:color="auto"/>
            </w:tcBorders>
            <w:shd w:val="clear" w:color="auto" w:fill="4834BA"/>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2340" w:type="dxa"/>
            <w:vAlign w:val="bottom"/>
          </w:tcPr>
          <w:p>
            <w:pPr>
              <w:ind w:left="6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William H. Yeh</w:t>
            </w:r>
          </w:p>
        </w:tc>
        <w:tc>
          <w:tcPr>
            <w:tcW w:w="8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2000</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center"/>
              <w:spacing w:after="0"/>
              <w:rPr>
                <w:sz w:val="20"/>
                <w:szCs w:val="20"/>
                <w:color w:val="auto"/>
              </w:rPr>
            </w:pPr>
            <w:r>
              <w:rPr>
                <w:rFonts w:ascii="Arial" w:cs="Arial" w:eastAsia="Arial" w:hAnsi="Arial"/>
                <w:sz w:val="16"/>
                <w:szCs w:val="16"/>
                <w:color w:val="auto"/>
              </w:rPr>
              <w:t>​</w:t>
            </w:r>
          </w:p>
        </w:tc>
        <w:tc>
          <w:tcPr>
            <w:tcW w:w="420" w:type="dxa"/>
            <w:vAlign w:val="bottom"/>
          </w:tcPr>
          <w:p>
            <w:pPr>
              <w:ind w:left="240"/>
              <w:spacing w:after="0"/>
              <w:rPr>
                <w:sz w:val="20"/>
                <w:szCs w:val="20"/>
                <w:color w:val="auto"/>
              </w:rPr>
            </w:pPr>
            <w:r>
              <w:rPr>
                <w:rFonts w:ascii="Arial" w:cs="Arial" w:eastAsia="Arial" w:hAnsi="Arial"/>
                <w:sz w:val="16"/>
                <w:szCs w:val="16"/>
                <w:color w:val="auto"/>
              </w:rPr>
              <w:t>​​</w:t>
            </w:r>
          </w:p>
        </w:tc>
        <w:tc>
          <w:tcPr>
            <w:tcW w:w="1470" w:type="dxa"/>
            <w:vAlign w:val="bottom"/>
          </w:tcPr>
          <w:p>
            <w:pPr>
              <w:spacing w:after="0"/>
              <w:rPr>
                <w:sz w:val="24"/>
                <w:szCs w:val="24"/>
                <w:color w:val="auto"/>
              </w:rPr>
            </w:pPr>
          </w:p>
        </w:tc>
        <w:tc>
          <w:tcPr>
            <w:tcW w:w="210" w:type="dxa"/>
            <w:vAlign w:val="bottom"/>
          </w:tcPr>
          <w:p>
            <w:pPr>
              <w:ind w:left="1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4"/>
                <w:szCs w:val="24"/>
                <w:color w:val="auto"/>
              </w:rPr>
            </w:pPr>
          </w:p>
        </w:tc>
        <w:tc>
          <w:tcPr>
            <w:tcW w:w="2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40" w:type="dxa"/>
            <w:vAlign w:val="bottom"/>
          </w:tcPr>
          <w:p>
            <w:pPr>
              <w:ind w:left="740"/>
              <w:spacing w:after="0"/>
              <w:rPr>
                <w:sz w:val="20"/>
                <w:szCs w:val="20"/>
                <w:color w:val="auto"/>
              </w:rPr>
            </w:pPr>
            <w:r>
              <w:rPr>
                <w:rFonts w:ascii="Arial" w:cs="Arial" w:eastAsia="Arial" w:hAnsi="Arial"/>
                <w:sz w:val="16"/>
                <w:szCs w:val="16"/>
                <w:color w:val="auto"/>
              </w:rPr>
              <w:t>Independent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7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160" w:type="dxa"/>
            <w:vAlign w:val="bottom"/>
            <w:tcBorders>
              <w:bottom w:val="single" w:sz="8" w:color="auto"/>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70" w:type="dxa"/>
            <w:vAlign w:val="bottom"/>
            <w:tcBorders>
              <w:bottom w:val="single" w:sz="8" w:color="auto"/>
            </w:tcBorders>
          </w:tcPr>
          <w:p>
            <w:pPr>
              <w:spacing w:after="0"/>
              <w:rPr>
                <w:sz w:val="13"/>
                <w:szCs w:val="13"/>
                <w:color w:val="auto"/>
              </w:rPr>
            </w:pPr>
          </w:p>
        </w:tc>
        <w:tc>
          <w:tcPr>
            <w:tcW w:w="21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3160" w:type="dxa"/>
            <w:vAlign w:val="bottom"/>
            <w:gridSpan w:val="2"/>
          </w:tcPr>
          <w:p>
            <w:pPr>
              <w:ind w:left="6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Cynthia (Cindy) DeLaney</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2021</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4"/>
                <w:szCs w:val="24"/>
                <w:color w:val="auto"/>
              </w:rPr>
            </w:pPr>
          </w:p>
        </w:tc>
        <w:tc>
          <w:tcPr>
            <w:tcW w:w="420" w:type="dxa"/>
            <w:vAlign w:val="bottom"/>
          </w:tcPr>
          <w:p>
            <w:pPr>
              <w:ind w:left="240"/>
              <w:spacing w:after="0"/>
              <w:rPr>
                <w:sz w:val="20"/>
                <w:szCs w:val="20"/>
                <w:color w:val="auto"/>
              </w:rPr>
            </w:pPr>
            <w:r>
              <w:rPr>
                <w:rFonts w:ascii="Arial" w:cs="Arial" w:eastAsia="Arial" w:hAnsi="Arial"/>
                <w:sz w:val="16"/>
                <w:szCs w:val="16"/>
                <w:color w:val="auto"/>
              </w:rPr>
              <w:t>​​</w:t>
            </w:r>
          </w:p>
        </w:tc>
        <w:tc>
          <w:tcPr>
            <w:tcW w:w="1470" w:type="dxa"/>
            <w:vAlign w:val="bottom"/>
          </w:tcPr>
          <w:p>
            <w:pPr>
              <w:jc w:val="center"/>
              <w:ind w:right="29"/>
              <w:spacing w:after="0"/>
              <w:rPr>
                <w:sz w:val="20"/>
                <w:szCs w:val="20"/>
                <w:color w:val="auto"/>
              </w:rPr>
            </w:pPr>
            <w:r>
              <w:rPr>
                <w:rFonts w:ascii="Arial" w:cs="Arial" w:eastAsia="Arial" w:hAnsi="Arial"/>
                <w:sz w:val="16"/>
                <w:szCs w:val="16"/>
                <w:color w:val="auto"/>
              </w:rPr>
              <w:t>​</w:t>
            </w:r>
          </w:p>
        </w:tc>
        <w:tc>
          <w:tcPr>
            <w:tcW w:w="210" w:type="dxa"/>
            <w:vAlign w:val="bottom"/>
          </w:tcPr>
          <w:p>
            <w:pPr>
              <w:ind w:left="10"/>
              <w:spacing w:after="0"/>
              <w:rPr>
                <w:sz w:val="20"/>
                <w:szCs w:val="20"/>
                <w:color w:val="auto"/>
              </w:rPr>
            </w:pPr>
            <w:r>
              <w:rPr>
                <w:rFonts w:ascii="Arial" w:cs="Arial" w:eastAsia="Arial" w:hAnsi="Arial"/>
                <w:sz w:val="16"/>
                <w:szCs w:val="16"/>
                <w:color w:val="auto"/>
              </w:rPr>
              <w:t>​​</w:t>
            </w:r>
          </w:p>
        </w:tc>
        <w:tc>
          <w:tcPr>
            <w:tcW w:w="146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40" w:type="dxa"/>
            <w:vAlign w:val="bottom"/>
          </w:tcPr>
          <w:p>
            <w:pPr>
              <w:ind w:left="740"/>
              <w:spacing w:after="0"/>
              <w:rPr>
                <w:sz w:val="20"/>
                <w:szCs w:val="20"/>
                <w:color w:val="auto"/>
              </w:rPr>
            </w:pPr>
            <w:r>
              <w:rPr>
                <w:rFonts w:ascii="Arial" w:cs="Arial" w:eastAsia="Arial" w:hAnsi="Arial"/>
                <w:sz w:val="16"/>
                <w:szCs w:val="16"/>
                <w:color w:val="auto"/>
              </w:rPr>
              <w:t>Independent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7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70" w:type="dxa"/>
            <w:vAlign w:val="bottom"/>
            <w:tcBorders>
              <w:bottom w:val="single" w:sz="8" w:color="auto"/>
            </w:tcBorders>
          </w:tcPr>
          <w:p>
            <w:pPr>
              <w:spacing w:after="0"/>
              <w:rPr>
                <w:sz w:val="9"/>
                <w:szCs w:val="9"/>
                <w:color w:val="auto"/>
              </w:rPr>
            </w:pPr>
          </w:p>
        </w:tc>
        <w:tc>
          <w:tcPr>
            <w:tcW w:w="21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340" w:type="dxa"/>
            <w:vAlign w:val="bottom"/>
            <w:tcBorders>
              <w:bottom w:val="single" w:sz="8" w:color="auto"/>
            </w:tcBorders>
            <w:shd w:val="clear" w:color="auto" w:fill="4834BA"/>
          </w:tcPr>
          <w:p>
            <w:pPr>
              <w:ind w:left="80"/>
              <w:spacing w:after="0"/>
              <w:rPr>
                <w:sz w:val="20"/>
                <w:szCs w:val="20"/>
                <w:color w:val="auto"/>
              </w:rPr>
            </w:pPr>
            <w:r>
              <w:rPr>
                <w:rFonts w:ascii="Arial" w:cs="Arial" w:eastAsia="Arial" w:hAnsi="Arial"/>
                <w:sz w:val="16"/>
                <w:szCs w:val="16"/>
                <w:b w:val="1"/>
                <w:bCs w:val="1"/>
                <w:color w:val="FEFEFE"/>
              </w:rPr>
              <w:t>Class III Directors</w:t>
            </w:r>
          </w:p>
        </w:tc>
        <w:tc>
          <w:tcPr>
            <w:tcW w:w="820" w:type="dxa"/>
            <w:vAlign w:val="bottom"/>
            <w:tcBorders>
              <w:bottom w:val="single" w:sz="8" w:color="auto"/>
            </w:tcBorders>
            <w:shd w:val="clear" w:color="auto" w:fill="4834BA"/>
          </w:tcPr>
          <w:p>
            <w:pPr>
              <w:spacing w:after="0"/>
              <w:rPr>
                <w:sz w:val="22"/>
                <w:szCs w:val="22"/>
                <w:color w:val="auto"/>
              </w:rPr>
            </w:pPr>
          </w:p>
        </w:tc>
        <w:tc>
          <w:tcPr>
            <w:tcW w:w="140" w:type="dxa"/>
            <w:vAlign w:val="bottom"/>
            <w:tcBorders>
              <w:bottom w:val="single" w:sz="8" w:color="auto"/>
            </w:tcBorders>
            <w:shd w:val="clear" w:color="auto" w:fill="4834BA"/>
          </w:tcPr>
          <w:p>
            <w:pPr>
              <w:spacing w:after="0"/>
              <w:rPr>
                <w:sz w:val="22"/>
                <w:szCs w:val="22"/>
                <w:color w:val="auto"/>
              </w:rPr>
            </w:pPr>
          </w:p>
        </w:tc>
        <w:tc>
          <w:tcPr>
            <w:tcW w:w="360" w:type="dxa"/>
            <w:vAlign w:val="bottom"/>
            <w:tcBorders>
              <w:bottom w:val="single" w:sz="8" w:color="auto"/>
            </w:tcBorders>
            <w:shd w:val="clear" w:color="auto" w:fill="4834BA"/>
          </w:tcPr>
          <w:p>
            <w:pPr>
              <w:spacing w:after="0"/>
              <w:rPr>
                <w:sz w:val="22"/>
                <w:szCs w:val="22"/>
                <w:color w:val="auto"/>
              </w:rPr>
            </w:pPr>
          </w:p>
        </w:tc>
        <w:tc>
          <w:tcPr>
            <w:tcW w:w="180" w:type="dxa"/>
            <w:vAlign w:val="bottom"/>
            <w:tcBorders>
              <w:bottom w:val="single" w:sz="8" w:color="auto"/>
            </w:tcBorders>
            <w:shd w:val="clear" w:color="auto" w:fill="4834BA"/>
          </w:tcPr>
          <w:p>
            <w:pPr>
              <w:spacing w:after="0"/>
              <w:rPr>
                <w:sz w:val="22"/>
                <w:szCs w:val="22"/>
                <w:color w:val="auto"/>
              </w:rPr>
            </w:pPr>
          </w:p>
        </w:tc>
        <w:tc>
          <w:tcPr>
            <w:tcW w:w="740" w:type="dxa"/>
            <w:vAlign w:val="bottom"/>
            <w:tcBorders>
              <w:bottom w:val="single" w:sz="8" w:color="auto"/>
            </w:tcBorders>
            <w:shd w:val="clear" w:color="auto" w:fill="4834BA"/>
          </w:tcPr>
          <w:p>
            <w:pPr>
              <w:spacing w:after="0"/>
              <w:rPr>
                <w:sz w:val="22"/>
                <w:szCs w:val="22"/>
                <w:color w:val="auto"/>
              </w:rPr>
            </w:pPr>
          </w:p>
        </w:tc>
        <w:tc>
          <w:tcPr>
            <w:tcW w:w="260" w:type="dxa"/>
            <w:vAlign w:val="bottom"/>
            <w:tcBorders>
              <w:bottom w:val="single" w:sz="8" w:color="auto"/>
            </w:tcBorders>
            <w:shd w:val="clear" w:color="auto" w:fill="4834BA"/>
          </w:tcPr>
          <w:p>
            <w:pPr>
              <w:spacing w:after="0"/>
              <w:rPr>
                <w:sz w:val="22"/>
                <w:szCs w:val="22"/>
                <w:color w:val="auto"/>
              </w:rPr>
            </w:pPr>
          </w:p>
        </w:tc>
        <w:tc>
          <w:tcPr>
            <w:tcW w:w="780" w:type="dxa"/>
            <w:vAlign w:val="bottom"/>
            <w:tcBorders>
              <w:bottom w:val="single" w:sz="8" w:color="auto"/>
            </w:tcBorders>
            <w:shd w:val="clear" w:color="auto" w:fill="4834BA"/>
          </w:tcPr>
          <w:p>
            <w:pPr>
              <w:spacing w:after="0"/>
              <w:rPr>
                <w:sz w:val="22"/>
                <w:szCs w:val="22"/>
                <w:color w:val="auto"/>
              </w:rPr>
            </w:pPr>
          </w:p>
        </w:tc>
        <w:tc>
          <w:tcPr>
            <w:tcW w:w="420" w:type="dxa"/>
            <w:vAlign w:val="bottom"/>
            <w:tcBorders>
              <w:bottom w:val="single" w:sz="8" w:color="auto"/>
            </w:tcBorders>
            <w:shd w:val="clear" w:color="auto" w:fill="4834BA"/>
          </w:tcPr>
          <w:p>
            <w:pPr>
              <w:spacing w:after="0"/>
              <w:rPr>
                <w:sz w:val="22"/>
                <w:szCs w:val="22"/>
                <w:color w:val="auto"/>
              </w:rPr>
            </w:pPr>
          </w:p>
        </w:tc>
        <w:tc>
          <w:tcPr>
            <w:tcW w:w="1470" w:type="dxa"/>
            <w:vAlign w:val="bottom"/>
            <w:tcBorders>
              <w:bottom w:val="single" w:sz="8" w:color="auto"/>
            </w:tcBorders>
            <w:shd w:val="clear" w:color="auto" w:fill="4834BA"/>
          </w:tcPr>
          <w:p>
            <w:pPr>
              <w:spacing w:after="0"/>
              <w:rPr>
                <w:sz w:val="22"/>
                <w:szCs w:val="22"/>
                <w:color w:val="auto"/>
              </w:rPr>
            </w:pPr>
          </w:p>
        </w:tc>
        <w:tc>
          <w:tcPr>
            <w:tcW w:w="210" w:type="dxa"/>
            <w:vAlign w:val="bottom"/>
            <w:tcBorders>
              <w:bottom w:val="single" w:sz="8" w:color="auto"/>
            </w:tcBorders>
            <w:shd w:val="clear" w:color="auto" w:fill="4834BA"/>
          </w:tcPr>
          <w:p>
            <w:pPr>
              <w:spacing w:after="0"/>
              <w:rPr>
                <w:sz w:val="22"/>
                <w:szCs w:val="22"/>
                <w:color w:val="auto"/>
              </w:rPr>
            </w:pPr>
          </w:p>
        </w:tc>
        <w:tc>
          <w:tcPr>
            <w:tcW w:w="1460" w:type="dxa"/>
            <w:vAlign w:val="bottom"/>
            <w:tcBorders>
              <w:bottom w:val="single" w:sz="8" w:color="auto"/>
            </w:tcBorders>
            <w:shd w:val="clear" w:color="auto" w:fill="4834BA"/>
          </w:tcPr>
          <w:p>
            <w:pPr>
              <w:spacing w:after="0"/>
              <w:rPr>
                <w:sz w:val="22"/>
                <w:szCs w:val="22"/>
                <w:color w:val="auto"/>
              </w:rPr>
            </w:pPr>
          </w:p>
        </w:tc>
        <w:tc>
          <w:tcPr>
            <w:tcW w:w="200" w:type="dxa"/>
            <w:vAlign w:val="bottom"/>
            <w:tcBorders>
              <w:bottom w:val="single" w:sz="8" w:color="auto"/>
            </w:tcBorders>
            <w:shd w:val="clear" w:color="auto" w:fill="4834BA"/>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160" w:type="dxa"/>
            <w:vAlign w:val="bottom"/>
            <w:gridSpan w:val="2"/>
          </w:tcPr>
          <w:p>
            <w:pPr>
              <w:ind w:left="6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Chih-Hsiang (Thompson) Lin</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1997</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center"/>
              <w:spacing w:after="0"/>
              <w:rPr>
                <w:sz w:val="20"/>
                <w:szCs w:val="20"/>
                <w:color w:val="auto"/>
              </w:rPr>
            </w:pPr>
            <w:r>
              <w:rPr>
                <w:rFonts w:ascii="Arial" w:cs="Arial" w:eastAsia="Arial" w:hAnsi="Arial"/>
                <w:sz w:val="16"/>
                <w:szCs w:val="16"/>
                <w:color w:val="auto"/>
              </w:rPr>
              <w:t>​</w:t>
            </w:r>
          </w:p>
        </w:tc>
        <w:tc>
          <w:tcPr>
            <w:tcW w:w="420" w:type="dxa"/>
            <w:vAlign w:val="bottom"/>
          </w:tcPr>
          <w:p>
            <w:pPr>
              <w:ind w:left="240"/>
              <w:spacing w:after="0"/>
              <w:rPr>
                <w:sz w:val="20"/>
                <w:szCs w:val="20"/>
                <w:color w:val="auto"/>
              </w:rPr>
            </w:pPr>
            <w:r>
              <w:rPr>
                <w:rFonts w:ascii="Arial" w:cs="Arial" w:eastAsia="Arial" w:hAnsi="Arial"/>
                <w:sz w:val="16"/>
                <w:szCs w:val="16"/>
                <w:color w:val="auto"/>
              </w:rPr>
              <w:t>​​</w:t>
            </w:r>
          </w:p>
        </w:tc>
        <w:tc>
          <w:tcPr>
            <w:tcW w:w="1470" w:type="dxa"/>
            <w:vAlign w:val="bottom"/>
          </w:tcPr>
          <w:p>
            <w:pPr>
              <w:jc w:val="center"/>
              <w:ind w:right="29"/>
              <w:spacing w:after="0"/>
              <w:rPr>
                <w:sz w:val="20"/>
                <w:szCs w:val="20"/>
                <w:color w:val="auto"/>
              </w:rPr>
            </w:pPr>
            <w:r>
              <w:rPr>
                <w:rFonts w:ascii="Arial" w:cs="Arial" w:eastAsia="Arial" w:hAnsi="Arial"/>
                <w:sz w:val="16"/>
                <w:szCs w:val="16"/>
                <w:color w:val="auto"/>
              </w:rPr>
              <w:t>​</w:t>
            </w:r>
          </w:p>
        </w:tc>
        <w:tc>
          <w:tcPr>
            <w:tcW w:w="210" w:type="dxa"/>
            <w:vAlign w:val="bottom"/>
          </w:tcPr>
          <w:p>
            <w:pPr>
              <w:ind w:left="10"/>
              <w:spacing w:after="0"/>
              <w:rPr>
                <w:sz w:val="20"/>
                <w:szCs w:val="20"/>
                <w:color w:val="auto"/>
              </w:rPr>
            </w:pPr>
            <w:r>
              <w:rPr>
                <w:rFonts w:ascii="Arial" w:cs="Arial" w:eastAsia="Arial" w:hAnsi="Arial"/>
                <w:sz w:val="16"/>
                <w:szCs w:val="16"/>
                <w:color w:val="auto"/>
              </w:rPr>
              <w:t>​​</w:t>
            </w:r>
          </w:p>
        </w:tc>
        <w:tc>
          <w:tcPr>
            <w:tcW w:w="146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40" w:type="dxa"/>
            <w:vAlign w:val="bottom"/>
          </w:tcPr>
          <w:p>
            <w:pPr>
              <w:ind w:left="740"/>
              <w:spacing w:after="0"/>
              <w:rPr>
                <w:sz w:val="20"/>
                <w:szCs w:val="20"/>
                <w:color w:val="auto"/>
              </w:rPr>
            </w:pPr>
            <w:r>
              <w:rPr>
                <w:rFonts w:ascii="Arial" w:cs="Arial" w:eastAsia="Arial" w:hAnsi="Arial"/>
                <w:sz w:val="16"/>
                <w:szCs w:val="16"/>
                <w:color w:val="auto"/>
              </w:rPr>
              <w:t>Non-Independent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7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70" w:type="dxa"/>
            <w:vAlign w:val="bottom"/>
            <w:tcBorders>
              <w:bottom w:val="single" w:sz="8" w:color="auto"/>
            </w:tcBorders>
          </w:tcPr>
          <w:p>
            <w:pPr>
              <w:spacing w:after="0"/>
              <w:rPr>
                <w:sz w:val="13"/>
                <w:szCs w:val="13"/>
                <w:color w:val="auto"/>
              </w:rPr>
            </w:pPr>
          </w:p>
        </w:tc>
        <w:tc>
          <w:tcPr>
            <w:tcW w:w="21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2340" w:type="dxa"/>
            <w:vAlign w:val="bottom"/>
          </w:tcPr>
          <w:p>
            <w:pPr>
              <w:ind w:left="6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Richard B. Black</w:t>
            </w:r>
          </w:p>
        </w:tc>
        <w:tc>
          <w:tcPr>
            <w:tcW w:w="8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2001</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4"/>
                <w:szCs w:val="24"/>
                <w:color w:val="auto"/>
              </w:rPr>
            </w:pPr>
          </w:p>
        </w:tc>
        <w:tc>
          <w:tcPr>
            <w:tcW w:w="420" w:type="dxa"/>
            <w:vAlign w:val="bottom"/>
          </w:tcPr>
          <w:p>
            <w:pPr>
              <w:ind w:left="240"/>
              <w:spacing w:after="0"/>
              <w:rPr>
                <w:sz w:val="20"/>
                <w:szCs w:val="20"/>
                <w:color w:val="auto"/>
              </w:rPr>
            </w:pPr>
            <w:r>
              <w:rPr>
                <w:rFonts w:ascii="Arial" w:cs="Arial" w:eastAsia="Arial" w:hAnsi="Arial"/>
                <w:sz w:val="16"/>
                <w:szCs w:val="16"/>
                <w:color w:val="auto"/>
              </w:rPr>
              <w:t>​​</w:t>
            </w:r>
          </w:p>
        </w:tc>
        <w:tc>
          <w:tcPr>
            <w:tcW w:w="1470" w:type="dxa"/>
            <w:vAlign w:val="bottom"/>
          </w:tcPr>
          <w:p>
            <w:pPr>
              <w:jc w:val="center"/>
              <w:ind w:right="29"/>
              <w:spacing w:after="0"/>
              <w:rPr>
                <w:sz w:val="20"/>
                <w:szCs w:val="20"/>
                <w:color w:val="auto"/>
              </w:rPr>
            </w:pPr>
            <w:r>
              <w:rPr>
                <w:rFonts w:ascii="Arial" w:cs="Arial" w:eastAsia="Arial" w:hAnsi="Arial"/>
                <w:sz w:val="16"/>
                <w:szCs w:val="16"/>
                <w:color w:val="auto"/>
              </w:rPr>
              <w:t>​</w:t>
            </w:r>
          </w:p>
        </w:tc>
        <w:tc>
          <w:tcPr>
            <w:tcW w:w="210" w:type="dxa"/>
            <w:vAlign w:val="bottom"/>
          </w:tcPr>
          <w:p>
            <w:pPr>
              <w:ind w:left="1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4"/>
                <w:szCs w:val="24"/>
                <w:color w:val="auto"/>
              </w:rPr>
            </w:pPr>
          </w:p>
        </w:tc>
        <w:tc>
          <w:tcPr>
            <w:tcW w:w="2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40" w:type="dxa"/>
            <w:vAlign w:val="bottom"/>
          </w:tcPr>
          <w:p>
            <w:pPr>
              <w:ind w:left="740"/>
              <w:spacing w:after="0"/>
              <w:rPr>
                <w:sz w:val="20"/>
                <w:szCs w:val="20"/>
                <w:color w:val="auto"/>
              </w:rPr>
            </w:pPr>
            <w:r>
              <w:rPr>
                <w:rFonts w:ascii="Arial" w:cs="Arial" w:eastAsia="Arial" w:hAnsi="Arial"/>
                <w:sz w:val="16"/>
                <w:szCs w:val="16"/>
                <w:color w:val="auto"/>
              </w:rPr>
              <w:t>Independent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7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70" w:type="dxa"/>
            <w:vAlign w:val="bottom"/>
            <w:tcBorders>
              <w:bottom w:val="single" w:sz="8" w:color="auto"/>
            </w:tcBorders>
          </w:tcPr>
          <w:p>
            <w:pPr>
              <w:spacing w:after="0"/>
              <w:rPr>
                <w:sz w:val="10"/>
                <w:szCs w:val="10"/>
                <w:color w:val="auto"/>
              </w:rPr>
            </w:pPr>
          </w:p>
        </w:tc>
        <w:tc>
          <w:tcPr>
            <w:tcW w:w="21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2340" w:type="dxa"/>
            <w:vAlign w:val="bottom"/>
          </w:tcPr>
          <w:p>
            <w:pPr>
              <w:ind w:left="6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Min-Chu (Mike) Chen</w:t>
            </w:r>
          </w:p>
        </w:tc>
        <w:tc>
          <w:tcPr>
            <w:tcW w:w="8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2013</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4"/>
                <w:szCs w:val="24"/>
                <w:color w:val="auto"/>
              </w:rPr>
            </w:pPr>
          </w:p>
        </w:tc>
        <w:tc>
          <w:tcPr>
            <w:tcW w:w="420" w:type="dxa"/>
            <w:vAlign w:val="bottom"/>
          </w:tcPr>
          <w:p>
            <w:pPr>
              <w:ind w:left="240"/>
              <w:spacing w:after="0"/>
              <w:rPr>
                <w:sz w:val="20"/>
                <w:szCs w:val="20"/>
                <w:color w:val="auto"/>
              </w:rPr>
            </w:pPr>
            <w:r>
              <w:rPr>
                <w:rFonts w:ascii="Arial" w:cs="Arial" w:eastAsia="Arial" w:hAnsi="Arial"/>
                <w:sz w:val="16"/>
                <w:szCs w:val="16"/>
                <w:color w:val="auto"/>
              </w:rPr>
              <w:t>​​</w:t>
            </w:r>
          </w:p>
        </w:tc>
        <w:tc>
          <w:tcPr>
            <w:tcW w:w="1470" w:type="dxa"/>
            <w:vAlign w:val="bottom"/>
          </w:tcPr>
          <w:p>
            <w:pPr>
              <w:jc w:val="center"/>
              <w:ind w:right="29"/>
              <w:spacing w:after="0"/>
              <w:rPr>
                <w:sz w:val="20"/>
                <w:szCs w:val="20"/>
                <w:color w:val="auto"/>
              </w:rPr>
            </w:pPr>
            <w:r>
              <w:rPr>
                <w:rFonts w:ascii="Arial" w:cs="Arial" w:eastAsia="Arial" w:hAnsi="Arial"/>
                <w:sz w:val="16"/>
                <w:szCs w:val="16"/>
                <w:color w:val="auto"/>
              </w:rPr>
              <w:t>​</w:t>
            </w:r>
          </w:p>
        </w:tc>
        <w:tc>
          <w:tcPr>
            <w:tcW w:w="210" w:type="dxa"/>
            <w:vAlign w:val="bottom"/>
          </w:tcPr>
          <w:p>
            <w:pPr>
              <w:ind w:left="1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4"/>
                <w:szCs w:val="24"/>
                <w:color w:val="auto"/>
              </w:rPr>
            </w:pPr>
          </w:p>
        </w:tc>
        <w:tc>
          <w:tcPr>
            <w:tcW w:w="2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40" w:type="dxa"/>
            <w:vAlign w:val="bottom"/>
          </w:tcPr>
          <w:p>
            <w:pPr>
              <w:ind w:left="740"/>
              <w:spacing w:after="0"/>
              <w:rPr>
                <w:sz w:val="20"/>
                <w:szCs w:val="20"/>
                <w:color w:val="auto"/>
              </w:rPr>
            </w:pPr>
            <w:r>
              <w:rPr>
                <w:rFonts w:ascii="Arial" w:cs="Arial" w:eastAsia="Arial" w:hAnsi="Arial"/>
                <w:sz w:val="16"/>
                <w:szCs w:val="16"/>
                <w:color w:val="auto"/>
              </w:rPr>
              <w:t>Independent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7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2"/>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70" w:type="dxa"/>
            <w:vAlign w:val="bottom"/>
            <w:tcBorders>
              <w:bottom w:val="single" w:sz="8" w:color="auto"/>
            </w:tcBorders>
          </w:tcPr>
          <w:p>
            <w:pPr>
              <w:spacing w:after="0"/>
              <w:rPr>
                <w:sz w:val="10"/>
                <w:szCs w:val="10"/>
                <w:color w:val="auto"/>
              </w:rPr>
            </w:pPr>
          </w:p>
        </w:tc>
        <w:tc>
          <w:tcPr>
            <w:tcW w:w="21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340" w:type="dxa"/>
            <w:vAlign w:val="bottom"/>
          </w:tcPr>
          <w:p>
            <w:pPr>
              <w:ind w:left="460"/>
              <w:spacing w:after="0"/>
              <w:rPr>
                <w:sz w:val="20"/>
                <w:szCs w:val="20"/>
                <w:color w:val="auto"/>
              </w:rPr>
            </w:pPr>
            <w:r>
              <w:rPr>
                <w:rFonts w:ascii="Arial" w:cs="Arial" w:eastAsia="Arial" w:hAnsi="Arial"/>
                <w:sz w:val="16"/>
                <w:szCs w:val="16"/>
                <w:color w:val="auto"/>
              </w:rPr>
              <w:t>Committee Chair</w:t>
            </w:r>
          </w:p>
        </w:tc>
        <w:tc>
          <w:tcPr>
            <w:tcW w:w="1500" w:type="dxa"/>
            <w:vAlign w:val="bottom"/>
            <w:gridSpan w:val="4"/>
          </w:tcPr>
          <w:p>
            <w:pPr>
              <w:ind w:left="60"/>
              <w:spacing w:after="0"/>
              <w:rPr>
                <w:sz w:val="20"/>
                <w:szCs w:val="20"/>
                <w:color w:val="auto"/>
              </w:rPr>
            </w:pPr>
            <w:r>
              <w:rPr>
                <w:rFonts w:ascii="Arial" w:cs="Arial" w:eastAsia="Arial" w:hAnsi="Arial"/>
                <w:sz w:val="16"/>
                <w:szCs w:val="16"/>
                <w:color w:val="auto"/>
              </w:rPr>
              <w:t>Committee Member</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7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-4121150</wp:posOffset>
            </wp:positionV>
            <wp:extent cx="351155" cy="9601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1155" cy="96012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-2903855</wp:posOffset>
            </wp:positionV>
            <wp:extent cx="351155" cy="9512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1155" cy="951230"/>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-1703705</wp:posOffset>
            </wp:positionV>
            <wp:extent cx="368300" cy="17227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8300" cy="17227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-127000</wp:posOffset>
            </wp:positionV>
            <wp:extent cx="94615" cy="93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2821305</wp:posOffset>
            </wp:positionV>
            <wp:extent cx="33401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40"/>
        <w:spacing w:after="0"/>
        <w:tabs>
          <w:tab w:leader="none" w:pos="8620" w:val="left"/>
        </w:tabs>
        <w:rPr>
          <w:sz w:val="20"/>
          <w:szCs w:val="20"/>
          <w:color w:val="auto"/>
        </w:rPr>
      </w:pPr>
      <w:r>
        <w:rPr>
          <w:rFonts w:ascii="Arial" w:cs="Arial" w:eastAsia="Arial" w:hAnsi="Arial"/>
          <w:sz w:val="14"/>
          <w:szCs w:val="14"/>
          <w:color w:val="auto"/>
        </w:rPr>
        <w:t>»  4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Executive Compensation Policies and Practices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current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106680</wp:posOffset>
            </wp:positionV>
            <wp:extent cx="2974340" cy="4663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74340" cy="4663440"/>
                    </a:xfrm>
                    <a:prstGeom prst="rect">
                      <a:avLst/>
                    </a:prstGeom>
                    <a:noFill/>
                  </pic:spPr>
                </pic:pic>
              </a:graphicData>
            </a:graphic>
          </wp:anchor>
        </w:drawing>
      </w:r>
    </w:p>
    <w:p>
      <w:pPr>
        <w:spacing w:after="0" w:line="19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FFFFFF"/>
        </w:rPr>
        <w:t>WHAT WE DO</w:t>
      </w:r>
    </w:p>
    <w:p>
      <w:pPr>
        <w:spacing w:after="0" w:line="135" w:lineRule="exact"/>
        <w:rPr>
          <w:sz w:val="20"/>
          <w:szCs w:val="20"/>
          <w:color w:val="auto"/>
        </w:rPr>
      </w:pPr>
    </w:p>
    <w:p>
      <w:pPr>
        <w:ind w:left="1240" w:right="1100"/>
        <w:spacing w:after="0" w:line="294" w:lineRule="auto"/>
        <w:rPr>
          <w:sz w:val="20"/>
          <w:szCs w:val="20"/>
          <w:color w:val="auto"/>
        </w:rPr>
      </w:pPr>
      <w:r>
        <w:rPr>
          <w:rFonts w:ascii="Arial" w:cs="Arial" w:eastAsia="Arial" w:hAnsi="Arial"/>
          <w:sz w:val="15"/>
          <w:szCs w:val="15"/>
          <w:color w:val="auto"/>
        </w:rPr>
        <w:t>Maintain an Independent Compensation Committee. The compensation committee consists solely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-393065</wp:posOffset>
            </wp:positionV>
            <wp:extent cx="197485" cy="19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-393065</wp:posOffset>
            </wp:positionV>
            <wp:extent cx="197485"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7485"/>
                    </a:xfrm>
                    <a:prstGeom prst="rect">
                      <a:avLst/>
                    </a:prstGeom>
                    <a:noFill/>
                  </pic:spPr>
                </pic:pic>
              </a:graphicData>
            </a:graphic>
          </wp:anchor>
        </w:drawing>
      </w:r>
    </w:p>
    <w:p>
      <w:pPr>
        <w:ind w:left="1240" w:right="620" w:hanging="46"/>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Retain an Independent Compensation Advisor. The compensation committee engages its own compensation advisor to provide information and analysis regarding our executive and equity incentive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-631190</wp:posOffset>
            </wp:positionV>
            <wp:extent cx="197485" cy="196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-631190</wp:posOffset>
            </wp:positionV>
            <wp:extent cx="197485" cy="196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r>
    </w:p>
    <w:p>
      <w:pPr>
        <w:ind w:left="1240" w:right="540" w:hanging="46"/>
        <w:spacing w:after="0" w:line="247"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Annual Executive Compensation Risk Assessment. The compensation committee annually reviews our compensation programs and compensation-related risks to ensure that our compensation programs do not encourage excessive or inappropriate risk-taking and that the level of risk that they do encourage is not reasonably likely to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-1132840</wp:posOffset>
            </wp:positionV>
            <wp:extent cx="197485"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-1132840</wp:posOffset>
            </wp:positionV>
            <wp:extent cx="197485" cy="197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7485"/>
                    </a:xfrm>
                    <a:prstGeom prst="rect">
                      <a:avLst/>
                    </a:prstGeom>
                    <a:noFill/>
                  </pic:spPr>
                </pic:pic>
              </a:graphicData>
            </a:graphic>
          </wp:anchor>
        </w:drawing>
      </w:r>
    </w:p>
    <w:p>
      <w:pPr>
        <w:spacing w:after="0" w:line="246" w:lineRule="exact"/>
        <w:rPr>
          <w:sz w:val="20"/>
          <w:szCs w:val="20"/>
          <w:color w:val="auto"/>
        </w:rPr>
      </w:pPr>
    </w:p>
    <w:p>
      <w:pPr>
        <w:ind w:left="1240" w:right="540" w:hanging="46"/>
        <w:spacing w:after="0" w:line="260" w:lineRule="auto"/>
        <w:rPr>
          <w:sz w:val="20"/>
          <w:szCs w:val="20"/>
          <w:color w:val="auto"/>
        </w:rPr>
      </w:pPr>
      <w:r>
        <w:rPr>
          <w:rFonts w:ascii="Arial" w:cs="Arial" w:eastAsia="Arial" w:hAnsi="Arial"/>
          <w:sz w:val="16"/>
          <w:szCs w:val="16"/>
          <w:color w:val="auto"/>
        </w:rPr>
        <w:t>​Meaningful Amount of Compensation At-Risk. Our executive compensation program is designed so that a significant portion of compensation is “at risk” based on our performance to align the interests of our executive officers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-741045</wp:posOffset>
            </wp:positionV>
            <wp:extent cx="197485" cy="197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-741045</wp:posOffset>
            </wp:positionV>
            <wp:extent cx="197485"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7485"/>
                    </a:xfrm>
                    <a:prstGeom prst="rect">
                      <a:avLst/>
                    </a:prstGeom>
                    <a:noFill/>
                  </pic:spPr>
                </pic:pic>
              </a:graphicData>
            </a:graphic>
          </wp:anchor>
        </w:drawing>
      </w:r>
    </w:p>
    <w:p>
      <w:pPr>
        <w:ind w:left="1240" w:right="540" w:hanging="46"/>
        <w:spacing w:after="0" w:line="232"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Succession Planning. We review the risks associated with our key executive officer positions to ensure adequate succession plans are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-502920</wp:posOffset>
            </wp:positionV>
            <wp:extent cx="197485" cy="196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-502920</wp:posOffset>
            </wp:positionV>
            <wp:extent cx="197485" cy="196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r>
    </w:p>
    <w:p>
      <w:pPr>
        <w:spacing w:after="0" w:line="105" w:lineRule="exact"/>
        <w:rPr>
          <w:sz w:val="20"/>
          <w:szCs w:val="20"/>
          <w:color w:val="auto"/>
        </w:rPr>
      </w:pPr>
    </w:p>
    <w:p>
      <w:pPr>
        <w:ind w:left="1240" w:right="580"/>
        <w:spacing w:after="0" w:line="295" w:lineRule="auto"/>
        <w:rPr>
          <w:sz w:val="20"/>
          <w:szCs w:val="20"/>
          <w:color w:val="auto"/>
        </w:rPr>
      </w:pPr>
      <w:r>
        <w:rPr>
          <w:rFonts w:ascii="Arial" w:cs="Arial" w:eastAsia="Arial" w:hAnsi="Arial"/>
          <w:sz w:val="15"/>
          <w:szCs w:val="15"/>
          <w:color w:val="auto"/>
        </w:rPr>
        <w:t>Clawback Policy and Stock Ownership Guidelines. We have a clawback policy and stock ownership guidelines for our executive officers to align their interest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-528955</wp:posOffset>
            </wp:positionV>
            <wp:extent cx="197485" cy="196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-528955</wp:posOffset>
            </wp:positionV>
            <wp:extent cx="197485" cy="196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2839720</wp:posOffset>
            </wp:positionV>
            <wp:extent cx="33401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-161925</wp:posOffset>
            </wp:positionV>
            <wp:extent cx="2700020"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00020" cy="197485"/>
                    </a:xfrm>
                    <a:prstGeom prst="rect">
                      <a:avLst/>
                    </a:prstGeom>
                    <a:noFill/>
                  </pic:spPr>
                </pic:pic>
              </a:graphicData>
            </a:graphic>
          </wp:anchor>
        </w:drawing>
      </w:r>
    </w:p>
    <w:p>
      <w:pPr>
        <w:spacing w:after="0" w:line="115" w:lineRule="exact"/>
        <w:rPr>
          <w:sz w:val="20"/>
          <w:szCs w:val="20"/>
          <w:color w:val="auto"/>
        </w:rPr>
      </w:pPr>
    </w:p>
    <w:p>
      <w:pPr>
        <w:ind w:left="420" w:right="160"/>
        <w:spacing w:after="0" w:line="275" w:lineRule="auto"/>
        <w:rPr>
          <w:sz w:val="20"/>
          <w:szCs w:val="20"/>
          <w:color w:val="auto"/>
        </w:rPr>
      </w:pPr>
      <w:r>
        <w:rPr>
          <w:rFonts w:ascii="Arial" w:cs="Arial" w:eastAsia="Arial" w:hAnsi="Arial"/>
          <w:sz w:val="16"/>
          <w:szCs w:val="16"/>
          <w:color w:val="auto"/>
        </w:rPr>
        <w:t>No Generous Perquisites. We provide only limited perquisites or personal benefits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-391795</wp:posOffset>
            </wp:positionV>
            <wp:extent cx="18034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ind w:left="420" w:hanging="141"/>
        <w:spacing w:after="0" w:line="230" w:lineRule="auto"/>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No Exclusive Executive Retirement Plans. We do</w:t>
      </w:r>
      <w:r>
        <w:rPr>
          <w:sz w:val="20"/>
          <w:szCs w:val="20"/>
          <w:color w:val="auto"/>
        </w:rPr>
        <w:t xml:space="preserve"> </w:t>
      </w:r>
      <w:r>
        <w:rPr>
          <w:rFonts w:ascii="Arial" w:cs="Arial" w:eastAsia="Arial" w:hAnsi="Arial"/>
          <w:sz w:val="25"/>
          <w:szCs w:val="25"/>
          <w:color w:val="auto"/>
          <w:vertAlign w:val="superscript"/>
        </w:rPr>
        <w:t>​ not offer defined benefit pension arrangements and we do not provide retirement plans to our executive officers that are different from or in addition to those offered to our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-629920</wp:posOffset>
            </wp:positionV>
            <wp:extent cx="18034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ind w:left="420" w:hanging="141"/>
        <w:spacing w:after="0" w:line="213" w:lineRule="auto"/>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No Special Health or Welfare Benefits. Our</w:t>
      </w:r>
      <w:r>
        <w:rPr>
          <w:sz w:val="20"/>
          <w:szCs w:val="20"/>
          <w:color w:val="auto"/>
        </w:rPr>
        <w:t xml:space="preserve"> </w:t>
      </w:r>
      <w:r>
        <w:rPr>
          <w:rFonts w:ascii="Arial" w:cs="Arial" w:eastAsia="Arial" w:hAnsi="Arial"/>
          <w:sz w:val="27"/>
          <w:szCs w:val="27"/>
          <w:color w:val="auto"/>
          <w:vertAlign w:val="superscript"/>
        </w:rPr>
        <w:t>​ executive officers participate in broad-based Company-sponsored health and welfare benefits programs on the same basis as our other full-time,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-630555</wp:posOffset>
            </wp:positionV>
            <wp:extent cx="180340" cy="180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ind w:left="420" w:hanging="141"/>
        <w:spacing w:after="0" w:line="188" w:lineRule="auto"/>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No Hedging or Pledging of our Equity Securities.</w:t>
      </w:r>
      <w:r>
        <w:rPr>
          <w:sz w:val="20"/>
          <w:szCs w:val="20"/>
          <w:color w:val="auto"/>
        </w:rPr>
        <w:t xml:space="preserve"> </w:t>
      </w:r>
      <w:r>
        <w:rPr>
          <w:rFonts w:ascii="Arial" w:cs="Arial" w:eastAsia="Arial" w:hAnsi="Arial"/>
          <w:sz w:val="30"/>
          <w:szCs w:val="30"/>
          <w:color w:val="auto"/>
          <w:vertAlign w:val="superscript"/>
        </w:rPr>
        <w:t>​ Our insider trading policy prohibits our executive officers, members of the Board and other employees from hedging or pledging our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-624205</wp:posOffset>
            </wp:positionV>
            <wp:extent cx="18034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ind w:left="420" w:hanging="141"/>
        <w:spacing w:after="0" w:line="231" w:lineRule="auto"/>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No Dividends or Dividend Equivalents Payable on </w:t>
      </w:r>
      <w:r>
        <w:rPr>
          <w:rFonts w:ascii="Arial" w:cs="Arial" w:eastAsia="Arial" w:hAnsi="Arial"/>
          <w:sz w:val="32"/>
          <w:szCs w:val="32"/>
          <w:color w:val="auto"/>
          <w:vertAlign w:val="superscript"/>
        </w:rPr>
        <w:t>​</w:t>
      </w:r>
      <w:r>
        <w:rPr>
          <w:rFonts w:ascii="Arial" w:cs="Arial" w:eastAsia="Arial" w:hAnsi="Arial"/>
          <w:sz w:val="16"/>
          <w:szCs w:val="16"/>
          <w:color w:val="auto"/>
        </w:rPr>
        <w:t xml:space="preserve"> Unvested Equity Awards. We do not pay dividends or dividend equivalents on unvested RSUs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-502920</wp:posOffset>
            </wp:positionV>
            <wp:extent cx="18034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p>
    <w:p>
      <w:pPr>
        <w:spacing w:after="0" w:line="1876" w:lineRule="exact"/>
        <w:rPr>
          <w:sz w:val="20"/>
          <w:szCs w:val="20"/>
          <w:color w:val="auto"/>
        </w:rPr>
      </w:pPr>
    </w:p>
    <w:p>
      <w:pPr>
        <w:sectPr>
          <w:pgSz w:w="11900" w:h="16838" w:orient="portrait"/>
          <w:cols w:equalWidth="0" w:num="2">
            <w:col w:w="5300" w:space="680"/>
            <w:col w:w="410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40"/>
        <w:spacing w:after="0"/>
        <w:tabs>
          <w:tab w:leader="none" w:pos="8620" w:val="left"/>
        </w:tabs>
        <w:rPr>
          <w:sz w:val="20"/>
          <w:szCs w:val="20"/>
          <w:color w:val="auto"/>
        </w:rPr>
      </w:pPr>
      <w:r>
        <w:rPr>
          <w:rFonts w:ascii="Arial" w:cs="Arial" w:eastAsia="Arial" w:hAnsi="Arial"/>
          <w:sz w:val="14"/>
          <w:szCs w:val="14"/>
          <w:color w:val="auto"/>
        </w:rPr>
        <w:t>»  5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0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321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75565</wp:posOffset>
            </wp:positionV>
            <wp:extent cx="5966460" cy="4540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6460" cy="454025"/>
                    </a:xfrm>
                    <a:prstGeom prst="rect">
                      <a:avLst/>
                    </a:prstGeom>
                    <a:noFill/>
                  </pic:spPr>
                </pic:pic>
              </a:graphicData>
            </a:graphic>
          </wp:anchor>
        </w:drawing>
      </w:r>
    </w:p>
    <w:p>
      <w:pPr>
        <w:spacing w:after="0" w:line="165" w:lineRule="exact"/>
        <w:rPr>
          <w:sz w:val="20"/>
          <w:szCs w:val="20"/>
          <w:color w:val="auto"/>
        </w:rPr>
      </w:pPr>
    </w:p>
    <w:p>
      <w:pPr>
        <w:ind w:left="780" w:right="1700"/>
        <w:spacing w:after="0" w:line="272" w:lineRule="auto"/>
        <w:rPr>
          <w:sz w:val="20"/>
          <w:szCs w:val="20"/>
          <w:color w:val="auto"/>
        </w:rPr>
      </w:pPr>
      <w:r>
        <w:rPr>
          <w:rFonts w:ascii="Arial" w:cs="Arial" w:eastAsia="Arial" w:hAnsi="Arial"/>
          <w:sz w:val="22"/>
          <w:szCs w:val="22"/>
          <w:b w:val="1"/>
          <w:bCs w:val="1"/>
          <w:color w:val="FFFFFF"/>
        </w:rPr>
        <w:t>The Board of Directors unanimously recommends that you vote “FOR” the election of Che-Wei Lin and Robert Flanagan as Class I Directors.</w:t>
      </w:r>
    </w:p>
    <w:p>
      <w:pPr>
        <w:spacing w:after="0" w:line="264" w:lineRule="exact"/>
        <w:rPr>
          <w:sz w:val="20"/>
          <w:szCs w:val="20"/>
          <w:color w:val="auto"/>
        </w:rPr>
      </w:pPr>
    </w:p>
    <w:p>
      <w:pPr>
        <w:ind w:left="660" w:right="660"/>
        <w:spacing w:after="0" w:line="271" w:lineRule="auto"/>
        <w:rPr>
          <w:sz w:val="20"/>
          <w:szCs w:val="20"/>
          <w:color w:val="auto"/>
        </w:rPr>
      </w:pPr>
      <w:r>
        <w:rPr>
          <w:rFonts w:ascii="Arial" w:cs="Arial" w:eastAsia="Arial" w:hAnsi="Arial"/>
          <w:sz w:val="16"/>
          <w:szCs w:val="16"/>
          <w:color w:val="auto"/>
        </w:rPr>
        <w:t>We have a classified Board consisting of two Class I directors, two Class II directors and three Class III directors. At each annual meeting of stockholders, directors are elected for a term of three years to succeed those directors whose terms expire at such annual meeting date. There are no arrangements or understandings between any director and any other person pursuant to which he or she is or was to be selected as a director of the Company.</w:t>
      </w:r>
    </w:p>
    <w:p>
      <w:pPr>
        <w:spacing w:after="0" w:line="73" w:lineRule="exact"/>
        <w:rPr>
          <w:sz w:val="20"/>
          <w:szCs w:val="20"/>
          <w:color w:val="auto"/>
        </w:rPr>
      </w:pPr>
    </w:p>
    <w:p>
      <w:pPr>
        <w:ind w:left="660" w:right="700"/>
        <w:spacing w:after="0" w:line="262" w:lineRule="auto"/>
        <w:rPr>
          <w:sz w:val="20"/>
          <w:szCs w:val="20"/>
          <w:color w:val="auto"/>
        </w:rPr>
      </w:pPr>
      <w:r>
        <w:rPr>
          <w:rFonts w:ascii="Arial" w:cs="Arial" w:eastAsia="Arial" w:hAnsi="Arial"/>
          <w:sz w:val="16"/>
          <w:szCs w:val="16"/>
          <w:color w:val="auto"/>
        </w:rPr>
        <w:t>The term of the Class I directors, Che-Wei Lin and Dr. Elizabeth Loboa, will expire at the upcoming Annual Meeting. Accordingly, two persons are to be elected to serve as Class I directors of the Board at the Annual Meeting. The Board’s nominees for election by the stockholders to those two positions are current Class I member of the Board, Che-Wei Lin and new nominee, Robert Flanagan. After many years of dedicated service, Dr. Loboa will not stand for re-election and will be retiring from the Board at the conclusion of her current term. The Board thanks Dr. Loboa for her contributions and distinguished service. If elected, each nominee will serve for a term expiring at our annual meeting of stockholders in 2029 and hold office until their respective successors are duly elected and qualified. If any of the director nominees declines to serve or becomes unavailable for any reason (although we know of no reason to anticipate that this will occur), or if a vacancy occurs before the election, the proxies may be voted for such substitute nominees as we may designate. The proxies cannot vote for more than two persons.</w:t>
      </w:r>
    </w:p>
    <w:p>
      <w:pPr>
        <w:spacing w:after="0" w:line="82" w:lineRule="exact"/>
        <w:rPr>
          <w:sz w:val="20"/>
          <w:szCs w:val="20"/>
          <w:color w:val="auto"/>
        </w:rPr>
      </w:pPr>
    </w:p>
    <w:p>
      <w:pPr>
        <w:ind w:left="660" w:right="680"/>
        <w:spacing w:after="0" w:line="286" w:lineRule="auto"/>
        <w:rPr>
          <w:sz w:val="20"/>
          <w:szCs w:val="20"/>
          <w:color w:val="auto"/>
        </w:rPr>
      </w:pPr>
      <w:r>
        <w:rPr>
          <w:rFonts w:ascii="Arial" w:cs="Arial" w:eastAsia="Arial" w:hAnsi="Arial"/>
          <w:sz w:val="16"/>
          <w:szCs w:val="16"/>
          <w:color w:val="auto"/>
        </w:rPr>
        <w:t>We believe that each of our directors has demonstrated business acumen, ethical integrity, and an ability to exercise sound judgment as well as a commitment of service to us and our Board.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 and Board of Directors Recommendation</w:t>
      </w:r>
    </w:p>
    <w:p>
      <w:pPr>
        <w:spacing w:after="0" w:line="126" w:lineRule="exact"/>
        <w:rPr>
          <w:sz w:val="20"/>
          <w:szCs w:val="20"/>
          <w:color w:val="auto"/>
        </w:rPr>
      </w:pPr>
    </w:p>
    <w:p>
      <w:pPr>
        <w:ind w:left="660" w:right="760"/>
        <w:spacing w:after="0" w:line="288" w:lineRule="auto"/>
        <w:rPr>
          <w:sz w:val="20"/>
          <w:szCs w:val="20"/>
          <w:color w:val="auto"/>
        </w:rPr>
      </w:pPr>
      <w:r>
        <w:rPr>
          <w:rFonts w:ascii="Arial" w:cs="Arial" w:eastAsia="Arial" w:hAnsi="Arial"/>
          <w:sz w:val="15"/>
          <w:szCs w:val="15"/>
          <w:color w:val="auto"/>
        </w:rPr>
        <w:t>The two director nominees to serve as Class I directors will be elected by a plurality of the votes properly cast on the proposal at the Annual Meeting, where a quorum is present, meaning that the two nominees who receive the highest number of “FOR” votes will be elected as Class I directors. You may vote “FOR” or “WITHHOLD” with respect to each director nominee. “WITHHOLD” votes and broker non-votes are not considered votes cast for the election of directors and will have no effect on the election of the nominee.</w:t>
      </w:r>
    </w:p>
    <w:p>
      <w:pPr>
        <w:spacing w:after="0" w:line="63" w:lineRule="exact"/>
        <w:rPr>
          <w:sz w:val="20"/>
          <w:szCs w:val="20"/>
          <w:color w:val="auto"/>
        </w:rPr>
      </w:pPr>
    </w:p>
    <w:p>
      <w:pPr>
        <w:ind w:left="660" w:right="940"/>
        <w:spacing w:after="0" w:line="275" w:lineRule="auto"/>
        <w:rPr>
          <w:sz w:val="20"/>
          <w:szCs w:val="20"/>
          <w:color w:val="auto"/>
        </w:rPr>
      </w:pPr>
      <w:r>
        <w:rPr>
          <w:rFonts w:ascii="Arial" w:cs="Arial" w:eastAsia="Arial" w:hAnsi="Arial"/>
          <w:sz w:val="16"/>
          <w:szCs w:val="16"/>
          <w:color w:val="auto"/>
        </w:rPr>
        <w:t>Biographical information concerning each of our directors, including the nominees, is set forth below as of April 24, 2026. Also set forth below are the specific experience, qualifications, attributes, or skills that led our nominating and corporate governance committee to conclude that each person should serve as a director.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 w:type="dxa"/>
            <w:vAlign w:val="bottom"/>
          </w:tcPr>
          <w:p>
            <w:pPr>
              <w:spacing w:after="0"/>
              <w:rPr>
                <w:sz w:val="19"/>
                <w:szCs w:val="19"/>
                <w:color w:val="auto"/>
              </w:rPr>
            </w:pPr>
          </w:p>
        </w:tc>
        <w:tc>
          <w:tcPr>
            <w:tcW w:w="7000" w:type="dxa"/>
            <w:vAlign w:val="bottom"/>
          </w:tcPr>
          <w:p>
            <w:pPr>
              <w:ind w:left="80"/>
              <w:spacing w:after="0"/>
              <w:rPr>
                <w:sz w:val="20"/>
                <w:szCs w:val="20"/>
                <w:color w:val="auto"/>
              </w:rPr>
            </w:pPr>
            <w:r>
              <w:rPr>
                <w:rFonts w:ascii="Arial" w:cs="Arial" w:eastAsia="Arial" w:hAnsi="Arial"/>
                <w:sz w:val="16"/>
                <w:szCs w:val="16"/>
                <w:b w:val="1"/>
                <w:bCs w:val="1"/>
                <w:color w:val="auto"/>
              </w:rPr>
              <w:t>Name</w:t>
            </w:r>
          </w:p>
        </w:tc>
        <w:tc>
          <w:tcPr>
            <w:tcW w:w="1260" w:type="dxa"/>
            <w:vAlign w:val="bottom"/>
          </w:tcPr>
          <w:p>
            <w:pPr>
              <w:jc w:val="center"/>
              <w:ind w:left="640"/>
              <w:spacing w:after="0"/>
              <w:rPr>
                <w:sz w:val="20"/>
                <w:szCs w:val="20"/>
                <w:color w:val="auto"/>
              </w:rPr>
            </w:pPr>
            <w:r>
              <w:rPr>
                <w:rFonts w:ascii="Arial" w:cs="Arial" w:eastAsia="Arial" w:hAnsi="Arial"/>
                <w:sz w:val="16"/>
                <w:szCs w:val="16"/>
                <w:b w:val="1"/>
                <w:bCs w:val="1"/>
                <w:color w:val="auto"/>
                <w:w w:val="99"/>
              </w:rPr>
              <w:t>Age</w:t>
            </w:r>
          </w:p>
        </w:tc>
        <w:tc>
          <w:tcPr>
            <w:tcW w:w="1140" w:type="dxa"/>
            <w:vAlign w:val="bottom"/>
          </w:tcPr>
          <w:p>
            <w:pPr>
              <w:jc w:val="center"/>
              <w:ind w:left="19"/>
              <w:spacing w:after="0"/>
              <w:rPr>
                <w:sz w:val="20"/>
                <w:szCs w:val="20"/>
                <w:color w:val="auto"/>
              </w:rPr>
            </w:pPr>
            <w:r>
              <w:rPr>
                <w:rFonts w:ascii="Arial" w:cs="Arial" w:eastAsia="Arial" w:hAnsi="Arial"/>
                <w:sz w:val="16"/>
                <w:szCs w:val="16"/>
                <w:b w:val="1"/>
                <w:bCs w:val="1"/>
                <w:color w:val="auto"/>
                <w:w w:val="95"/>
              </w:rPr>
              <w:t>Director Since</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7000" w:type="dxa"/>
            <w:vAlign w:val="bottom"/>
            <w:tcBorders>
              <w:bottom w:val="single" w:sz="8" w:color="4834BA"/>
            </w:tcBorders>
            <w:shd w:val="clear" w:color="auto" w:fill="4834BA"/>
          </w:tcPr>
          <w:p>
            <w:pPr>
              <w:ind w:left="80"/>
              <w:spacing w:after="0"/>
              <w:rPr>
                <w:sz w:val="20"/>
                <w:szCs w:val="20"/>
                <w:color w:val="auto"/>
              </w:rPr>
            </w:pPr>
            <w:r>
              <w:rPr>
                <w:rFonts w:ascii="Arial" w:cs="Arial" w:eastAsia="Arial" w:hAnsi="Arial"/>
                <w:sz w:val="16"/>
                <w:szCs w:val="16"/>
                <w:b w:val="1"/>
                <w:bCs w:val="1"/>
                <w:color w:val="FEFEFE"/>
              </w:rPr>
              <w:t>Class I Directors Whose Terms Expire at this Annual Meeting:</w:t>
            </w:r>
          </w:p>
        </w:tc>
        <w:tc>
          <w:tcPr>
            <w:tcW w:w="1260" w:type="dxa"/>
            <w:vAlign w:val="bottom"/>
            <w:tcBorders>
              <w:bottom w:val="single" w:sz="8" w:color="4834BA"/>
            </w:tcBorders>
            <w:shd w:val="clear" w:color="auto" w:fill="4834BA"/>
          </w:tcPr>
          <w:p>
            <w:pPr>
              <w:spacing w:after="0"/>
              <w:rPr>
                <w:sz w:val="24"/>
                <w:szCs w:val="24"/>
                <w:color w:val="auto"/>
              </w:rPr>
            </w:pPr>
          </w:p>
        </w:tc>
        <w:tc>
          <w:tcPr>
            <w:tcW w:w="1140" w:type="dxa"/>
            <w:vAlign w:val="bottom"/>
            <w:tcBorders>
              <w:bottom w:val="single" w:sz="8" w:color="4834BA"/>
            </w:tcBorders>
            <w:shd w:val="clear" w:color="auto" w:fill="4834BA"/>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7000" w:type="dxa"/>
            <w:vAlign w:val="bottom"/>
          </w:tcPr>
          <w:p>
            <w:pPr>
              <w:ind w:left="80"/>
              <w:spacing w:after="0"/>
              <w:rPr>
                <w:sz w:val="20"/>
                <w:szCs w:val="20"/>
                <w:color w:val="auto"/>
              </w:rPr>
            </w:pPr>
            <w:r>
              <w:rPr>
                <w:rFonts w:ascii="Arial" w:cs="Arial" w:eastAsia="Arial" w:hAnsi="Arial"/>
                <w:sz w:val="16"/>
                <w:szCs w:val="16"/>
                <w:color w:val="auto"/>
              </w:rPr>
              <w:t>Che-Wei Lin</w:t>
            </w:r>
          </w:p>
        </w:tc>
        <w:tc>
          <w:tcPr>
            <w:tcW w:w="1260" w:type="dxa"/>
            <w:vAlign w:val="bottom"/>
          </w:tcPr>
          <w:p>
            <w:pPr>
              <w:jc w:val="center"/>
              <w:ind w:left="640"/>
              <w:spacing w:after="0"/>
              <w:rPr>
                <w:sz w:val="20"/>
                <w:szCs w:val="20"/>
                <w:color w:val="auto"/>
              </w:rPr>
            </w:pPr>
            <w:r>
              <w:rPr>
                <w:rFonts w:ascii="Arial" w:cs="Arial" w:eastAsia="Arial" w:hAnsi="Arial"/>
                <w:sz w:val="16"/>
                <w:szCs w:val="16"/>
                <w:color w:val="auto"/>
              </w:rPr>
              <w:t>62</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2014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7000" w:type="dxa"/>
            <w:vAlign w:val="bottom"/>
          </w:tcPr>
          <w:p>
            <w:pPr>
              <w:ind w:left="80"/>
              <w:spacing w:after="0"/>
              <w:rPr>
                <w:sz w:val="20"/>
                <w:szCs w:val="20"/>
                <w:color w:val="auto"/>
              </w:rPr>
            </w:pPr>
            <w:r>
              <w:rPr>
                <w:rFonts w:ascii="Arial" w:cs="Arial" w:eastAsia="Arial" w:hAnsi="Arial"/>
                <w:sz w:val="16"/>
                <w:szCs w:val="16"/>
                <w:color w:val="auto"/>
              </w:rPr>
              <w:t>Elizabeth Loboa</w:t>
            </w:r>
          </w:p>
        </w:tc>
        <w:tc>
          <w:tcPr>
            <w:tcW w:w="1260" w:type="dxa"/>
            <w:vAlign w:val="bottom"/>
          </w:tcPr>
          <w:p>
            <w:pPr>
              <w:jc w:val="center"/>
              <w:ind w:left="640"/>
              <w:spacing w:after="0"/>
              <w:rPr>
                <w:sz w:val="20"/>
                <w:szCs w:val="20"/>
                <w:color w:val="auto"/>
              </w:rPr>
            </w:pPr>
            <w:r>
              <w:rPr>
                <w:rFonts w:ascii="Arial" w:cs="Arial" w:eastAsia="Arial" w:hAnsi="Arial"/>
                <w:sz w:val="16"/>
                <w:szCs w:val="16"/>
                <w:color w:val="auto"/>
              </w:rPr>
              <w:t>59</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2020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7000" w:type="dxa"/>
            <w:vAlign w:val="bottom"/>
            <w:tcBorders>
              <w:bottom w:val="single" w:sz="8" w:color="4834BA"/>
            </w:tcBorders>
            <w:shd w:val="clear" w:color="auto" w:fill="4834BA"/>
          </w:tcPr>
          <w:p>
            <w:pPr>
              <w:ind w:left="80"/>
              <w:spacing w:after="0"/>
              <w:rPr>
                <w:sz w:val="20"/>
                <w:szCs w:val="20"/>
                <w:color w:val="auto"/>
              </w:rPr>
            </w:pPr>
            <w:r>
              <w:rPr>
                <w:rFonts w:ascii="Arial" w:cs="Arial" w:eastAsia="Arial" w:hAnsi="Arial"/>
                <w:sz w:val="16"/>
                <w:szCs w:val="16"/>
                <w:b w:val="1"/>
                <w:bCs w:val="1"/>
                <w:color w:val="FEFEFE"/>
              </w:rPr>
              <w:t>New Class I Director Nominee:</w:t>
            </w:r>
          </w:p>
        </w:tc>
        <w:tc>
          <w:tcPr>
            <w:tcW w:w="1260" w:type="dxa"/>
            <w:vAlign w:val="bottom"/>
            <w:tcBorders>
              <w:bottom w:val="single" w:sz="8" w:color="4834BA"/>
            </w:tcBorders>
            <w:shd w:val="clear" w:color="auto" w:fill="4834BA"/>
          </w:tcPr>
          <w:p>
            <w:pPr>
              <w:spacing w:after="0"/>
              <w:rPr>
                <w:sz w:val="24"/>
                <w:szCs w:val="24"/>
                <w:color w:val="auto"/>
              </w:rPr>
            </w:pPr>
          </w:p>
        </w:tc>
        <w:tc>
          <w:tcPr>
            <w:tcW w:w="1140" w:type="dxa"/>
            <w:vAlign w:val="bottom"/>
            <w:tcBorders>
              <w:bottom w:val="single" w:sz="8" w:color="4834BA"/>
            </w:tcBorders>
            <w:shd w:val="clear" w:color="auto" w:fill="4834BA"/>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7000" w:type="dxa"/>
            <w:vAlign w:val="bottom"/>
            <w:vMerge w:val="restart"/>
          </w:tcPr>
          <w:p>
            <w:pPr>
              <w:ind w:left="80"/>
              <w:spacing w:after="0"/>
              <w:rPr>
                <w:sz w:val="20"/>
                <w:szCs w:val="20"/>
                <w:color w:val="auto"/>
              </w:rPr>
            </w:pPr>
            <w:r>
              <w:rPr>
                <w:rFonts w:ascii="Arial" w:cs="Arial" w:eastAsia="Arial" w:hAnsi="Arial"/>
                <w:sz w:val="16"/>
                <w:szCs w:val="16"/>
                <w:color w:val="auto"/>
              </w:rPr>
              <w:t>Robert Flanagan</w:t>
            </w:r>
          </w:p>
        </w:tc>
        <w:tc>
          <w:tcPr>
            <w:tcW w:w="1260" w:type="dxa"/>
            <w:vAlign w:val="bottom"/>
            <w:vMerge w:val="restart"/>
          </w:tcPr>
          <w:p>
            <w:pPr>
              <w:jc w:val="center"/>
              <w:ind w:left="640"/>
              <w:spacing w:after="0"/>
              <w:rPr>
                <w:sz w:val="20"/>
                <w:szCs w:val="20"/>
                <w:color w:val="auto"/>
              </w:rPr>
            </w:pPr>
            <w:r>
              <w:rPr>
                <w:rFonts w:ascii="Arial" w:cs="Arial" w:eastAsia="Arial" w:hAnsi="Arial"/>
                <w:sz w:val="16"/>
                <w:szCs w:val="16"/>
                <w:color w:val="auto"/>
              </w:rPr>
              <w:t>57</w:t>
            </w:r>
          </w:p>
        </w:tc>
        <w:tc>
          <w:tcPr>
            <w:tcW w:w="1140" w:type="dxa"/>
            <w:vAlign w:val="bottom"/>
          </w:tcPr>
          <w:p>
            <w:pPr>
              <w:ind w:left="6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70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7000" w:type="dxa"/>
            <w:vAlign w:val="bottom"/>
            <w:tcBorders>
              <w:bottom w:val="single" w:sz="8" w:color="4834BA"/>
            </w:tcBorders>
            <w:shd w:val="clear" w:color="auto" w:fill="4834BA"/>
          </w:tcPr>
          <w:p>
            <w:pPr>
              <w:ind w:left="80"/>
              <w:spacing w:after="0"/>
              <w:rPr>
                <w:sz w:val="20"/>
                <w:szCs w:val="20"/>
                <w:color w:val="auto"/>
              </w:rPr>
            </w:pPr>
            <w:r>
              <w:rPr>
                <w:rFonts w:ascii="Arial" w:cs="Arial" w:eastAsia="Arial" w:hAnsi="Arial"/>
                <w:sz w:val="16"/>
                <w:szCs w:val="16"/>
                <w:b w:val="1"/>
                <w:bCs w:val="1"/>
                <w:color w:val="FEFEFE"/>
              </w:rPr>
              <w:t>Class II Directors Whose Terms Expire at the 2027 Annual Meeting of Stockholders:</w:t>
            </w:r>
          </w:p>
        </w:tc>
        <w:tc>
          <w:tcPr>
            <w:tcW w:w="1260" w:type="dxa"/>
            <w:vAlign w:val="bottom"/>
            <w:tcBorders>
              <w:bottom w:val="single" w:sz="8" w:color="4834BA"/>
            </w:tcBorders>
            <w:shd w:val="clear" w:color="auto" w:fill="4834BA"/>
          </w:tcPr>
          <w:p>
            <w:pPr>
              <w:spacing w:after="0"/>
              <w:rPr>
                <w:sz w:val="24"/>
                <w:szCs w:val="24"/>
                <w:color w:val="auto"/>
              </w:rPr>
            </w:pPr>
          </w:p>
        </w:tc>
        <w:tc>
          <w:tcPr>
            <w:tcW w:w="1140" w:type="dxa"/>
            <w:vAlign w:val="bottom"/>
            <w:tcBorders>
              <w:bottom w:val="single" w:sz="8" w:color="4834BA"/>
            </w:tcBorders>
            <w:shd w:val="clear" w:color="auto" w:fill="4834BA"/>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7000" w:type="dxa"/>
            <w:vAlign w:val="bottom"/>
          </w:tcPr>
          <w:p>
            <w:pPr>
              <w:ind w:left="80"/>
              <w:spacing w:after="0"/>
              <w:rPr>
                <w:sz w:val="20"/>
                <w:szCs w:val="20"/>
                <w:color w:val="auto"/>
              </w:rPr>
            </w:pPr>
            <w:r>
              <w:rPr>
                <w:rFonts w:ascii="Arial" w:cs="Arial" w:eastAsia="Arial" w:hAnsi="Arial"/>
                <w:sz w:val="16"/>
                <w:szCs w:val="16"/>
                <w:color w:val="auto"/>
              </w:rPr>
              <w:t>William H. Yeh</w:t>
            </w:r>
          </w:p>
        </w:tc>
        <w:tc>
          <w:tcPr>
            <w:tcW w:w="1260" w:type="dxa"/>
            <w:vAlign w:val="bottom"/>
          </w:tcPr>
          <w:p>
            <w:pPr>
              <w:jc w:val="center"/>
              <w:ind w:left="640"/>
              <w:spacing w:after="0"/>
              <w:rPr>
                <w:sz w:val="20"/>
                <w:szCs w:val="20"/>
                <w:color w:val="auto"/>
              </w:rPr>
            </w:pPr>
            <w:r>
              <w:rPr>
                <w:rFonts w:ascii="Arial" w:cs="Arial" w:eastAsia="Arial" w:hAnsi="Arial"/>
                <w:sz w:val="16"/>
                <w:szCs w:val="16"/>
                <w:color w:val="auto"/>
              </w:rPr>
              <w:t>73</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2000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7000" w:type="dxa"/>
            <w:vAlign w:val="bottom"/>
          </w:tcPr>
          <w:p>
            <w:pPr>
              <w:ind w:left="80"/>
              <w:spacing w:after="0"/>
              <w:rPr>
                <w:sz w:val="20"/>
                <w:szCs w:val="20"/>
                <w:color w:val="auto"/>
              </w:rPr>
            </w:pPr>
            <w:r>
              <w:rPr>
                <w:rFonts w:ascii="Arial" w:cs="Arial" w:eastAsia="Arial" w:hAnsi="Arial"/>
                <w:sz w:val="16"/>
                <w:szCs w:val="16"/>
                <w:color w:val="auto"/>
              </w:rPr>
              <w:t>Cynthia (Cindy) DeLaney</w:t>
            </w:r>
          </w:p>
        </w:tc>
        <w:tc>
          <w:tcPr>
            <w:tcW w:w="1260" w:type="dxa"/>
            <w:vAlign w:val="bottom"/>
          </w:tcPr>
          <w:p>
            <w:pPr>
              <w:jc w:val="center"/>
              <w:ind w:left="640"/>
              <w:spacing w:after="0"/>
              <w:rPr>
                <w:sz w:val="20"/>
                <w:szCs w:val="20"/>
                <w:color w:val="auto"/>
              </w:rPr>
            </w:pPr>
            <w:r>
              <w:rPr>
                <w:rFonts w:ascii="Arial" w:cs="Arial" w:eastAsia="Arial" w:hAnsi="Arial"/>
                <w:sz w:val="16"/>
                <w:szCs w:val="16"/>
                <w:color w:val="auto"/>
              </w:rPr>
              <w:t>60</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2021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7000" w:type="dxa"/>
            <w:vAlign w:val="bottom"/>
            <w:tcBorders>
              <w:bottom w:val="single" w:sz="8" w:color="4834BA"/>
            </w:tcBorders>
            <w:shd w:val="clear" w:color="auto" w:fill="4834BA"/>
          </w:tcPr>
          <w:p>
            <w:pPr>
              <w:ind w:left="80"/>
              <w:spacing w:after="0"/>
              <w:rPr>
                <w:sz w:val="20"/>
                <w:szCs w:val="20"/>
                <w:color w:val="auto"/>
              </w:rPr>
            </w:pPr>
            <w:r>
              <w:rPr>
                <w:rFonts w:ascii="Arial" w:cs="Arial" w:eastAsia="Arial" w:hAnsi="Arial"/>
                <w:sz w:val="16"/>
                <w:szCs w:val="16"/>
                <w:b w:val="1"/>
                <w:bCs w:val="1"/>
                <w:color w:val="FEFEFE"/>
              </w:rPr>
              <w:t>Class III Directors Whose Terms Expire at the 2028 Annual Meeting of Stockholders:</w:t>
            </w:r>
          </w:p>
        </w:tc>
        <w:tc>
          <w:tcPr>
            <w:tcW w:w="1260" w:type="dxa"/>
            <w:vAlign w:val="bottom"/>
            <w:tcBorders>
              <w:bottom w:val="single" w:sz="8" w:color="4834BA"/>
            </w:tcBorders>
            <w:shd w:val="clear" w:color="auto" w:fill="4834BA"/>
          </w:tcPr>
          <w:p>
            <w:pPr>
              <w:spacing w:after="0"/>
              <w:rPr>
                <w:sz w:val="24"/>
                <w:szCs w:val="24"/>
                <w:color w:val="auto"/>
              </w:rPr>
            </w:pPr>
          </w:p>
        </w:tc>
        <w:tc>
          <w:tcPr>
            <w:tcW w:w="1140" w:type="dxa"/>
            <w:vAlign w:val="bottom"/>
            <w:tcBorders>
              <w:bottom w:val="single" w:sz="8" w:color="4834BA"/>
            </w:tcBorders>
            <w:shd w:val="clear" w:color="auto" w:fill="4834BA"/>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7000" w:type="dxa"/>
            <w:vAlign w:val="bottom"/>
          </w:tcPr>
          <w:p>
            <w:pPr>
              <w:ind w:left="80"/>
              <w:spacing w:after="0"/>
              <w:rPr>
                <w:sz w:val="20"/>
                <w:szCs w:val="20"/>
                <w:color w:val="auto"/>
              </w:rPr>
            </w:pPr>
            <w:r>
              <w:rPr>
                <w:rFonts w:ascii="Arial" w:cs="Arial" w:eastAsia="Arial" w:hAnsi="Arial"/>
                <w:sz w:val="16"/>
                <w:szCs w:val="16"/>
                <w:color w:val="auto"/>
              </w:rPr>
              <w:t>Chih-Hsiang (Thompson) Lin</w:t>
            </w:r>
          </w:p>
        </w:tc>
        <w:tc>
          <w:tcPr>
            <w:tcW w:w="1260" w:type="dxa"/>
            <w:vAlign w:val="bottom"/>
          </w:tcPr>
          <w:p>
            <w:pPr>
              <w:jc w:val="center"/>
              <w:ind w:left="640"/>
              <w:spacing w:after="0"/>
              <w:rPr>
                <w:sz w:val="20"/>
                <w:szCs w:val="20"/>
                <w:color w:val="auto"/>
              </w:rPr>
            </w:pPr>
            <w:r>
              <w:rPr>
                <w:rFonts w:ascii="Arial" w:cs="Arial" w:eastAsia="Arial" w:hAnsi="Arial"/>
                <w:sz w:val="16"/>
                <w:szCs w:val="16"/>
                <w:color w:val="auto"/>
              </w:rPr>
              <w:t>63</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1997</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7000" w:type="dxa"/>
            <w:vAlign w:val="bottom"/>
          </w:tcPr>
          <w:p>
            <w:pPr>
              <w:ind w:left="80"/>
              <w:spacing w:after="0"/>
              <w:rPr>
                <w:sz w:val="20"/>
                <w:szCs w:val="20"/>
                <w:color w:val="auto"/>
              </w:rPr>
            </w:pPr>
            <w:r>
              <w:rPr>
                <w:rFonts w:ascii="Arial" w:cs="Arial" w:eastAsia="Arial" w:hAnsi="Arial"/>
                <w:sz w:val="16"/>
                <w:szCs w:val="16"/>
                <w:color w:val="auto"/>
              </w:rPr>
              <w:t>Richard B. Black</w:t>
            </w:r>
          </w:p>
        </w:tc>
        <w:tc>
          <w:tcPr>
            <w:tcW w:w="1260" w:type="dxa"/>
            <w:vAlign w:val="bottom"/>
          </w:tcPr>
          <w:p>
            <w:pPr>
              <w:jc w:val="center"/>
              <w:ind w:left="640"/>
              <w:spacing w:after="0"/>
              <w:rPr>
                <w:sz w:val="20"/>
                <w:szCs w:val="20"/>
                <w:color w:val="auto"/>
              </w:rPr>
            </w:pPr>
            <w:r>
              <w:rPr>
                <w:rFonts w:ascii="Arial" w:cs="Arial" w:eastAsia="Arial" w:hAnsi="Arial"/>
                <w:sz w:val="16"/>
                <w:szCs w:val="16"/>
                <w:color w:val="auto"/>
              </w:rPr>
              <w:t>92</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2001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7000" w:type="dxa"/>
            <w:vAlign w:val="bottom"/>
          </w:tcPr>
          <w:p>
            <w:pPr>
              <w:ind w:left="80"/>
              <w:spacing w:after="0"/>
              <w:rPr>
                <w:sz w:val="20"/>
                <w:szCs w:val="20"/>
                <w:color w:val="auto"/>
              </w:rPr>
            </w:pPr>
            <w:r>
              <w:rPr>
                <w:rFonts w:ascii="Arial" w:cs="Arial" w:eastAsia="Arial" w:hAnsi="Arial"/>
                <w:sz w:val="16"/>
                <w:szCs w:val="16"/>
                <w:color w:val="auto"/>
              </w:rPr>
              <w:t>Min-Chu (Mike) Chen</w:t>
            </w:r>
          </w:p>
        </w:tc>
        <w:tc>
          <w:tcPr>
            <w:tcW w:w="1260" w:type="dxa"/>
            <w:vAlign w:val="bottom"/>
          </w:tcPr>
          <w:p>
            <w:pPr>
              <w:jc w:val="center"/>
              <w:ind w:left="640"/>
              <w:spacing w:after="0"/>
              <w:rPr>
                <w:sz w:val="20"/>
                <w:szCs w:val="20"/>
                <w:color w:val="auto"/>
              </w:rPr>
            </w:pPr>
            <w:r>
              <w:rPr>
                <w:rFonts w:ascii="Arial" w:cs="Arial" w:eastAsia="Arial" w:hAnsi="Arial"/>
                <w:sz w:val="16"/>
                <w:szCs w:val="16"/>
                <w:color w:val="auto"/>
              </w:rPr>
              <w:t>76</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2013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60" w:type="dxa"/>
            <w:vAlign w:val="bottom"/>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gridSpan w:val="2"/>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9"/>
        </w:trPr>
        <w:tc>
          <w:tcPr>
            <w:tcW w:w="660" w:type="dxa"/>
            <w:vAlign w:val="bottom"/>
          </w:tcPr>
          <w:p>
            <w:pPr>
              <w:spacing w:after="0"/>
              <w:rPr>
                <w:sz w:val="24"/>
                <w:szCs w:val="24"/>
                <w:color w:val="auto"/>
              </w:rPr>
            </w:pPr>
          </w:p>
        </w:tc>
        <w:tc>
          <w:tcPr>
            <w:tcW w:w="7000" w:type="dxa"/>
            <w:vAlign w:val="bottom"/>
          </w:tcPr>
          <w:p>
            <w:pPr>
              <w:ind w:left="3980"/>
              <w:spacing w:after="0"/>
              <w:rPr>
                <w:sz w:val="20"/>
                <w:szCs w:val="20"/>
                <w:color w:val="auto"/>
              </w:rPr>
            </w:pPr>
            <w:r>
              <w:rPr>
                <w:rFonts w:ascii="Arial" w:cs="Arial" w:eastAsia="Arial" w:hAnsi="Arial"/>
                <w:sz w:val="14"/>
                <w:szCs w:val="14"/>
                <w:color w:val="auto"/>
              </w:rPr>
              <w:t>»  6  «</w:t>
            </w:r>
          </w:p>
        </w:tc>
        <w:tc>
          <w:tcPr>
            <w:tcW w:w="2400" w:type="dxa"/>
            <w:vAlign w:val="bottom"/>
            <w:gridSpan w:val="2"/>
          </w:tcPr>
          <w:p>
            <w:pPr>
              <w:ind w:left="980"/>
              <w:spacing w:after="0"/>
              <w:rPr>
                <w:sz w:val="20"/>
                <w:szCs w:val="20"/>
                <w:color w:val="auto"/>
              </w:rPr>
            </w:pPr>
            <w:r>
              <w:rPr>
                <w:rFonts w:ascii="Arial" w:cs="Arial" w:eastAsia="Arial" w:hAnsi="Arial"/>
                <w:sz w:val="14"/>
                <w:szCs w:val="14"/>
                <w:color w:val="7F7F7F"/>
              </w:rPr>
              <w:t>2026 Proxy Statement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6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-393700</wp:posOffset>
            </wp:positionV>
            <wp:extent cx="334010"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Director Nominees</w:t>
      </w:r>
    </w:p>
    <w:p>
      <w:pPr>
        <w:spacing w:after="0" w:line="153" w:lineRule="exact"/>
        <w:rPr>
          <w:sz w:val="20"/>
          <w:szCs w:val="20"/>
          <w:color w:val="auto"/>
        </w:rPr>
      </w:pPr>
    </w:p>
    <w:tbl>
      <w:tblPr>
        <w:tblLayout w:type="fixed"/>
        <w:tblInd w:w="2100" w:type="dxa"/>
        <w:tblCellMar>
          <w:top w:w="0" w:type="dxa"/>
          <w:left w:w="0" w:type="dxa"/>
          <w:bottom w:w="0" w:type="dxa"/>
          <w:right w:w="0" w:type="dxa"/>
        </w:tblCellMar>
      </w:tblPr>
      <w:tr>
        <w:trPr>
          <w:trHeight w:val="215"/>
        </w:trPr>
        <w:tc>
          <w:tcPr>
            <w:tcW w:w="1100" w:type="dxa"/>
            <w:vAlign w:val="bottom"/>
          </w:tcPr>
          <w:p>
            <w:pPr>
              <w:spacing w:after="0"/>
              <w:rPr>
                <w:sz w:val="20"/>
                <w:szCs w:val="20"/>
                <w:color w:val="auto"/>
              </w:rPr>
            </w:pPr>
            <w:r>
              <w:rPr>
                <w:rFonts w:ascii="Arial" w:cs="Arial" w:eastAsia="Arial" w:hAnsi="Arial"/>
                <w:sz w:val="16"/>
                <w:szCs w:val="16"/>
                <w:color w:val="auto"/>
              </w:rPr>
              <w:t>​</w:t>
            </w:r>
          </w:p>
        </w:tc>
        <w:tc>
          <w:tcPr>
            <w:tcW w:w="1620" w:type="dxa"/>
            <w:vAlign w:val="bottom"/>
          </w:tcPr>
          <w:p>
            <w:pPr>
              <w:ind w:left="1060"/>
              <w:spacing w:after="0"/>
              <w:rPr>
                <w:sz w:val="20"/>
                <w:szCs w:val="20"/>
                <w:color w:val="auto"/>
              </w:rPr>
            </w:pPr>
            <w:r>
              <w:rPr>
                <w:rFonts w:ascii="Arial" w:cs="Arial" w:eastAsia="Arial" w:hAnsi="Arial"/>
                <w:sz w:val="16"/>
                <w:szCs w:val="16"/>
                <w:color w:val="auto"/>
              </w:rPr>
              <w:t>​</w:t>
            </w:r>
          </w:p>
        </w:tc>
        <w:tc>
          <w:tcPr>
            <w:tcW w:w="580" w:type="dxa"/>
            <w:vAlign w:val="bottom"/>
          </w:tcPr>
          <w:p>
            <w:pPr>
              <w:ind w:left="5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-127000</wp:posOffset>
            </wp:positionV>
            <wp:extent cx="4131945" cy="28378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31945"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100" w:type="dxa"/>
        <w:tblCellMar>
          <w:top w:w="0" w:type="dxa"/>
          <w:left w:w="0" w:type="dxa"/>
          <w:bottom w:w="0" w:type="dxa"/>
          <w:right w:w="0" w:type="dxa"/>
        </w:tblCellMar>
      </w:tblPr>
      <w:tr>
        <w:trPr>
          <w:trHeight w:val="184"/>
        </w:trPr>
        <w:tc>
          <w:tcPr>
            <w:tcW w:w="182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340"/>
              <w:spacing w:after="0"/>
              <w:rPr>
                <w:sz w:val="20"/>
                <w:szCs w:val="20"/>
                <w:color w:val="auto"/>
              </w:rPr>
            </w:pPr>
            <w:r>
              <w:rPr>
                <w:rFonts w:ascii="Arial" w:cs="Arial" w:eastAsia="Arial" w:hAnsi="Arial"/>
                <w:sz w:val="16"/>
                <w:szCs w:val="16"/>
                <w:color w:val="auto"/>
              </w:rPr>
              <w:t>​</w:t>
            </w:r>
          </w:p>
        </w:tc>
        <w:tc>
          <w:tcPr>
            <w:tcW w:w="1100" w:type="dxa"/>
            <w:vAlign w:val="bottom"/>
          </w:tcPr>
          <w:p>
            <w:pPr>
              <w:ind w:left="540"/>
              <w:spacing w:after="0"/>
              <w:rPr>
                <w:sz w:val="20"/>
                <w:szCs w:val="20"/>
                <w:color w:val="auto"/>
              </w:rPr>
            </w:pPr>
            <w:r>
              <w:rPr>
                <w:rFonts w:ascii="Arial" w:cs="Arial" w:eastAsia="Arial" w:hAnsi="Arial"/>
                <w:sz w:val="16"/>
                <w:szCs w:val="16"/>
                <w:color w:val="auto"/>
              </w:rPr>
              <w:t>​</w:t>
            </w:r>
          </w:p>
        </w:tc>
        <w:tc>
          <w:tcPr>
            <w:tcW w:w="2180" w:type="dxa"/>
            <w:vAlign w:val="bottom"/>
            <w:vMerge w:val="restart"/>
          </w:tcPr>
          <w:p>
            <w:pPr>
              <w:ind w:left="540"/>
              <w:spacing w:after="0"/>
              <w:rPr>
                <w:sz w:val="20"/>
                <w:szCs w:val="20"/>
                <w:color w:val="auto"/>
              </w:rPr>
            </w:pPr>
            <w:r>
              <w:rPr>
                <w:rFonts w:ascii="Arial" w:cs="Arial" w:eastAsia="Arial" w:hAnsi="Arial"/>
                <w:sz w:val="16"/>
                <w:szCs w:val="16"/>
                <w:b w:val="1"/>
                <w:bCs w:val="1"/>
                <w:color w:val="4834BA"/>
                <w:w w:val="93"/>
              </w:rPr>
              <w:t>Robert (Bob) Flanagan</w:t>
            </w:r>
          </w:p>
        </w:tc>
        <w:tc>
          <w:tcPr>
            <w:tcW w:w="0" w:type="dxa"/>
            <w:vAlign w:val="bottom"/>
          </w:tcPr>
          <w:p>
            <w:pPr>
              <w:spacing w:after="0"/>
              <w:rPr>
                <w:sz w:val="1"/>
                <w:szCs w:val="1"/>
                <w:color w:val="auto"/>
              </w:rPr>
            </w:pPr>
          </w:p>
        </w:tc>
      </w:tr>
      <w:tr>
        <w:trPr>
          <w:trHeight w:val="215"/>
        </w:trPr>
        <w:tc>
          <w:tcPr>
            <w:tcW w:w="1820" w:type="dxa"/>
            <w:vAlign w:val="bottom"/>
          </w:tcPr>
          <w:p>
            <w:pPr>
              <w:spacing w:after="0"/>
              <w:rPr>
                <w:sz w:val="20"/>
                <w:szCs w:val="20"/>
                <w:color w:val="auto"/>
              </w:rPr>
            </w:pPr>
            <w:r>
              <w:rPr>
                <w:rFonts w:ascii="Arial" w:cs="Arial" w:eastAsia="Arial" w:hAnsi="Arial"/>
                <w:sz w:val="16"/>
                <w:szCs w:val="16"/>
                <w:b w:val="1"/>
                <w:bCs w:val="1"/>
                <w:color w:val="4834BA"/>
              </w:rPr>
              <w:t>Che-Wei Lin</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Arial" w:cs="Arial" w:eastAsia="Arial" w:hAnsi="Arial"/>
                <w:sz w:val="16"/>
                <w:szCs w:val="16"/>
                <w:color w:val="auto"/>
              </w:rPr>
              <w:t>Director</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80" w:type="dxa"/>
            <w:vAlign w:val="bottom"/>
          </w:tcPr>
          <w:p>
            <w:pPr>
              <w:ind w:left="540"/>
              <w:spacing w:after="0"/>
              <w:rPr>
                <w:sz w:val="20"/>
                <w:szCs w:val="20"/>
                <w:color w:val="auto"/>
              </w:rPr>
            </w:pPr>
            <w:r>
              <w:rPr>
                <w:rFonts w:ascii="Arial" w:cs="Arial" w:eastAsia="Arial" w:hAnsi="Arial"/>
                <w:sz w:val="16"/>
                <w:szCs w:val="16"/>
                <w:color w:val="auto"/>
              </w:rPr>
              <w:t>Director Nominee</w:t>
            </w:r>
          </w:p>
        </w:tc>
        <w:tc>
          <w:tcPr>
            <w:tcW w:w="0" w:type="dxa"/>
            <w:vAlign w:val="bottom"/>
          </w:tcPr>
          <w:p>
            <w:pPr>
              <w:spacing w:after="0"/>
              <w:rPr>
                <w:sz w:val="1"/>
                <w:szCs w:val="1"/>
                <w:color w:val="auto"/>
              </w:rPr>
            </w:pPr>
          </w:p>
        </w:tc>
      </w:tr>
      <w:tr>
        <w:trPr>
          <w:trHeight w:val="215"/>
        </w:trPr>
        <w:tc>
          <w:tcPr>
            <w:tcW w:w="1820" w:type="dxa"/>
            <w:vAlign w:val="bottom"/>
          </w:tcPr>
          <w:p>
            <w:pPr>
              <w:spacing w:after="0"/>
              <w:rPr>
                <w:sz w:val="20"/>
                <w:szCs w:val="20"/>
                <w:color w:val="auto"/>
              </w:rPr>
            </w:pPr>
            <w:r>
              <w:rPr>
                <w:rFonts w:ascii="Arial" w:cs="Arial" w:eastAsia="Arial" w:hAnsi="Arial"/>
                <w:sz w:val="16"/>
                <w:szCs w:val="16"/>
                <w:color w:val="auto"/>
              </w:rPr>
              <w:t>Independent</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80" w:type="dxa"/>
            <w:vAlign w:val="bottom"/>
          </w:tcPr>
          <w:p>
            <w:pPr>
              <w:ind w:left="540"/>
              <w:spacing w:after="0"/>
              <w:rPr>
                <w:sz w:val="20"/>
                <w:szCs w:val="20"/>
                <w:color w:val="auto"/>
              </w:rPr>
            </w:pPr>
            <w:r>
              <w:rPr>
                <w:rFonts w:ascii="Arial" w:cs="Arial" w:eastAsia="Arial" w:hAnsi="Arial"/>
                <w:sz w:val="16"/>
                <w:szCs w:val="16"/>
                <w:color w:val="auto"/>
              </w:rPr>
              <w:t>Independent</w:t>
            </w:r>
          </w:p>
        </w:tc>
        <w:tc>
          <w:tcPr>
            <w:tcW w:w="0" w:type="dxa"/>
            <w:vAlign w:val="bottom"/>
          </w:tcPr>
          <w:p>
            <w:pPr>
              <w:spacing w:after="0"/>
              <w:rPr>
                <w:sz w:val="1"/>
                <w:szCs w:val="1"/>
                <w:color w:val="auto"/>
              </w:rPr>
            </w:pPr>
          </w:p>
        </w:tc>
      </w:tr>
      <w:tr>
        <w:trPr>
          <w:trHeight w:val="178"/>
        </w:trPr>
        <w:tc>
          <w:tcPr>
            <w:tcW w:w="1820" w:type="dxa"/>
            <w:vAlign w:val="bottom"/>
          </w:tcPr>
          <w:p>
            <w:pPr>
              <w:spacing w:after="0" w:line="178" w:lineRule="exact"/>
              <w:rPr>
                <w:sz w:val="20"/>
                <w:szCs w:val="20"/>
                <w:color w:val="auto"/>
              </w:rPr>
            </w:pPr>
            <w:r>
              <w:rPr>
                <w:rFonts w:ascii="Arial" w:cs="Arial" w:eastAsia="Arial" w:hAnsi="Arial"/>
                <w:sz w:val="16"/>
                <w:szCs w:val="16"/>
                <w:b w:val="1"/>
                <w:bCs w:val="1"/>
                <w:color w:val="auto"/>
              </w:rPr>
              <w:t>​</w:t>
            </w:r>
          </w:p>
        </w:tc>
        <w:tc>
          <w:tcPr>
            <w:tcW w:w="900" w:type="dxa"/>
            <w:vAlign w:val="bottom"/>
          </w:tcPr>
          <w:p>
            <w:pPr>
              <w:ind w:left="340"/>
              <w:spacing w:after="0" w:line="178" w:lineRule="exact"/>
              <w:rPr>
                <w:sz w:val="20"/>
                <w:szCs w:val="20"/>
                <w:color w:val="auto"/>
              </w:rPr>
            </w:pPr>
            <w:r>
              <w:rPr>
                <w:rFonts w:ascii="Arial" w:cs="Arial" w:eastAsia="Arial" w:hAnsi="Arial"/>
                <w:sz w:val="16"/>
                <w:szCs w:val="16"/>
                <w:b w:val="1"/>
                <w:bCs w:val="1"/>
                <w:color w:val="auto"/>
              </w:rPr>
              <w:t>​</w:t>
            </w:r>
          </w:p>
        </w:tc>
        <w:tc>
          <w:tcPr>
            <w:tcW w:w="1100" w:type="dxa"/>
            <w:vAlign w:val="bottom"/>
          </w:tcPr>
          <w:p>
            <w:pPr>
              <w:ind w:left="540"/>
              <w:spacing w:after="0" w:line="178" w:lineRule="exact"/>
              <w:rPr>
                <w:sz w:val="20"/>
                <w:szCs w:val="20"/>
                <w:color w:val="auto"/>
              </w:rPr>
            </w:pPr>
            <w:r>
              <w:rPr>
                <w:rFonts w:ascii="Arial" w:cs="Arial" w:eastAsia="Arial" w:hAnsi="Arial"/>
                <w:sz w:val="16"/>
                <w:szCs w:val="16"/>
                <w:b w:val="1"/>
                <w:bCs w:val="1"/>
                <w:color w:val="auto"/>
              </w:rPr>
              <w:t>​</w:t>
            </w:r>
          </w:p>
        </w:tc>
        <w:tc>
          <w:tcPr>
            <w:tcW w:w="218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48"/>
        </w:trPr>
        <w:tc>
          <w:tcPr>
            <w:tcW w:w="1820" w:type="dxa"/>
            <w:vAlign w:val="bottom"/>
          </w:tcPr>
          <w:p>
            <w:pPr>
              <w:spacing w:after="0" w:line="148" w:lineRule="exact"/>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8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900" w:type="dxa"/>
            <w:vAlign w:val="bottom"/>
          </w:tcPr>
          <w:p>
            <w:pPr>
              <w:ind w:left="340"/>
              <w:spacing w:after="0" w:line="163" w:lineRule="exact"/>
              <w:rPr>
                <w:sz w:val="20"/>
                <w:szCs w:val="20"/>
                <w:color w:val="auto"/>
              </w:rPr>
            </w:pPr>
            <w:r>
              <w:rPr>
                <w:rFonts w:ascii="Arial" w:cs="Arial" w:eastAsia="Arial" w:hAnsi="Arial"/>
                <w:sz w:val="16"/>
                <w:szCs w:val="16"/>
                <w:b w:val="1"/>
                <w:bCs w:val="1"/>
                <w:color w:val="auto"/>
              </w:rPr>
              <w:t>​</w:t>
            </w:r>
          </w:p>
        </w:tc>
        <w:tc>
          <w:tcPr>
            <w:tcW w:w="1100" w:type="dxa"/>
            <w:vAlign w:val="bottom"/>
          </w:tcPr>
          <w:p>
            <w:pPr>
              <w:ind w:left="540"/>
              <w:spacing w:after="0" w:line="163" w:lineRule="exact"/>
              <w:rPr>
                <w:sz w:val="20"/>
                <w:szCs w:val="20"/>
                <w:color w:val="auto"/>
              </w:rPr>
            </w:pPr>
            <w:r>
              <w:rPr>
                <w:rFonts w:ascii="Arial" w:cs="Arial" w:eastAsia="Arial" w:hAnsi="Arial"/>
                <w:sz w:val="16"/>
                <w:szCs w:val="16"/>
                <w:b w:val="1"/>
                <w:bCs w:val="1"/>
                <w:color w:val="auto"/>
              </w:rPr>
              <w:t>​</w:t>
            </w:r>
          </w:p>
        </w:tc>
        <w:tc>
          <w:tcPr>
            <w:tcW w:w="2180" w:type="dxa"/>
            <w:vAlign w:val="bottom"/>
          </w:tcPr>
          <w:p>
            <w:pPr>
              <w:ind w:left="540"/>
              <w:spacing w:after="0" w:line="16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1"/>
        </w:trPr>
        <w:tc>
          <w:tcPr>
            <w:tcW w:w="1820" w:type="dxa"/>
            <w:vAlign w:val="bottom"/>
          </w:tcPr>
          <w:p>
            <w:pPr>
              <w:spacing w:after="0" w:line="161" w:lineRule="exact"/>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2014</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20" w:type="dxa"/>
            <w:vAlign w:val="bottom"/>
          </w:tcPr>
          <w:p>
            <w:pPr>
              <w:spacing w:after="0" w:line="163" w:lineRule="exact"/>
              <w:rPr>
                <w:sz w:val="20"/>
                <w:szCs w:val="20"/>
                <w:color w:val="auto"/>
              </w:rPr>
            </w:pPr>
            <w:r>
              <w:rPr>
                <w:rFonts w:ascii="Arial" w:cs="Arial" w:eastAsia="Arial" w:hAnsi="Arial"/>
                <w:sz w:val="16"/>
                <w:szCs w:val="16"/>
                <w:b w:val="1"/>
                <w:bCs w:val="1"/>
                <w:color w:val="4834BA"/>
              </w:rPr>
              <w:t>​</w:t>
            </w:r>
          </w:p>
        </w:tc>
        <w:tc>
          <w:tcPr>
            <w:tcW w:w="900" w:type="dxa"/>
            <w:vAlign w:val="bottom"/>
          </w:tcPr>
          <w:p>
            <w:pPr>
              <w:ind w:left="340"/>
              <w:spacing w:after="0" w:line="163" w:lineRule="exact"/>
              <w:rPr>
                <w:sz w:val="20"/>
                <w:szCs w:val="20"/>
                <w:color w:val="auto"/>
              </w:rPr>
            </w:pPr>
            <w:r>
              <w:rPr>
                <w:rFonts w:ascii="Arial" w:cs="Arial" w:eastAsia="Arial" w:hAnsi="Arial"/>
                <w:sz w:val="16"/>
                <w:szCs w:val="16"/>
                <w:b w:val="1"/>
                <w:bCs w:val="1"/>
                <w:color w:val="4834BA"/>
              </w:rPr>
              <w:t>​</w:t>
            </w:r>
          </w:p>
        </w:tc>
        <w:tc>
          <w:tcPr>
            <w:tcW w:w="1100" w:type="dxa"/>
            <w:vAlign w:val="bottom"/>
          </w:tcPr>
          <w:p>
            <w:pPr>
              <w:ind w:left="540"/>
              <w:spacing w:after="0" w:line="163" w:lineRule="exact"/>
              <w:rPr>
                <w:sz w:val="20"/>
                <w:szCs w:val="20"/>
                <w:color w:val="auto"/>
              </w:rPr>
            </w:pPr>
            <w:r>
              <w:rPr>
                <w:rFonts w:ascii="Arial" w:cs="Arial" w:eastAsia="Arial" w:hAnsi="Arial"/>
                <w:sz w:val="16"/>
                <w:szCs w:val="16"/>
                <w:b w:val="1"/>
                <w:bCs w:val="1"/>
                <w:color w:val="4834BA"/>
              </w:rPr>
              <w:t>​</w:t>
            </w:r>
          </w:p>
        </w:tc>
        <w:tc>
          <w:tcPr>
            <w:tcW w:w="2180" w:type="dxa"/>
            <w:vAlign w:val="bottom"/>
          </w:tcPr>
          <w:p>
            <w:pPr>
              <w:ind w:left="540"/>
              <w:spacing w:after="0" w:line="163" w:lineRule="exact"/>
              <w:rPr>
                <w:sz w:val="20"/>
                <w:szCs w:val="20"/>
                <w:color w:val="auto"/>
              </w:rPr>
            </w:pPr>
            <w:r>
              <w:rPr>
                <w:rFonts w:ascii="Arial" w:cs="Arial" w:eastAsia="Arial" w:hAnsi="Arial"/>
                <w:sz w:val="16"/>
                <w:szCs w:val="16"/>
                <w:b w:val="1"/>
                <w:bCs w:val="1"/>
                <w:color w:val="4834BA"/>
              </w:rPr>
              <w:t>​</w:t>
            </w:r>
          </w:p>
        </w:tc>
        <w:tc>
          <w:tcPr>
            <w:tcW w:w="0" w:type="dxa"/>
            <w:vAlign w:val="bottom"/>
          </w:tcPr>
          <w:p>
            <w:pPr>
              <w:spacing w:after="0"/>
              <w:rPr>
                <w:sz w:val="1"/>
                <w:szCs w:val="1"/>
                <w:color w:val="auto"/>
              </w:rPr>
            </w:pPr>
          </w:p>
        </w:tc>
      </w:tr>
      <w:tr>
        <w:trPr>
          <w:trHeight w:val="215"/>
        </w:trPr>
        <w:tc>
          <w:tcPr>
            <w:tcW w:w="1820" w:type="dxa"/>
            <w:vAlign w:val="bottom"/>
          </w:tcPr>
          <w:p>
            <w:pPr>
              <w:spacing w:after="0"/>
              <w:rPr>
                <w:sz w:val="20"/>
                <w:szCs w:val="20"/>
                <w:color w:val="auto"/>
              </w:rPr>
            </w:pPr>
            <w:r>
              <w:rPr>
                <w:rFonts w:ascii="Arial" w:cs="Arial" w:eastAsia="Arial" w:hAnsi="Arial"/>
                <w:sz w:val="16"/>
                <w:szCs w:val="16"/>
                <w:b w:val="1"/>
                <w:bCs w:val="1"/>
                <w:color w:val="auto"/>
              </w:rPr>
              <w:t>Committees:</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20"/>
                <w:szCs w:val="20"/>
                <w:color w:val="auto"/>
              </w:rPr>
            </w:pPr>
            <w:r>
              <w:rPr>
                <w:rFonts w:ascii="Arial" w:cs="Arial" w:eastAsia="Arial" w:hAnsi="Arial"/>
                <w:sz w:val="16"/>
                <w:szCs w:val="16"/>
                <w:b w:val="1"/>
                <w:bCs w:val="1"/>
                <w:color w:val="4834BA"/>
              </w:rPr>
              <w:t>Compensation</w:t>
            </w: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Board Characteristics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84"/>
        </w:trPr>
        <w:tc>
          <w:tcPr>
            <w:tcW w:w="2120" w:type="dxa"/>
            <w:vAlign w:val="bottom"/>
            <w:shd w:val="clear" w:color="auto" w:fill="4834BA"/>
          </w:tcPr>
          <w:p>
            <w:pPr>
              <w:ind w:left="480"/>
              <w:spacing w:after="0"/>
              <w:rPr>
                <w:sz w:val="20"/>
                <w:szCs w:val="20"/>
                <w:color w:val="auto"/>
              </w:rPr>
            </w:pPr>
            <w:r>
              <w:rPr>
                <w:rFonts w:ascii="Arial" w:cs="Arial" w:eastAsia="Arial" w:hAnsi="Arial"/>
                <w:sz w:val="16"/>
                <w:szCs w:val="16"/>
                <w:b w:val="1"/>
                <w:bCs w:val="1"/>
                <w:color w:val="FFFFFF"/>
              </w:rPr>
              <w:t>INDEPENDENCE</w:t>
            </w:r>
          </w:p>
        </w:tc>
        <w:tc>
          <w:tcPr>
            <w:tcW w:w="220" w:type="dxa"/>
            <w:vAlign w:val="bottom"/>
            <w:shd w:val="clear" w:color="auto" w:fill="FEFEFE"/>
          </w:tcPr>
          <w:p>
            <w:pPr>
              <w:spacing w:after="0"/>
              <w:rPr>
                <w:sz w:val="24"/>
                <w:szCs w:val="24"/>
                <w:color w:val="auto"/>
              </w:rPr>
            </w:pPr>
          </w:p>
        </w:tc>
        <w:tc>
          <w:tcPr>
            <w:tcW w:w="2240" w:type="dxa"/>
            <w:vAlign w:val="bottom"/>
            <w:shd w:val="clear" w:color="auto" w:fill="4834BA"/>
          </w:tcPr>
          <w:p>
            <w:pPr>
              <w:ind w:left="820"/>
              <w:spacing w:after="0"/>
              <w:rPr>
                <w:sz w:val="20"/>
                <w:szCs w:val="20"/>
                <w:color w:val="auto"/>
              </w:rPr>
            </w:pPr>
            <w:r>
              <w:rPr>
                <w:rFonts w:ascii="Arial" w:cs="Arial" w:eastAsia="Arial" w:hAnsi="Arial"/>
                <w:sz w:val="16"/>
                <w:szCs w:val="16"/>
                <w:b w:val="1"/>
                <w:bCs w:val="1"/>
                <w:color w:val="FFFFFF"/>
              </w:rPr>
              <w:t>TENURE</w:t>
            </w:r>
          </w:p>
        </w:tc>
        <w:tc>
          <w:tcPr>
            <w:tcW w:w="220" w:type="dxa"/>
            <w:vAlign w:val="bottom"/>
            <w:shd w:val="clear" w:color="auto" w:fill="FEFEFE"/>
          </w:tcPr>
          <w:p>
            <w:pPr>
              <w:spacing w:after="0"/>
              <w:rPr>
                <w:sz w:val="24"/>
                <w:szCs w:val="24"/>
                <w:color w:val="auto"/>
              </w:rPr>
            </w:pPr>
          </w:p>
        </w:tc>
        <w:tc>
          <w:tcPr>
            <w:tcW w:w="2240" w:type="dxa"/>
            <w:vAlign w:val="bottom"/>
            <w:shd w:val="clear" w:color="auto" w:fill="4834BA"/>
          </w:tcPr>
          <w:p>
            <w:pPr>
              <w:ind w:left="960"/>
              <w:spacing w:after="0"/>
              <w:rPr>
                <w:sz w:val="20"/>
                <w:szCs w:val="20"/>
                <w:color w:val="auto"/>
              </w:rPr>
            </w:pPr>
            <w:r>
              <w:rPr>
                <w:rFonts w:ascii="Arial" w:cs="Arial" w:eastAsia="Arial" w:hAnsi="Arial"/>
                <w:sz w:val="16"/>
                <w:szCs w:val="16"/>
                <w:b w:val="1"/>
                <w:bCs w:val="1"/>
                <w:color w:val="FFFFFF"/>
              </w:rPr>
              <w:t>AGE</w:t>
            </w:r>
          </w:p>
        </w:tc>
        <w:tc>
          <w:tcPr>
            <w:tcW w:w="220" w:type="dxa"/>
            <w:vAlign w:val="bottom"/>
            <w:shd w:val="clear" w:color="auto" w:fill="FEFEFE"/>
          </w:tcPr>
          <w:p>
            <w:pPr>
              <w:spacing w:after="0"/>
              <w:rPr>
                <w:sz w:val="24"/>
                <w:szCs w:val="24"/>
                <w:color w:val="auto"/>
              </w:rPr>
            </w:pPr>
          </w:p>
        </w:tc>
      </w:tr>
      <w:tr>
        <w:trPr>
          <w:trHeight w:val="2376"/>
        </w:trPr>
        <w:tc>
          <w:tcPr>
            <w:tcW w:w="2120" w:type="dxa"/>
            <w:vAlign w:val="bottom"/>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shd w:val="clear" w:color="auto" w:fill="FEFEF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-1456690</wp:posOffset>
            </wp:positionV>
            <wp:extent cx="4046220" cy="12433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46220" cy="124333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2802890</wp:posOffset>
            </wp:positionV>
            <wp:extent cx="33401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1660"/>
        <w:spacing w:after="0"/>
        <w:rPr>
          <w:sz w:val="20"/>
          <w:szCs w:val="20"/>
          <w:color w:val="auto"/>
        </w:rPr>
      </w:pPr>
      <w:r>
        <w:rPr>
          <w:rFonts w:ascii="Arial" w:cs="Arial" w:eastAsia="Arial" w:hAnsi="Arial"/>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4834B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732155</wp:posOffset>
            </wp:positionV>
            <wp:extent cx="1362710"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627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80645</wp:posOffset>
            </wp:positionV>
            <wp:extent cx="934720" cy="12433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472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7F7F7F"/>
        </w:rPr>
        <w:t>2026 Proxy Statement</w:t>
      </w:r>
    </w:p>
    <w:p>
      <w:pPr>
        <w:sectPr>
          <w:pgSz w:w="11900" w:h="16838" w:orient="portrait"/>
          <w:cols w:equalWidth="0" w:num="2">
            <w:col w:w="8100" w:space="520"/>
            <w:col w:w="1420"/>
          </w:cols>
          <w:pgMar w:left="580" w:top="97" w:right="127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jc w:val="right"/>
        <w:ind w:right="5000"/>
        <w:spacing w:after="0"/>
        <w:rPr>
          <w:sz w:val="20"/>
          <w:szCs w:val="20"/>
          <w:color w:val="auto"/>
        </w:rPr>
      </w:pPr>
      <w:r>
        <w:rPr>
          <w:rFonts w:ascii="Arial" w:cs="Arial" w:eastAsia="Arial" w:hAnsi="Arial"/>
          <w:sz w:val="22"/>
          <w:szCs w:val="22"/>
          <w:b w:val="1"/>
          <w:bCs w:val="1"/>
          <w:color w:val="auto"/>
        </w:rPr>
        <w:t>Current Director Not Standing for Re-Election</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Elizabeth Loboa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-1583055</wp:posOffset>
            </wp:positionV>
            <wp:extent cx="1062990" cy="13976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62990" cy="1397635"/>
                    </a:xfrm>
                    <a:prstGeom prst="rect">
                      <a:avLst/>
                    </a:prstGeom>
                    <a:noFill/>
                  </pic:spPr>
                </pic:pic>
              </a:graphicData>
            </a:graphic>
          </wp:anchor>
        </w:drawing>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Elizabeth Loboa, Ph.D. has served as the Provost and Vice President for Academic Affairs at Southern Methodist University since 2020. From 2018 to 2020, Dr. Loboa served the University of Missouri System and the University of Missouri as Vice Chancellor for Strategic Partnerships, Dean and Ketcham Professor of the College of Engineering, University of Missouri System Review Committee for Excellence in Research and Creative Works, Council of Leaders, MU Engagement Council, Translational Precision Medicine Complex (TPMC, now called Roy Blunt NextGen Precision Health building) Academic and Research Programming Group, University of Missouri System Taskforce for Innovation, and served on the Board of Directors for the Missouri Innovation Center. She also held various leadership and service roles related to her profession. In 2018, she served as Coordinator of the Precision Medicine Summit for the University of Missouri System. In 2017, she served as Co-Chair of the University of Missouri Chancellor Search Committee. During her time as dean at University of Missouri, Dr. Loboa also served as adjunct professor in the Department of Biomedical Engineering at University of North Carolina-Chapel Hill and North Carolina State University. From 2003 to 2015, she served as Director of the Cell Mechanics Laboratory, Joint Department of Biomedical Engineering at University of North Carolina-Chapel Hill and North Carolina State University. From 2014 to 2015, she served as adjunct professor in the Departments of Biotechnology, Physiology and Fiber and Polymer Science at North Carolina State University and in the Department of Orthopedics and Curriculum in Oral Biology at University of North Carolina-Chapel Hill. From 2014 to 2015, she served as Professor of the Joint Department of Biomedical Engineering at University of North Carolina-Chapel Hill and North Carolina State University and the Department of Materials Science and Engineering at North Carolina State University. She also served as Associate Chair of the Joint Department of Biomedical Engineering at University of North Carolina-Chapel Hill and North Carolina State University from 2013 to 2015.</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Dr. Loboa received a B.S. in Mechanical Engineering from the University of California, Davis, an M.S.E in Biomechanical Engineering from Stanford University, and a Ph.D. in Mechanical Engineering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4766310" cy="265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6631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480"/>
            <w:col w:w="7480"/>
          </w:cols>
          <w:pgMar w:left="580" w:top="97" w:right="1279" w:bottom="1440" w:gutter="0" w:footer="0" w:header="0"/>
          <w:type w:val="continuous"/>
        </w:sectPr>
      </w:pPr>
    </w:p>
    <w:p>
      <w:pPr>
        <w:spacing w:after="0" w:line="147"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Dr. Loboa is not standing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89535</wp:posOffset>
            </wp:positionV>
            <wp:extent cx="59664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Nominees for Election to a Three Year Term Expiring at the 2029 Annual Meeting of Stockholders</w:t>
      </w:r>
    </w:p>
    <w:p>
      <w:pPr>
        <w:sectPr>
          <w:pgSz w:w="11900" w:h="16838" w:orient="portrait"/>
          <w:cols w:equalWidth="0" w:num="1">
            <w:col w:w="1004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Che-Wei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-1574165</wp:posOffset>
            </wp:positionV>
            <wp:extent cx="1062990" cy="13970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62990" cy="1397000"/>
                    </a:xfrm>
                    <a:prstGeom prst="rect">
                      <a:avLst/>
                    </a:prstGeom>
                    <a:noFill/>
                  </pic:spPr>
                </pic:pic>
              </a:graphicData>
            </a:graphic>
          </wp:anchor>
        </w:drawing>
      </w:r>
    </w:p>
    <w:p>
      <w:pPr>
        <w:spacing w:after="0" w:line="91"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1786890</wp:posOffset>
            </wp:positionV>
            <wp:extent cx="334010"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Che-Wei Lin has served as a director on our Board since January 2014, and previously served as a director on our Board from December 2006 to October 2009. Since November 2007, Mr. Lin has served as the President of ASMedia Technology Inc., a chipset manufacturer. Since November 2009, Mr. Lin has also served as the Corporate Vice President of the Motherboard Business Unit of the Open Platform Business Group of ASUSTek Computer Inc., a computer hardware and electronics company. Mr. Lin was employed at VIA Technologies, Inc., a manufacturer of integrated circuits and motherboard chipsets, from 1993 to 2007 in various positions, including President of the Desktop Platform Business Unit, Vice President of the System Platform Division and Vice President of OEM and Chipset Product Marketing.</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Mr. Lin received a B.S. in Electrical Engineering from Fu Jen University in Taiwan and a M.S. in Electrical Engineering from the University of Missouri.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4766310" cy="394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66310" cy="394335"/>
                    </a:xfrm>
                    <a:prstGeom prst="rect">
                      <a:avLst/>
                    </a:prstGeom>
                    <a:noFill/>
                  </pic:spPr>
                </pic:pic>
              </a:graphicData>
            </a:graphic>
          </wp:anchor>
        </w:drawing>
      </w:r>
    </w:p>
    <w:p>
      <w:pPr>
        <w:spacing w:after="0" w:line="163" w:lineRule="exact"/>
        <w:rPr>
          <w:sz w:val="20"/>
          <w:szCs w:val="20"/>
          <w:color w:val="auto"/>
        </w:rPr>
      </w:pPr>
    </w:p>
    <w:p>
      <w:pPr>
        <w:ind w:left="180" w:right="200"/>
        <w:spacing w:after="0" w:line="286" w:lineRule="auto"/>
        <w:rPr>
          <w:sz w:val="20"/>
          <w:szCs w:val="20"/>
          <w:color w:val="auto"/>
        </w:rPr>
      </w:pPr>
      <w:r>
        <w:rPr>
          <w:rFonts w:ascii="Arial" w:cs="Arial" w:eastAsia="Arial" w:hAnsi="Arial"/>
          <w:sz w:val="16"/>
          <w:szCs w:val="16"/>
          <w:color w:val="auto"/>
        </w:rPr>
        <w:t>The Board believes that Mr. Lin is qualified to serve as a director based on his business and financial management and leadership experience and his years of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64770</wp:posOffset>
            </wp:positionV>
            <wp:extent cx="59664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660"/>
            <w:col w:w="748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40"/>
        <w:spacing w:after="0"/>
        <w:tabs>
          <w:tab w:leader="none" w:pos="8620" w:val="left"/>
        </w:tabs>
        <w:rPr>
          <w:sz w:val="20"/>
          <w:szCs w:val="20"/>
          <w:color w:val="auto"/>
        </w:rPr>
      </w:pPr>
      <w:r>
        <w:rPr>
          <w:rFonts w:ascii="Arial" w:cs="Arial" w:eastAsia="Arial" w:hAnsi="Arial"/>
          <w:sz w:val="14"/>
          <w:szCs w:val="14"/>
          <w:color w:val="auto"/>
        </w:rPr>
        <w:t>»  8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398145</wp:posOffset>
            </wp:positionV>
            <wp:extent cx="1062990" cy="13976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6299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Robert Flanagan</w:t>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Director Nominee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Robert Flanagan has been nominated as a candidate to be elected to serve on our Board of Directors at the 2026 Annual Meeting of Stockholders. Mr. Flanagan was recommended to the Nominating and Governance Committee by an executive officer. Mr. Flanagan is currently retired, following a thirty-three year career in the investment banking industry. He most recently served as a Managing Director, Technology Investment Banking at Raymond James &amp; Associates from August 2011 to February 2025. From May 2007 to August 2011, Mr. Flanagan served as Managing Director at CIBC World Markets Corp. and Oppenheimer &amp; Co., Inc. (following its separation from CIBC World Markets Corp.). From January 2004 to May 2007, Mr. Flanagan served as a Managing Director at Cowen &amp; Company. From February 2000 to December 2003, Mr. Flanagan held various positions at Thomas Weisel Partners, LLC, the last of which was Partner. From July 1990 to June 1993 and from July 1995 to February 2000,</w:t>
      </w:r>
    </w:p>
    <w:p>
      <w:pPr>
        <w:spacing w:after="0" w:line="5" w:lineRule="exact"/>
        <w:rPr>
          <w:sz w:val="20"/>
          <w:szCs w:val="20"/>
          <w:color w:val="auto"/>
        </w:rPr>
      </w:pPr>
    </w:p>
    <w:p>
      <w:pPr>
        <w:ind w:right="800"/>
        <w:spacing w:after="0" w:line="376" w:lineRule="auto"/>
        <w:rPr>
          <w:sz w:val="20"/>
          <w:szCs w:val="20"/>
          <w:color w:val="auto"/>
        </w:rPr>
      </w:pPr>
      <w:r>
        <w:rPr>
          <w:rFonts w:ascii="Arial" w:cs="Arial" w:eastAsia="Arial" w:hAnsi="Arial"/>
          <w:sz w:val="16"/>
          <w:szCs w:val="16"/>
          <w:color w:val="auto"/>
        </w:rPr>
        <w:t xml:space="preserve">Mr. Flanagan held various positions at Citigroup Global Markets and certain predecessor firms. </w:t>
      </w:r>
      <w:r>
        <w:rPr>
          <w:rFonts w:ascii="Arial" w:cs="Arial" w:eastAsia="Arial" w:hAnsi="Arial"/>
          <w:sz w:val="16"/>
          <w:szCs w:val="16"/>
          <w:b w:val="1"/>
          <w:bCs w:val="1"/>
          <w:color w:val="auto"/>
        </w:rPr>
        <w:t>Education</w:t>
      </w:r>
    </w:p>
    <w:p>
      <w:pPr>
        <w:spacing w:after="0" w:line="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Mr. Flanagan received a BA in Economics and Business from the University of California, Los Angeles, and an MBA from the Stanford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4766310" cy="522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6310" cy="522605"/>
                    </a:xfrm>
                    <a:prstGeom prst="rect">
                      <a:avLst/>
                    </a:prstGeom>
                    <a:noFill/>
                  </pic:spPr>
                </pic:pic>
              </a:graphicData>
            </a:graphic>
          </wp:anchor>
        </w:drawing>
      </w:r>
    </w:p>
    <w:p>
      <w:pPr>
        <w:spacing w:after="0" w:line="190" w:lineRule="exact"/>
        <w:rPr>
          <w:sz w:val="20"/>
          <w:szCs w:val="20"/>
          <w:color w:val="auto"/>
        </w:rPr>
      </w:pPr>
    </w:p>
    <w:p>
      <w:pPr>
        <w:ind w:left="180" w:right="180"/>
        <w:spacing w:after="0" w:line="275" w:lineRule="auto"/>
        <w:rPr>
          <w:sz w:val="20"/>
          <w:szCs w:val="20"/>
          <w:color w:val="auto"/>
        </w:rPr>
      </w:pPr>
      <w:r>
        <w:rPr>
          <w:rFonts w:ascii="Arial" w:cs="Arial" w:eastAsia="Arial" w:hAnsi="Arial"/>
          <w:sz w:val="16"/>
          <w:szCs w:val="16"/>
          <w:color w:val="auto"/>
        </w:rPr>
        <w:t>The Board believes Mr. Flanagan is qualified to serve as a director based on his leadership experience, his strong financial and strategic background, and his deep knowledge of the business of optical networking and semiconductor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70485</wp:posOffset>
            </wp:positionV>
            <wp:extent cx="59664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440"/>
            <w:col w:w="7480"/>
          </w:cols>
          <w:pgMar w:left="580" w:top="97" w:right="1279" w:bottom="1440" w:gutter="0" w:footer="0" w:header="0"/>
        </w:sectPr>
      </w:pPr>
    </w:p>
    <w:p>
      <w:pPr>
        <w:spacing w:after="0" w:line="13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Directors Continuing in Office until the 2028 Annual Meeting of Stockholders</w:t>
      </w:r>
    </w:p>
    <w:p>
      <w:pPr>
        <w:sectPr>
          <w:pgSz w:w="11900" w:h="16838" w:orient="portrait"/>
          <w:cols w:equalWidth="0" w:num="1">
            <w:col w:w="1004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Chih-Hsiang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-1581785</wp:posOffset>
            </wp:positionV>
            <wp:extent cx="1062990" cy="13970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62990" cy="1397000"/>
                    </a:xfrm>
                    <a:prstGeom prst="rect">
                      <a:avLst/>
                    </a:prstGeom>
                    <a:noFill/>
                  </pic:spPr>
                </pic:pic>
              </a:graphicData>
            </a:graphic>
          </wp:anchor>
        </w:drawing>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(Thompson) Lin</w:t>
      </w:r>
    </w:p>
    <w:p>
      <w:pPr>
        <w:spacing w:after="0" w:line="152" w:lineRule="exact"/>
        <w:rPr>
          <w:sz w:val="20"/>
          <w:szCs w:val="20"/>
          <w:color w:val="auto"/>
        </w:rPr>
      </w:pPr>
    </w:p>
    <w:p>
      <w:pPr>
        <w:jc w:val="both"/>
        <w:ind w:left="780" w:hanging="2"/>
        <w:spacing w:after="0" w:line="306" w:lineRule="auto"/>
        <w:rPr>
          <w:sz w:val="20"/>
          <w:szCs w:val="20"/>
          <w:color w:val="auto"/>
        </w:rPr>
      </w:pPr>
      <w:r>
        <w:rPr>
          <w:rFonts w:ascii="Arial" w:cs="Arial" w:eastAsia="Arial" w:hAnsi="Arial"/>
          <w:sz w:val="14"/>
          <w:szCs w:val="14"/>
          <w:color w:val="auto"/>
        </w:rPr>
        <w:t>Founder, President and      Chief Executive Officer,      and Chair of the Board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2776855</wp:posOffset>
            </wp:positionV>
            <wp:extent cx="33401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Chih-Hsiang (Thompson) Lin, Ph.D., founded Applied Optoelectronics, Inc. in February 1997 and has served as President and Chief Executive Officer since our inception. He currently serves as the Chairman of our Board, a position he has held since January 2014. He also previously served as Chairman of our Board from May 2000 through September 2002, and again from June 2008 through October 2009. Since May 2015, Dr. Lin has served on the University of Missouri’s Chancellor’s Advisory Group and since November 2016 he has served as a chair on the University of Missouri’s Industrial Advisory Board for the College of Engineering. Dr. Lin also served as a research associate professor from 1998 to 2000 and as a senior research scientist from 1994 to 1998 at the University of Houston.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Dr. Lin received a B.S. in Nuclear Engineering from National Tsing Hua University in Taiwan and a M.S.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Ph.D. in Electrical and Computer Engineering from University of Missouri —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4766310" cy="7200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66310" cy="720090"/>
                    </a:xfrm>
                    <a:prstGeom prst="rect">
                      <a:avLst/>
                    </a:prstGeom>
                    <a:noFill/>
                  </pic:spPr>
                </pic:pic>
              </a:graphicData>
            </a:graphic>
          </wp:anchor>
        </w:drawing>
      </w:r>
    </w:p>
    <w:p>
      <w:pPr>
        <w:spacing w:after="0" w:line="135" w:lineRule="exact"/>
        <w:rPr>
          <w:sz w:val="20"/>
          <w:szCs w:val="20"/>
          <w:color w:val="auto"/>
        </w:rPr>
      </w:pPr>
    </w:p>
    <w:p>
      <w:pPr>
        <w:ind w:left="180" w:right="80"/>
        <w:spacing w:after="0" w:line="275" w:lineRule="auto"/>
        <w:rPr>
          <w:sz w:val="20"/>
          <w:szCs w:val="20"/>
          <w:color w:val="auto"/>
        </w:rPr>
      </w:pPr>
      <w:r>
        <w:rPr>
          <w:rFonts w:ascii="Arial" w:cs="Arial" w:eastAsia="Arial" w:hAnsi="Arial"/>
          <w:sz w:val="16"/>
          <w:szCs w:val="16"/>
          <w:color w:val="auto"/>
        </w:rPr>
        <w:t>The Board believes that Dr. Lin is qualified to serve as a director based on his extensive background in business management, technological expertise, his role as founder, President and Chief Executive Officer and his deep knowledge in our industry from years of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267335</wp:posOffset>
            </wp:positionV>
            <wp:extent cx="59664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555" w:lineRule="exact"/>
        <w:rPr>
          <w:sz w:val="20"/>
          <w:szCs w:val="20"/>
          <w:color w:val="auto"/>
        </w:rPr>
      </w:pPr>
    </w:p>
    <w:p>
      <w:pPr>
        <w:sectPr>
          <w:pgSz w:w="11900" w:h="16838" w:orient="portrait"/>
          <w:cols w:equalWidth="0" w:num="2">
            <w:col w:w="2440" w:space="120"/>
            <w:col w:w="748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8620" w:val="left"/>
        </w:tabs>
        <w:rPr>
          <w:sz w:val="20"/>
          <w:szCs w:val="20"/>
          <w:color w:val="auto"/>
        </w:rPr>
      </w:pPr>
      <w:r>
        <w:rPr>
          <w:rFonts w:ascii="Arial" w:cs="Arial" w:eastAsia="Arial" w:hAnsi="Arial"/>
          <w:sz w:val="14"/>
          <w:szCs w:val="14"/>
          <w:color w:val="auto"/>
        </w:rPr>
        <w:t>»  9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Richard B.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-1583055</wp:posOffset>
            </wp:positionV>
            <wp:extent cx="1062990" cy="13976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62990" cy="1397635"/>
                    </a:xfrm>
                    <a:prstGeom prst="rect">
                      <a:avLst/>
                    </a:prstGeom>
                    <a:noFill/>
                  </pic:spPr>
                </pic:pic>
              </a:graphicData>
            </a:graphic>
          </wp:anchor>
        </w:drawing>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Richard B. Black has served as the Chairman and Chief Executive Officer of ECRM, Incorporated, a worldwide supplier of laser-based imaging equipment, from 1983 until the company was acquired by Eastman KODAK Corp. in 2021. From 2014 to 2017, he also served as President and Chief Executive Officer and a director of CRON-ECRM LLC, a worldwide supplier of laser-based imaging equipment. Beginning in 1989, Mr. Black was a director of Oak Technology, Inc., a manufacturer of semi-conductors for optical storage and laser printers, and then became President in 1998 and vice chairman of the board of directors in 1999 until its merger with Zoran, Inc. in 2003. Mr. Black previously served as President and CEO of AM International from 1980 to 1982. He served as a Division President of Maremont Corporation, a manufacturer of auto parts and textile machinery, from 1967 to 1972, then as Maremont’s Executive Vice President and then President and CEO from 1972 to 1979. When Maremont was acquired by Alusuisse in 1979, he served as President and CEO of Alusuisse of America until 1981. He served as a director and chairman of the audit committee of GSI Group, a manufacturer of lasers, laser systems, semi-conductor equipment, from 1998 to 2012, and was its chairman of its board of directors from 2006 to 2012. Mr. Black served as a director and Chairman of the audit committee of Alliance Fiber Optics Products, Inc. (Nasdaq: AFOP) from 2002 until its acquisition by Corning in 2016. He serves as a director of TREX Enterprises, Inc., a defense technology company, a position he has held since 2000, and serves as director and Chairman of the Board of Directors of Hamillroad Software Ltd., a supplier of imaging software to the printing and packaging industries since January 2023. Mr. Black has served as trustee of the Institute for Advanced Study at Princeton since 1990, and became its Vice Chairman in 2006, and Trustee Emeritus since 2012. He has served as a trustee of the American Indian College Fund, Beloit College, and Bard College. At the University of Chicago, he serves on the Board of Governors of the University’s Smart Museum of Art and previously served on the Dean’s Council of the Physical Sciences Division.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Mr. Black received a B.S. in Engineering from Texas A&amp;M University, an MBA from Harvard University, and an honorary Ph.D. from Beloit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4766310" cy="7715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66310" cy="771525"/>
                    </a:xfrm>
                    <a:prstGeom prst="rect">
                      <a:avLst/>
                    </a:prstGeom>
                    <a:noFill/>
                  </pic:spPr>
                </pic:pic>
              </a:graphicData>
            </a:graphic>
          </wp:anchor>
        </w:drawing>
      </w:r>
    </w:p>
    <w:p>
      <w:pPr>
        <w:spacing w:after="0" w:line="298" w:lineRule="exact"/>
        <w:rPr>
          <w:sz w:val="20"/>
          <w:szCs w:val="20"/>
          <w:color w:val="auto"/>
        </w:rPr>
      </w:pPr>
    </w:p>
    <w:p>
      <w:pPr>
        <w:ind w:left="180" w:right="140"/>
        <w:spacing w:after="0" w:line="269" w:lineRule="auto"/>
        <w:rPr>
          <w:sz w:val="20"/>
          <w:szCs w:val="20"/>
          <w:color w:val="auto"/>
        </w:rPr>
      </w:pPr>
      <w:r>
        <w:rPr>
          <w:rFonts w:ascii="Arial" w:cs="Arial" w:eastAsia="Arial" w:hAnsi="Arial"/>
          <w:sz w:val="16"/>
          <w:szCs w:val="16"/>
          <w:color w:val="auto"/>
        </w:rPr>
        <w:t>The Board believes that Mr. Black is qualified to serve as a director based on his extensive business and financial management and leadership experience, and his service on other private company and publicly held company’s boards of directors as both a chief executive officer and chairman of the audit committee. He brings to the Board expertise in the fields of general management, accounting, and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66040</wp:posOffset>
            </wp:positionV>
            <wp:extent cx="59664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440"/>
            <w:col w:w="748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Min-Chu (Mike)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-1574165</wp:posOffset>
            </wp:positionV>
            <wp:extent cx="1062990" cy="13970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62990" cy="1397000"/>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Chen</w:t>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Min-Chu (Mike) Chen, Ph.D. has been a partner and member of the board of directors of EverRich Capital Inc., a financial consulting company, since 2001. Since May 2010, he has served as executive director of C&amp;C International Services, Inc., a petrochemical equipment services and marketing company. Dr. Chen is the co-founder and has served as executive director of EABO Information Technology (Shanghai), Co. Ltd., an IIoT technology platform company, since 2018. Dr. Chen is the co-founder and has served as a director of KidTech, Inc., a Houston based personalized healthcare solution provider for children, since May 2023. From March 1994 to June 2022, Dr. Chen served as a board member of PCTEL, Inc. (Nasdaq: PCTI). From September 2008 to April 2010, Dr. Chen served as the Chief Executive Officer of SilverPAC, Inc., a consumer electronics business. From 2011 to 2018, he served as the Asia Pacific Director for U.S. Flow Control Group Pte. Ltd., a petroleum equipment manufacturer and services company. From 2016 to 2023, he served as Vice Chairman of the board of directors of Shandong SicerKline Advanced Material Co., Ltd., a surface-etched silicon carbide and alumina mini-whisker manufacturing plant for ceramic applications. Dr. Chen was previously employed by Exxon as a Senior Research Engineer in the Drilling and Completion Division and as a Senior Engineer at Transocean.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3" w:lineRule="exact"/>
        <w:rPr>
          <w:sz w:val="20"/>
          <w:szCs w:val="20"/>
          <w:color w:val="auto"/>
        </w:rPr>
      </w:pPr>
    </w:p>
    <w:p>
      <w:pPr>
        <w:sectPr>
          <w:pgSz w:w="11900" w:h="16838" w:orient="portrait"/>
          <w:cols w:equalWidth="0" w:num="2">
            <w:col w:w="2140" w:space="420"/>
            <w:col w:w="7480"/>
          </w:cols>
          <w:pgMar w:left="580" w:top="97" w:right="1279" w:bottom="1440" w:gutter="0" w:footer="0" w:header="0"/>
          <w:type w:val="continuous"/>
        </w:sectPr>
      </w:pPr>
    </w:p>
    <w:p>
      <w:pPr>
        <w:ind w:left="2560" w:right="660"/>
        <w:spacing w:after="0" w:line="286" w:lineRule="auto"/>
        <w:rPr>
          <w:sz w:val="20"/>
          <w:szCs w:val="20"/>
          <w:color w:val="auto"/>
        </w:rPr>
      </w:pPr>
      <w:r>
        <w:rPr>
          <w:rFonts w:ascii="Arial" w:cs="Arial" w:eastAsia="Arial" w:hAnsi="Arial"/>
          <w:sz w:val="16"/>
          <w:szCs w:val="16"/>
          <w:color w:val="auto"/>
        </w:rPr>
        <w:t>Dr. Chen received a Ph.D. in Ocean Engineering from Oregon State University and B.S. in Naval Architecture from National Ocean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99060</wp:posOffset>
            </wp:positionV>
            <wp:extent cx="4766310" cy="522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66310" cy="522605"/>
                    </a:xfrm>
                    <a:prstGeom prst="rect">
                      <a:avLst/>
                    </a:prstGeom>
                    <a:noFill/>
                  </pic:spPr>
                </pic:pic>
              </a:graphicData>
            </a:graphic>
          </wp:anchor>
        </w:drawing>
      </w:r>
    </w:p>
    <w:p>
      <w:pPr>
        <w:spacing w:after="0" w:line="217" w:lineRule="exact"/>
        <w:rPr>
          <w:sz w:val="20"/>
          <w:szCs w:val="20"/>
          <w:color w:val="auto"/>
        </w:rPr>
      </w:pPr>
    </w:p>
    <w:p>
      <w:pPr>
        <w:ind w:left="2740" w:right="580"/>
        <w:spacing w:after="0" w:line="275" w:lineRule="auto"/>
        <w:rPr>
          <w:sz w:val="20"/>
          <w:szCs w:val="20"/>
          <w:color w:val="auto"/>
        </w:rPr>
      </w:pPr>
      <w:r>
        <w:rPr>
          <w:rFonts w:ascii="Arial" w:cs="Arial" w:eastAsia="Arial" w:hAnsi="Arial"/>
          <w:sz w:val="16"/>
          <w:szCs w:val="16"/>
          <w:color w:val="auto"/>
        </w:rPr>
        <w:t>The Board believes that Dr. Chen is qualified to serve as a director based on his business management experience, his service on other private company boards of directors and his prior service on the board of a publicly held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70485</wp:posOffset>
            </wp:positionV>
            <wp:extent cx="59664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636270</wp:posOffset>
            </wp:positionV>
            <wp:extent cx="33401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10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Directors Continuing in Office until the 2027 Annual Meeting of Stockholders</w:t>
      </w:r>
    </w:p>
    <w:p>
      <w:pPr>
        <w:spacing w:after="0" w:line="193" w:lineRule="exact"/>
        <w:rPr>
          <w:sz w:val="20"/>
          <w:szCs w:val="20"/>
          <w:color w:val="auto"/>
        </w:rPr>
      </w:pPr>
    </w:p>
    <w:p>
      <w:pPr>
        <w:ind w:left="2560" w:right="100"/>
        <w:spacing w:after="0" w:line="252" w:lineRule="auto"/>
        <w:rPr>
          <w:sz w:val="20"/>
          <w:szCs w:val="20"/>
          <w:color w:val="auto"/>
        </w:rPr>
      </w:pPr>
      <w:r>
        <w:rPr>
          <w:rFonts w:ascii="Arial" w:cs="Arial" w:eastAsia="Arial" w:hAnsi="Arial"/>
          <w:sz w:val="16"/>
          <w:szCs w:val="16"/>
          <w:color w:val="auto"/>
        </w:rPr>
        <w:t>William H. Yeh has served as the Chief Executive Officer and President of Golden Star Management, Inc., a real estate investment and management company, since 1997. In addition, since 2005, he has served as President of Pearlyeh Investments Inc., a real estate development and investment company. Since 2014, he has served as President of Stonemetal Capital, LLC, an equity financial company and as President of Pearl Yeh Charitable Foundation LLC, a charitable foundation focused on cultural exchange and education programs. He served as the Vice Chairman of Central Bancorp, Inc. (the holding company of United Central Bank, now Hanmi Bank) from 1997 to 2014. He served as an Advisor of Hanmi Bank for the Texas region from 2014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-971550</wp:posOffset>
            </wp:positionV>
            <wp:extent cx="1062990" cy="13976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62990" cy="1397635"/>
                    </a:xfrm>
                    <a:prstGeom prst="rect">
                      <a:avLst/>
                    </a:prstGeom>
                    <a:noFill/>
                  </pic:spPr>
                </pic:pic>
              </a:graphicData>
            </a:graphic>
          </wp:anchor>
        </w:drawing>
      </w:r>
    </w:p>
    <w:p>
      <w:pPr>
        <w:spacing w:after="0" w:line="55"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Education</w:t>
      </w:r>
    </w:p>
    <w:p>
      <w:pPr>
        <w:spacing w:after="0" w:line="11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Mr. Yeh received a B.S. from National Cheng Kung University in Taiwan and a M.S. from University of</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Houston — Clear Lake.</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-38735</wp:posOffset>
            </wp:positionV>
            <wp:extent cx="4766310" cy="523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6310" cy="523240"/>
                    </a:xfrm>
                    <a:prstGeom prst="rect">
                      <a:avLst/>
                    </a:prstGeom>
                    <a:noFill/>
                  </pic:spPr>
                </pic:pic>
              </a:graphicData>
            </a:graphic>
          </wp:anchor>
        </w:drawing>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1560" w:type="dxa"/>
            <w:vAlign w:val="bottom"/>
            <w:vMerge w:val="restart"/>
          </w:tcPr>
          <w:p>
            <w:pPr>
              <w:ind w:left="500"/>
              <w:spacing w:after="0"/>
              <w:rPr>
                <w:sz w:val="20"/>
                <w:szCs w:val="20"/>
                <w:color w:val="auto"/>
              </w:rPr>
            </w:pPr>
            <w:r>
              <w:rPr>
                <w:rFonts w:ascii="Arial" w:cs="Arial" w:eastAsia="Arial" w:hAnsi="Arial"/>
                <w:sz w:val="14"/>
                <w:szCs w:val="14"/>
                <w:color w:val="auto"/>
              </w:rPr>
              <w:t>Director</w:t>
            </w:r>
            <w:r>
              <w:rPr>
                <w:rFonts w:ascii="Arial" w:cs="Arial" w:eastAsia="Arial" w:hAnsi="Arial"/>
                <w:sz w:val="16"/>
                <w:szCs w:val="16"/>
                <w:color w:val="auto"/>
              </w:rPr>
              <w:t>​</w:t>
            </w:r>
          </w:p>
        </w:tc>
        <w:tc>
          <w:tcPr>
            <w:tcW w:w="7840" w:type="dxa"/>
            <w:vAlign w:val="bottom"/>
          </w:tcPr>
          <w:p>
            <w:pPr>
              <w:ind w:left="520"/>
              <w:spacing w:after="0"/>
              <w:rPr>
                <w:sz w:val="20"/>
                <w:szCs w:val="20"/>
                <w:color w:val="auto"/>
              </w:rPr>
            </w:pPr>
            <w:r>
              <w:rPr>
                <w:rFonts w:ascii="Arial" w:cs="Arial" w:eastAsia="Arial" w:hAnsi="Arial"/>
                <w:sz w:val="16"/>
                <w:szCs w:val="16"/>
                <w:color w:val="auto"/>
              </w:rPr>
              <w:t>The Board believes that Mr. Yeh is qualified to serve as a director based on his business and financial</w:t>
            </w:r>
          </w:p>
        </w:tc>
        <w:tc>
          <w:tcPr>
            <w:tcW w:w="0" w:type="dxa"/>
            <w:vAlign w:val="bottom"/>
          </w:tcPr>
          <w:p>
            <w:pPr>
              <w:spacing w:after="0"/>
              <w:rPr>
                <w:sz w:val="1"/>
                <w:szCs w:val="1"/>
                <w:color w:val="auto"/>
              </w:rPr>
            </w:pPr>
          </w:p>
        </w:tc>
      </w:tr>
      <w:tr>
        <w:trPr>
          <w:trHeight w:val="93"/>
        </w:trPr>
        <w:tc>
          <w:tcPr>
            <w:tcW w:w="1560" w:type="dxa"/>
            <w:vAlign w:val="bottom"/>
            <w:vMerge w:val="continue"/>
          </w:tcPr>
          <w:p>
            <w:pPr>
              <w:spacing w:after="0"/>
              <w:rPr>
                <w:sz w:val="8"/>
                <w:szCs w:val="8"/>
                <w:color w:val="auto"/>
              </w:rPr>
            </w:pPr>
          </w:p>
        </w:tc>
        <w:tc>
          <w:tcPr>
            <w:tcW w:w="7840" w:type="dxa"/>
            <w:vAlign w:val="bottom"/>
            <w:vMerge w:val="restart"/>
          </w:tcPr>
          <w:p>
            <w:pPr>
              <w:ind w:left="520"/>
              <w:spacing w:after="0"/>
              <w:rPr>
                <w:sz w:val="20"/>
                <w:szCs w:val="20"/>
                <w:color w:val="auto"/>
              </w:rPr>
            </w:pPr>
            <w:r>
              <w:rPr>
                <w:rFonts w:ascii="Arial" w:cs="Arial" w:eastAsia="Arial" w:hAnsi="Arial"/>
                <w:sz w:val="16"/>
                <w:szCs w:val="16"/>
                <w:color w:val="auto"/>
              </w:rPr>
              <w:t>management and leadership experience, as well as his extensive knowledge of the Company and our</w:t>
            </w:r>
          </w:p>
        </w:tc>
        <w:tc>
          <w:tcPr>
            <w:tcW w:w="0" w:type="dxa"/>
            <w:vAlign w:val="bottom"/>
          </w:tcPr>
          <w:p>
            <w:pPr>
              <w:spacing w:after="0"/>
              <w:rPr>
                <w:sz w:val="1"/>
                <w:szCs w:val="1"/>
                <w:color w:val="auto"/>
              </w:rPr>
            </w:pPr>
          </w:p>
        </w:tc>
      </w:tr>
      <w:tr>
        <w:trPr>
          <w:trHeight w:val="96"/>
        </w:trPr>
        <w:tc>
          <w:tcPr>
            <w:tcW w:w="1560" w:type="dxa"/>
            <w:vAlign w:val="bottom"/>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560" w:type="dxa"/>
            <w:vAlign w:val="bottom"/>
          </w:tcPr>
          <w:p>
            <w:pPr>
              <w:spacing w:after="0"/>
              <w:rPr>
                <w:sz w:val="18"/>
                <w:szCs w:val="18"/>
                <w:color w:val="auto"/>
              </w:rPr>
            </w:pPr>
          </w:p>
        </w:tc>
        <w:tc>
          <w:tcPr>
            <w:tcW w:w="7840" w:type="dxa"/>
            <w:vAlign w:val="bottom"/>
          </w:tcPr>
          <w:p>
            <w:pPr>
              <w:ind w:left="520"/>
              <w:spacing w:after="0"/>
              <w:rPr>
                <w:sz w:val="20"/>
                <w:szCs w:val="20"/>
                <w:color w:val="auto"/>
              </w:rPr>
            </w:pPr>
            <w:r>
              <w:rPr>
                <w:rFonts w:ascii="Arial" w:cs="Arial" w:eastAsia="Arial" w:hAnsi="Arial"/>
                <w:sz w:val="16"/>
                <w:szCs w:val="16"/>
                <w:color w:val="auto"/>
              </w:rPr>
              <w:t>industry from his years of service on our Board.</w:t>
            </w:r>
          </w:p>
        </w:tc>
        <w:tc>
          <w:tcPr>
            <w:tcW w:w="0" w:type="dxa"/>
            <w:vAlign w:val="bottom"/>
          </w:tcPr>
          <w:p>
            <w:pPr>
              <w:spacing w:after="0"/>
              <w:rPr>
                <w:sz w:val="1"/>
                <w:szCs w:val="1"/>
                <w:color w:val="auto"/>
              </w:rPr>
            </w:pPr>
          </w:p>
        </w:tc>
      </w:tr>
      <w:tr>
        <w:trPr>
          <w:trHeight w:val="137"/>
        </w:trPr>
        <w:tc>
          <w:tcPr>
            <w:tcW w:w="1560" w:type="dxa"/>
            <w:vAlign w:val="bottom"/>
            <w:tcBorders>
              <w:bottom w:val="single" w:sz="8" w:color="auto"/>
            </w:tcBorders>
          </w:tcPr>
          <w:p>
            <w:pPr>
              <w:spacing w:after="0"/>
              <w:rPr>
                <w:sz w:val="11"/>
                <w:szCs w:val="11"/>
                <w:color w:val="auto"/>
              </w:rPr>
            </w:pPr>
          </w:p>
        </w:tc>
        <w:tc>
          <w:tcPr>
            <w:tcW w:w="7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Cynthia (Cindy)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-1514475</wp:posOffset>
            </wp:positionV>
            <wp:extent cx="1062990" cy="13373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62990" cy="1337310"/>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DeLaney</w:t>
      </w:r>
    </w:p>
    <w:p>
      <w:pPr>
        <w:spacing w:after="0" w:line="9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3604260</wp:posOffset>
            </wp:positionV>
            <wp:extent cx="33401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Cynthia (Cindy) DeLaney has served as the Global Fuel Oil commodity trading manager for Shell Trading since January 2014. In this role, she manages Shell’s Global Fuel Oil Trading activities with primary trading offices in Singapore, Rotterdam, and Houston, covering Asia, Europe, and the Americas, and other offices in cities such as Calgary, Dubai, and Moscow. For the nine years prior, from 2005 to 2013, she managed the Americas Fuel Oil Trading team. Before her position as the Americas Trading Manager, Ms. DeLaney was a trader in fuel oil, VGO, gasoline and gasoline components from 1999 to 2005. She has over 25 years’ experience as a trader and in technical aspects of the petrochemical/​ refining industry. In her role as the Global Trading Manager of Fuel Oil, Ms. DeLaney has increased the profitability of Shell’s global fuel oil trading business which grew steadily over her tenure. Since October 2016, Ms. DeLaney has served as a director and Vice President of Shell Trading US Company (STUSCo). She is also a member of the Executive group of the Houston Chapter of the Women’s Energy Network (WEN) which works to promote and develop women’s careers in Energy and STEM fields.</w:t>
      </w:r>
    </w:p>
    <w:p>
      <w:pPr>
        <w:spacing w:after="0" w:line="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Ms. DeLaney started her working career in 1991 as an Electrical Engineer at Arco Chemical Company (now Lyondell) in Houston. She moved from technical to commercial activities at Arco, eventually trading MTBE and gasoline components from Arco’s Newtown Square, Pennsylvania headquarters. In 1998, she moved to Koch Industries, in Houston, to trade MTBE before being hired in 1999 by Shell to trade gasoline, and then Fuel Oil and VGO.</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Ms. DeLaney received a B.S. in Electrical Engineering from Louisiana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4766310" cy="394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66310" cy="394335"/>
                    </a:xfrm>
                    <a:prstGeom prst="rect">
                      <a:avLst/>
                    </a:prstGeom>
                    <a:noFill/>
                  </pic:spPr>
                </pic:pic>
              </a:graphicData>
            </a:graphic>
          </wp:anchor>
        </w:drawing>
      </w:r>
    </w:p>
    <w:p>
      <w:pPr>
        <w:spacing w:after="0" w:line="296" w:lineRule="exact"/>
        <w:rPr>
          <w:sz w:val="20"/>
          <w:szCs w:val="20"/>
          <w:color w:val="auto"/>
        </w:rPr>
      </w:pPr>
    </w:p>
    <w:p>
      <w:pPr>
        <w:ind w:left="180" w:right="880"/>
        <w:spacing w:after="0" w:line="286" w:lineRule="auto"/>
        <w:rPr>
          <w:sz w:val="20"/>
          <w:szCs w:val="20"/>
          <w:color w:val="auto"/>
        </w:rPr>
      </w:pPr>
      <w:r>
        <w:rPr>
          <w:rFonts w:ascii="Arial" w:cs="Arial" w:eastAsia="Arial" w:hAnsi="Arial"/>
          <w:sz w:val="16"/>
          <w:szCs w:val="16"/>
          <w:color w:val="auto"/>
        </w:rPr>
        <w:t>The Board believes Ms. DeLaney is qualified to serve as a director based on her leadership experience and extensive experience in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64770</wp:posOffset>
            </wp:positionV>
            <wp:extent cx="59664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480"/>
            <w:col w:w="750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11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0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321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Director Independence</w:t>
      </w:r>
    </w:p>
    <w:p>
      <w:pPr>
        <w:spacing w:after="0" w:line="126" w:lineRule="exact"/>
        <w:rPr>
          <w:sz w:val="20"/>
          <w:szCs w:val="20"/>
          <w:color w:val="auto"/>
        </w:rPr>
      </w:pPr>
    </w:p>
    <w:p>
      <w:pPr>
        <w:ind w:left="660" w:right="140"/>
        <w:spacing w:after="0" w:line="265" w:lineRule="auto"/>
        <w:rPr>
          <w:sz w:val="20"/>
          <w:szCs w:val="20"/>
          <w:color w:val="auto"/>
        </w:rPr>
      </w:pPr>
      <w:r>
        <w:rPr>
          <w:rFonts w:ascii="Arial" w:cs="Arial" w:eastAsia="Arial" w:hAnsi="Arial"/>
          <w:sz w:val="16"/>
          <w:szCs w:val="16"/>
          <w:color w:val="auto"/>
        </w:rPr>
        <w:t>The Board has determined that, other than Dr. Chih-Hsiang (Thompson) Lin, our President and Chief Executive Officer, each of the current members of the Board and the nominee for election to the Board is an “independent director” for purposes of The Nasdaq Stock Market LLC (“Nasdaq”) Listing Rules and Rule 10A-3(b)(1) under the Securities Exchange Act of 1934, as amended (the “Exchange Act”), as the term relates to membership on the Board. In making these determinations, our Board reviewed and discussed information provided by the directors in questionnaires with questions tailored to the Nasdaq Listing Rules with regard to each director’s business and personal activities as they may relate to us and our management.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Board Leadership Structure</w:t>
      </w:r>
    </w:p>
    <w:p>
      <w:pPr>
        <w:spacing w:after="0" w:line="112" w:lineRule="exact"/>
        <w:rPr>
          <w:sz w:val="20"/>
          <w:szCs w:val="20"/>
          <w:color w:val="auto"/>
        </w:rPr>
      </w:pPr>
    </w:p>
    <w:p>
      <w:pPr>
        <w:ind w:left="660" w:right="320"/>
        <w:spacing w:after="0" w:line="304" w:lineRule="auto"/>
        <w:rPr>
          <w:sz w:val="20"/>
          <w:szCs w:val="20"/>
          <w:color w:val="auto"/>
        </w:rPr>
      </w:pPr>
      <w:r>
        <w:rPr>
          <w:rFonts w:ascii="Arial" w:cs="Arial" w:eastAsia="Arial" w:hAnsi="Arial"/>
          <w:sz w:val="16"/>
          <w:szCs w:val="16"/>
          <w:color w:val="auto"/>
        </w:rPr>
        <w:t>The Board evaluates its leadership structure regularly to ensure it remains aligned with the Company’s strategic and governance needs.</w:t>
      </w:r>
    </w:p>
    <w:p>
      <w:pPr>
        <w:spacing w:after="0" w:line="60" w:lineRule="exact"/>
        <w:rPr>
          <w:sz w:val="20"/>
          <w:szCs w:val="20"/>
          <w:color w:val="auto"/>
        </w:rPr>
      </w:pPr>
    </w:p>
    <w:p>
      <w:pPr>
        <w:ind w:left="660"/>
        <w:spacing w:after="0"/>
        <w:tabs>
          <w:tab w:leader="none" w:pos="5520" w:val="left"/>
        </w:tabs>
        <w:rPr>
          <w:sz w:val="20"/>
          <w:szCs w:val="20"/>
          <w:color w:val="auto"/>
        </w:rPr>
      </w:pPr>
      <w:r>
        <w:rPr>
          <w:rFonts w:ascii="Arial" w:cs="Arial" w:eastAsia="Arial" w:hAnsi="Arial"/>
          <w:sz w:val="16"/>
          <w:szCs w:val="16"/>
          <w:b w:val="1"/>
          <w:bCs w:val="1"/>
          <w:color w:val="auto"/>
        </w:rPr>
        <w:t>Dr. Chih-Hsiang (Thompson) Lin</w:t>
      </w:r>
      <w:r>
        <w:rPr>
          <w:sz w:val="20"/>
          <w:szCs w:val="20"/>
          <w:color w:val="auto"/>
        </w:rPr>
        <w:tab/>
      </w:r>
      <w:r>
        <w:rPr>
          <w:rFonts w:ascii="Arial" w:cs="Arial" w:eastAsia="Arial" w:hAnsi="Arial"/>
          <w:sz w:val="15"/>
          <w:szCs w:val="15"/>
          <w:b w:val="1"/>
          <w:bCs w:val="1"/>
          <w:color w:val="auto"/>
        </w:rPr>
        <w:t>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29210</wp:posOffset>
            </wp:positionV>
            <wp:extent cx="59493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49315" cy="825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p>
      <w:pPr>
        <w:spacing w:after="0" w:line="113" w:lineRule="exact"/>
        <w:rPr>
          <w:sz w:val="20"/>
          <w:szCs w:val="20"/>
          <w:color w:val="auto"/>
        </w:rPr>
      </w:pPr>
    </w:p>
    <w:p>
      <w:pPr>
        <w:jc w:val="both"/>
        <w:ind w:left="1860" w:right="1460"/>
        <w:spacing w:after="0" w:line="311" w:lineRule="auto"/>
        <w:rPr>
          <w:sz w:val="20"/>
          <w:szCs w:val="20"/>
          <w:color w:val="auto"/>
        </w:rPr>
      </w:pPr>
      <w:r>
        <w:rPr>
          <w:rFonts w:ascii="Arial" w:cs="Arial" w:eastAsia="Arial" w:hAnsi="Arial"/>
          <w:sz w:val="15"/>
          <w:szCs w:val="15"/>
          <w:color w:val="auto"/>
        </w:rPr>
        <w:t>Our Board is currently chaired by our President and Chief Executive Officer, Dr.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-407670</wp:posOffset>
            </wp:positionV>
            <wp:extent cx="608330" cy="797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8330" cy="797560"/>
                    </a:xfrm>
                    <a:prstGeom prst="rect">
                      <a:avLst/>
                    </a:prstGeom>
                    <a:noFill/>
                  </pic:spPr>
                </pic:pic>
              </a:graphicData>
            </a:graphic>
          </wp:anchor>
        </w:drawing>
      </w:r>
    </w:p>
    <w:p>
      <w:pPr>
        <w:spacing w:after="0" w:line="52" w:lineRule="exact"/>
        <w:rPr>
          <w:sz w:val="20"/>
          <w:szCs w:val="20"/>
          <w:color w:val="auto"/>
        </w:rPr>
      </w:pPr>
    </w:p>
    <w:p>
      <w:pPr>
        <w:ind w:left="2180" w:right="860" w:hanging="169"/>
        <w:spacing w:after="0" w:line="262" w:lineRule="auto"/>
        <w:tabs>
          <w:tab w:leader="none" w:pos="2180" w:val="left"/>
        </w:tabs>
        <w:numPr>
          <w:ilvl w:val="0"/>
          <w:numId w:val="8"/>
        </w:numPr>
        <w:rPr>
          <w:rFonts w:ascii="Arial" w:cs="Arial" w:eastAsia="Arial" w:hAnsi="Arial"/>
          <w:sz w:val="9"/>
          <w:szCs w:val="9"/>
          <w:color w:val="auto"/>
        </w:rPr>
      </w:pPr>
      <w:r>
        <w:rPr>
          <w:rFonts w:ascii="Arial" w:cs="Arial" w:eastAsia="Arial" w:hAnsi="Arial"/>
          <w:sz w:val="16"/>
          <w:szCs w:val="16"/>
          <w:color w:val="auto"/>
        </w:rPr>
        <w:t>The Board believes that combining the positions of Chief Executive Officer and Chairman of the Board, or Chairman, helps to ensure that the Board and management act with a common purpose, providing a single, clear chain of command to execute our strategic initiatives and business plans.</w:t>
      </w:r>
    </w:p>
    <w:p>
      <w:pPr>
        <w:spacing w:after="0" w:line="121" w:lineRule="exact"/>
        <w:rPr>
          <w:rFonts w:ascii="Arial" w:cs="Arial" w:eastAsia="Arial" w:hAnsi="Arial"/>
          <w:sz w:val="9"/>
          <w:szCs w:val="9"/>
          <w:color w:val="auto"/>
        </w:rPr>
      </w:pPr>
    </w:p>
    <w:p>
      <w:pPr>
        <w:ind w:left="2180" w:right="1000" w:hanging="169"/>
        <w:spacing w:after="0" w:line="276" w:lineRule="auto"/>
        <w:tabs>
          <w:tab w:leader="none" w:pos="2180" w:val="left"/>
        </w:tabs>
        <w:numPr>
          <w:ilvl w:val="0"/>
          <w:numId w:val="8"/>
        </w:numPr>
        <w:rPr>
          <w:rFonts w:ascii="Arial" w:cs="Arial" w:eastAsia="Arial" w:hAnsi="Arial"/>
          <w:sz w:val="9"/>
          <w:szCs w:val="9"/>
          <w:color w:val="auto"/>
        </w:rPr>
      </w:pPr>
      <w:r>
        <w:rPr>
          <w:rFonts w:ascii="Arial" w:cs="Arial" w:eastAsia="Arial" w:hAnsi="Arial"/>
          <w:sz w:val="15"/>
          <w:szCs w:val="15"/>
          <w:color w:val="auto"/>
        </w:rPr>
        <w:t>In addition, the Board believes that a combined Chief Executive Officer and Chairman is better positioned to act as a</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Our Board appointed William H. Yeh as lead independent director of our Board in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-396875</wp:posOffset>
            </wp:positionV>
            <wp:extent cx="608330" cy="797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8330" cy="79756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our lead independent director, Mr. Yeh</w:t>
      </w:r>
    </w:p>
    <w:p>
      <w:pPr>
        <w:spacing w:after="0" w:line="140" w:lineRule="exact"/>
        <w:rPr>
          <w:sz w:val="20"/>
          <w:szCs w:val="20"/>
          <w:color w:val="auto"/>
        </w:rPr>
      </w:pPr>
    </w:p>
    <w:p>
      <w:pPr>
        <w:jc w:val="both"/>
        <w:ind w:left="300" w:right="180" w:hanging="155"/>
        <w:spacing w:after="0" w:line="286" w:lineRule="auto"/>
        <w:tabs>
          <w:tab w:leader="none" w:pos="300" w:val="left"/>
        </w:tabs>
        <w:numPr>
          <w:ilvl w:val="0"/>
          <w:numId w:val="9"/>
        </w:numPr>
        <w:rPr>
          <w:rFonts w:ascii="Arial" w:cs="Arial" w:eastAsia="Arial" w:hAnsi="Arial"/>
          <w:sz w:val="9"/>
          <w:szCs w:val="9"/>
          <w:color w:val="auto"/>
        </w:rPr>
      </w:pPr>
      <w:r>
        <w:rPr>
          <w:rFonts w:ascii="Arial" w:cs="Arial" w:eastAsia="Arial" w:hAnsi="Arial"/>
          <w:sz w:val="16"/>
          <w:szCs w:val="16"/>
          <w:color w:val="auto"/>
        </w:rPr>
        <w:t>serves as chair of executive sessions of the independent members of the Board;</w:t>
      </w:r>
    </w:p>
    <w:p>
      <w:pPr>
        <w:spacing w:after="0" w:line="88" w:lineRule="exact"/>
        <w:rPr>
          <w:rFonts w:ascii="Arial" w:cs="Arial" w:eastAsia="Arial" w:hAnsi="Arial"/>
          <w:sz w:val="9"/>
          <w:szCs w:val="9"/>
          <w:color w:val="auto"/>
        </w:rPr>
      </w:pPr>
    </w:p>
    <w:p>
      <w:pPr>
        <w:ind w:left="300" w:right="20" w:hanging="155"/>
        <w:spacing w:after="0" w:line="304" w:lineRule="auto"/>
        <w:tabs>
          <w:tab w:leader="none" w:pos="300" w:val="left"/>
        </w:tabs>
        <w:numPr>
          <w:ilvl w:val="0"/>
          <w:numId w:val="9"/>
        </w:numPr>
        <w:rPr>
          <w:rFonts w:ascii="Arial" w:cs="Arial" w:eastAsia="Arial" w:hAnsi="Arial"/>
          <w:sz w:val="9"/>
          <w:szCs w:val="9"/>
          <w:color w:val="auto"/>
        </w:rPr>
      </w:pPr>
      <w:r>
        <w:rPr>
          <w:rFonts w:ascii="Arial" w:cs="Arial" w:eastAsia="Arial" w:hAnsi="Arial"/>
          <w:sz w:val="16"/>
          <w:szCs w:val="16"/>
          <w:color w:val="auto"/>
        </w:rPr>
        <w:t>serves as chair of meetings of the Board if the Chairman of the Board is absent;</w:t>
      </w:r>
    </w:p>
    <w:p>
      <w:pPr>
        <w:spacing w:after="0" w:line="73" w:lineRule="exact"/>
        <w:rPr>
          <w:rFonts w:ascii="Arial" w:cs="Arial" w:eastAsia="Arial" w:hAnsi="Arial"/>
          <w:sz w:val="9"/>
          <w:szCs w:val="9"/>
          <w:color w:val="auto"/>
        </w:rPr>
      </w:pPr>
    </w:p>
    <w:p>
      <w:pPr>
        <w:ind w:left="300" w:right="60" w:hanging="155"/>
        <w:spacing w:after="0" w:line="271" w:lineRule="auto"/>
        <w:tabs>
          <w:tab w:leader="none" w:pos="300" w:val="left"/>
        </w:tabs>
        <w:numPr>
          <w:ilvl w:val="0"/>
          <w:numId w:val="9"/>
        </w:numPr>
        <w:rPr>
          <w:rFonts w:ascii="Arial" w:cs="Arial" w:eastAsia="Arial" w:hAnsi="Arial"/>
          <w:sz w:val="9"/>
          <w:szCs w:val="9"/>
          <w:color w:val="auto"/>
        </w:rPr>
      </w:pPr>
      <w:r>
        <w:rPr>
          <w:rFonts w:ascii="Arial" w:cs="Arial" w:eastAsia="Arial" w:hAnsi="Arial"/>
          <w:sz w:val="16"/>
          <w:szCs w:val="16"/>
          <w:color w:val="auto"/>
        </w:rPr>
        <w:t>serves as the designated liaison between the independent members of the Board, the full Board and the management of the Company;</w:t>
      </w:r>
    </w:p>
    <w:p>
      <w:pPr>
        <w:spacing w:after="0" w:line="116" w:lineRule="exact"/>
        <w:rPr>
          <w:sz w:val="20"/>
          <w:szCs w:val="20"/>
          <w:color w:val="auto"/>
        </w:rPr>
      </w:pPr>
    </w:p>
    <w:p>
      <w:pPr>
        <w:sectPr>
          <w:pgSz w:w="11900" w:h="16838" w:orient="portrait"/>
          <w:cols w:equalWidth="0" w:num="2">
            <w:col w:w="6020" w:space="720"/>
            <w:col w:w="3300"/>
          </w:cols>
          <w:pgMar w:left="580" w:top="97" w:right="127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bridge between management and the</w:t>
      </w:r>
    </w:p>
    <w:p>
      <w:pPr>
        <w:spacing w:after="0" w:line="19"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Board, facilitating the regular flow of</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information.</w:t>
      </w:r>
    </w:p>
    <w:p>
      <w:pPr>
        <w:spacing w:after="0" w:line="141" w:lineRule="exact"/>
        <w:rPr>
          <w:sz w:val="20"/>
          <w:szCs w:val="20"/>
          <w:color w:val="auto"/>
        </w:rPr>
      </w:pPr>
    </w:p>
    <w:p>
      <w:pPr>
        <w:ind w:left="2180" w:right="1165" w:hanging="169"/>
        <w:spacing w:after="0" w:line="268" w:lineRule="auto"/>
        <w:tabs>
          <w:tab w:leader="none" w:pos="2180" w:val="left"/>
        </w:tabs>
        <w:numPr>
          <w:ilvl w:val="0"/>
          <w:numId w:val="10"/>
        </w:numPr>
        <w:rPr>
          <w:rFonts w:ascii="Arial" w:cs="Arial" w:eastAsia="Arial" w:hAnsi="Arial"/>
          <w:sz w:val="9"/>
          <w:szCs w:val="9"/>
          <w:color w:val="auto"/>
        </w:rPr>
      </w:pPr>
      <w:r>
        <w:rPr>
          <w:rFonts w:ascii="Arial" w:cs="Arial" w:eastAsia="Arial" w:hAnsi="Arial"/>
          <w:sz w:val="16"/>
          <w:szCs w:val="16"/>
          <w:color w:val="auto"/>
        </w:rPr>
        <w:t>In light of our Chief Executive Officer’s extensive history with and knowledge of our Company, the Board also believes that it is advantageous for the Company to combine the positions of 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383540</wp:posOffset>
            </wp:positionV>
            <wp:extent cx="2854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5" w:hanging="155"/>
        <w:spacing w:after="0"/>
        <w:tabs>
          <w:tab w:leader="none" w:pos="155" w:val="left"/>
        </w:tabs>
        <w:numPr>
          <w:ilvl w:val="0"/>
          <w:numId w:val="11"/>
        </w:numPr>
        <w:rPr>
          <w:rFonts w:ascii="Arial" w:cs="Arial" w:eastAsia="Arial" w:hAnsi="Arial"/>
          <w:sz w:val="9"/>
          <w:szCs w:val="9"/>
          <w:color w:val="auto"/>
        </w:rPr>
      </w:pPr>
      <w:r>
        <w:rPr>
          <w:rFonts w:ascii="Arial" w:cs="Arial" w:eastAsia="Arial" w:hAnsi="Arial"/>
          <w:sz w:val="16"/>
          <w:szCs w:val="16"/>
          <w:color w:val="auto"/>
        </w:rPr>
        <w:t>approves information sent to the Board;</w:t>
      </w:r>
    </w:p>
    <w:p>
      <w:pPr>
        <w:spacing w:after="0" w:line="97" w:lineRule="exact"/>
        <w:rPr>
          <w:rFonts w:ascii="Arial" w:cs="Arial" w:eastAsia="Arial" w:hAnsi="Arial"/>
          <w:sz w:val="9"/>
          <w:szCs w:val="9"/>
          <w:color w:val="auto"/>
        </w:rPr>
      </w:pPr>
    </w:p>
    <w:p>
      <w:pPr>
        <w:ind w:left="155" w:hanging="155"/>
        <w:spacing w:after="0"/>
        <w:tabs>
          <w:tab w:leader="none" w:pos="155" w:val="left"/>
        </w:tabs>
        <w:numPr>
          <w:ilvl w:val="0"/>
          <w:numId w:val="11"/>
        </w:numPr>
        <w:rPr>
          <w:rFonts w:ascii="Arial" w:cs="Arial" w:eastAsia="Arial" w:hAnsi="Arial"/>
          <w:sz w:val="9"/>
          <w:szCs w:val="9"/>
          <w:color w:val="auto"/>
        </w:rPr>
      </w:pPr>
      <w:r>
        <w:rPr>
          <w:rFonts w:ascii="Arial" w:cs="Arial" w:eastAsia="Arial" w:hAnsi="Arial"/>
          <w:sz w:val="16"/>
          <w:szCs w:val="16"/>
          <w:color w:val="auto"/>
        </w:rPr>
        <w:t>approves meeting agendas of the Board;</w:t>
      </w:r>
    </w:p>
    <w:p>
      <w:pPr>
        <w:spacing w:after="0" w:line="140" w:lineRule="exact"/>
        <w:rPr>
          <w:rFonts w:ascii="Arial" w:cs="Arial" w:eastAsia="Arial" w:hAnsi="Arial"/>
          <w:sz w:val="9"/>
          <w:szCs w:val="9"/>
          <w:color w:val="auto"/>
        </w:rPr>
      </w:pPr>
    </w:p>
    <w:p>
      <w:pPr>
        <w:ind w:left="155" w:right="60" w:hanging="155"/>
        <w:spacing w:after="0" w:line="275" w:lineRule="auto"/>
        <w:tabs>
          <w:tab w:leader="none" w:pos="155" w:val="left"/>
        </w:tabs>
        <w:numPr>
          <w:ilvl w:val="0"/>
          <w:numId w:val="11"/>
        </w:numPr>
        <w:rPr>
          <w:rFonts w:ascii="Arial" w:cs="Arial" w:eastAsia="Arial" w:hAnsi="Arial"/>
          <w:sz w:val="9"/>
          <w:szCs w:val="9"/>
          <w:color w:val="auto"/>
        </w:rPr>
      </w:pPr>
      <w:r>
        <w:rPr>
          <w:rFonts w:ascii="Arial" w:cs="Arial" w:eastAsia="Arial" w:hAnsi="Arial"/>
          <w:sz w:val="16"/>
          <w:szCs w:val="16"/>
          <w:color w:val="auto"/>
        </w:rPr>
        <w:t>approves meeting schedules to assure there is sufficient time for discussion of all agenda items;</w:t>
      </w:r>
    </w:p>
    <w:p>
      <w:pPr>
        <w:spacing w:after="0" w:line="110" w:lineRule="exact"/>
        <w:rPr>
          <w:rFonts w:ascii="Arial" w:cs="Arial" w:eastAsia="Arial" w:hAnsi="Arial"/>
          <w:sz w:val="9"/>
          <w:szCs w:val="9"/>
          <w:color w:val="auto"/>
        </w:rPr>
      </w:pPr>
    </w:p>
    <w:p>
      <w:pPr>
        <w:ind w:left="155" w:right="220" w:hanging="155"/>
        <w:spacing w:after="0" w:line="286" w:lineRule="auto"/>
        <w:tabs>
          <w:tab w:leader="none" w:pos="155" w:val="left"/>
        </w:tabs>
        <w:numPr>
          <w:ilvl w:val="0"/>
          <w:numId w:val="11"/>
        </w:numPr>
        <w:rPr>
          <w:rFonts w:ascii="Arial" w:cs="Arial" w:eastAsia="Arial" w:hAnsi="Arial"/>
          <w:sz w:val="9"/>
          <w:szCs w:val="9"/>
          <w:color w:val="auto"/>
        </w:rPr>
      </w:pPr>
      <w:r>
        <w:rPr>
          <w:rFonts w:ascii="Arial" w:cs="Arial" w:eastAsia="Arial" w:hAnsi="Arial"/>
          <w:sz w:val="16"/>
          <w:szCs w:val="16"/>
          <w:color w:val="auto"/>
        </w:rPr>
        <w:t>has the authority to call meetings of the independent directors; and</w:t>
      </w:r>
    </w:p>
    <w:p>
      <w:pPr>
        <w:spacing w:after="0" w:line="101" w:lineRule="exact"/>
        <w:rPr>
          <w:rFonts w:ascii="Arial" w:cs="Arial" w:eastAsia="Arial" w:hAnsi="Arial"/>
          <w:sz w:val="9"/>
          <w:szCs w:val="9"/>
          <w:color w:val="auto"/>
        </w:rPr>
      </w:pPr>
    </w:p>
    <w:p>
      <w:pPr>
        <w:ind w:left="155" w:right="240" w:hanging="155"/>
        <w:spacing w:after="0" w:line="301" w:lineRule="auto"/>
        <w:tabs>
          <w:tab w:leader="none" w:pos="155" w:val="left"/>
        </w:tabs>
        <w:numPr>
          <w:ilvl w:val="0"/>
          <w:numId w:val="11"/>
        </w:numPr>
        <w:rPr>
          <w:rFonts w:ascii="Arial" w:cs="Arial" w:eastAsia="Arial" w:hAnsi="Arial"/>
          <w:sz w:val="9"/>
          <w:szCs w:val="9"/>
          <w:color w:val="auto"/>
        </w:rPr>
      </w:pPr>
      <w:r>
        <w:rPr>
          <w:rFonts w:ascii="Arial" w:cs="Arial" w:eastAsia="Arial" w:hAnsi="Arial"/>
          <w:sz w:val="15"/>
          <w:szCs w:val="15"/>
          <w:color w:val="auto"/>
        </w:rPr>
        <w:t>if requested by major stockholders, ensures that he is available for consultation and direct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17145</wp:posOffset>
            </wp:positionV>
            <wp:extent cx="2854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65" w:space="720"/>
            <w:col w:w="3155"/>
          </w:cols>
          <w:pgMar w:left="580" w:top="97" w:right="1279" w:bottom="1440" w:gutter="0" w:footer="0" w:header="0"/>
          <w:type w:val="continuous"/>
        </w:sectPr>
      </w:pP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Executive Sessions</w:t>
      </w:r>
    </w:p>
    <w:p>
      <w:pPr>
        <w:spacing w:after="0" w:line="112" w:lineRule="exact"/>
        <w:rPr>
          <w:sz w:val="20"/>
          <w:szCs w:val="20"/>
          <w:color w:val="auto"/>
        </w:rPr>
      </w:pPr>
    </w:p>
    <w:p>
      <w:pPr>
        <w:ind w:left="660" w:right="340"/>
        <w:spacing w:after="0" w:line="284" w:lineRule="auto"/>
        <w:rPr>
          <w:sz w:val="20"/>
          <w:szCs w:val="20"/>
          <w:color w:val="auto"/>
        </w:rPr>
      </w:pPr>
      <w:r>
        <w:rPr>
          <w:rFonts w:ascii="Arial" w:cs="Arial" w:eastAsia="Arial" w:hAnsi="Arial"/>
          <w:sz w:val="16"/>
          <w:szCs w:val="16"/>
          <w:color w:val="auto"/>
        </w:rPr>
        <w:t>Non-management directors generally meet in executive session without management present. The Board’s policy is to hold executive sessions without the presence of management, including the Chief Executive Officer, who is the only non-independent director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939800</wp:posOffset>
            </wp:positionV>
            <wp:extent cx="33401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12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Meetings of the Board of Directors and Committees</w:t>
      </w:r>
    </w:p>
    <w:p>
      <w:pPr>
        <w:spacing w:after="0" w:line="126" w:lineRule="exact"/>
        <w:rPr>
          <w:sz w:val="20"/>
          <w:szCs w:val="20"/>
          <w:color w:val="auto"/>
        </w:rPr>
      </w:pPr>
    </w:p>
    <w:p>
      <w:pPr>
        <w:ind w:left="660" w:right="200"/>
        <w:spacing w:after="0" w:line="271" w:lineRule="auto"/>
        <w:rPr>
          <w:sz w:val="20"/>
          <w:szCs w:val="20"/>
          <w:color w:val="auto"/>
        </w:rPr>
      </w:pPr>
      <w:r>
        <w:rPr>
          <w:rFonts w:ascii="Arial" w:cs="Arial" w:eastAsia="Arial" w:hAnsi="Arial"/>
          <w:sz w:val="16"/>
          <w:szCs w:val="16"/>
          <w:color w:val="auto"/>
        </w:rPr>
        <w:t>The Board held six meetings during the fiscal year ended December 31, 2025. The Board has three standing committees: an audit committee, a compensation committee, and a nominating and corporate governance committee. During the last fiscal year, each of our directors attended at least 75% of the total number of meetings of the Board and all of the committees of the Board on which such director served during that period.</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standing committees of the Board and the members of each committee as of April 24, 2026:</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jc w:val="center"/>
              <w:ind w:left="199"/>
              <w:spacing w:after="0"/>
              <w:rPr>
                <w:sz w:val="20"/>
                <w:szCs w:val="20"/>
                <w:color w:val="auto"/>
              </w:rPr>
            </w:pPr>
            <w:r>
              <w:rPr>
                <w:rFonts w:ascii="Arial" w:cs="Arial" w:eastAsia="Arial" w:hAnsi="Arial"/>
                <w:sz w:val="16"/>
                <w:szCs w:val="16"/>
                <w:b w:val="1"/>
                <w:bCs w:val="1"/>
                <w:color w:val="auto"/>
                <w:w w:val="95"/>
              </w:rPr>
              <w:t>Nominating and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7"/>
        </w:trPr>
        <w:tc>
          <w:tcPr>
            <w:tcW w:w="21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 of Director</w:t>
            </w:r>
          </w:p>
        </w:tc>
        <w:tc>
          <w:tcPr>
            <w:tcW w:w="242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Audit</w:t>
            </w:r>
          </w:p>
        </w:tc>
        <w:tc>
          <w:tcPr>
            <w:tcW w:w="230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5"/>
              </w:rPr>
              <w:t>Compensation</w:t>
            </w:r>
          </w:p>
        </w:tc>
        <w:tc>
          <w:tcPr>
            <w:tcW w:w="23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5"/>
              </w:rPr>
              <w:t>Corporate Governance</w:t>
            </w:r>
          </w:p>
        </w:tc>
        <w:tc>
          <w:tcPr>
            <w:tcW w:w="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w:t>
            </w:r>
          </w:p>
        </w:tc>
      </w:tr>
      <w:tr>
        <w:trPr>
          <w:trHeight w:val="315"/>
        </w:trPr>
        <w:tc>
          <w:tcPr>
            <w:tcW w:w="2160" w:type="dxa"/>
            <w:vAlign w:val="bottom"/>
          </w:tcPr>
          <w:p>
            <w:pPr>
              <w:ind w:left="100"/>
              <w:spacing w:after="0"/>
              <w:rPr>
                <w:sz w:val="20"/>
                <w:szCs w:val="20"/>
                <w:color w:val="auto"/>
              </w:rPr>
            </w:pPr>
            <w:r>
              <w:rPr>
                <w:rFonts w:ascii="Arial" w:cs="Arial" w:eastAsia="Arial" w:hAnsi="Arial"/>
                <w:sz w:val="16"/>
                <w:szCs w:val="16"/>
                <w:color w:val="auto"/>
              </w:rPr>
              <w:t>Richard B. Black</w:t>
            </w:r>
          </w:p>
        </w:tc>
        <w:tc>
          <w:tcPr>
            <w:tcW w:w="2420" w:type="dxa"/>
            <w:vAlign w:val="bottom"/>
          </w:tcPr>
          <w:p>
            <w:pPr>
              <w:spacing w:after="0"/>
              <w:rPr>
                <w:sz w:val="24"/>
                <w:szCs w:val="24"/>
                <w:color w:val="auto"/>
              </w:rPr>
            </w:pPr>
          </w:p>
        </w:tc>
        <w:tc>
          <w:tcPr>
            <w:tcW w:w="2300" w:type="dxa"/>
            <w:vAlign w:val="bottom"/>
          </w:tcPr>
          <w:p>
            <w:pPr>
              <w:jc w:val="center"/>
              <w:ind w:left="179"/>
              <w:spacing w:after="0"/>
              <w:rPr>
                <w:sz w:val="20"/>
                <w:szCs w:val="20"/>
                <w:color w:val="auto"/>
              </w:rPr>
            </w:pPr>
            <w:r>
              <w:rPr>
                <w:rFonts w:ascii="Arial" w:cs="Arial" w:eastAsia="Arial" w:hAnsi="Arial"/>
                <w:sz w:val="16"/>
                <w:szCs w:val="16"/>
                <w:color w:val="auto"/>
              </w:rPr>
              <w:t>​</w:t>
            </w:r>
          </w:p>
        </w:tc>
        <w:tc>
          <w:tcPr>
            <w:tcW w:w="2320" w:type="dxa"/>
            <w:vAlign w:val="bottom"/>
          </w:tcPr>
          <w:p>
            <w:pPr>
              <w:spacing w:after="0"/>
              <w:rPr>
                <w:sz w:val="24"/>
                <w:szCs w:val="24"/>
                <w:color w:val="auto"/>
              </w:rPr>
            </w:pPr>
          </w:p>
        </w:tc>
        <w:tc>
          <w:tcPr>
            <w:tcW w:w="220" w:type="dxa"/>
            <w:vAlign w:val="bottom"/>
            <w:gridSpan w:val="2"/>
          </w:tcPr>
          <w:p>
            <w:pPr>
              <w:ind w:left="160"/>
              <w:spacing w:after="0"/>
              <w:rPr>
                <w:sz w:val="20"/>
                <w:szCs w:val="20"/>
                <w:color w:val="auto"/>
              </w:rPr>
            </w:pPr>
            <w:r>
              <w:rPr>
                <w:rFonts w:ascii="Arial" w:cs="Arial" w:eastAsia="Arial" w:hAnsi="Arial"/>
                <w:sz w:val="16"/>
                <w:szCs w:val="16"/>
                <w:color w:val="auto"/>
              </w:rPr>
              <w:t>​</w:t>
            </w:r>
          </w:p>
        </w:tc>
      </w:tr>
      <w:tr>
        <w:trPr>
          <w:trHeight w:val="123"/>
        </w:trPr>
        <w:tc>
          <w:tcPr>
            <w:tcW w:w="21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gridSpan w:val="2"/>
          </w:tcPr>
          <w:p>
            <w:pPr>
              <w:spacing w:after="0"/>
              <w:rPr>
                <w:sz w:val="10"/>
                <w:szCs w:val="10"/>
                <w:color w:val="auto"/>
              </w:rPr>
            </w:pPr>
          </w:p>
        </w:tc>
      </w:tr>
      <w:tr>
        <w:trPr>
          <w:trHeight w:val="316"/>
        </w:trPr>
        <w:tc>
          <w:tcPr>
            <w:tcW w:w="2160" w:type="dxa"/>
            <w:vAlign w:val="bottom"/>
          </w:tcPr>
          <w:p>
            <w:pPr>
              <w:ind w:left="100"/>
              <w:spacing w:after="0"/>
              <w:rPr>
                <w:sz w:val="20"/>
                <w:szCs w:val="20"/>
                <w:color w:val="auto"/>
              </w:rPr>
            </w:pPr>
            <w:r>
              <w:rPr>
                <w:rFonts w:ascii="Arial" w:cs="Arial" w:eastAsia="Arial" w:hAnsi="Arial"/>
                <w:sz w:val="16"/>
                <w:szCs w:val="16"/>
                <w:color w:val="auto"/>
              </w:rPr>
              <w:t>Min-Chu (Mike) Chen</w:t>
            </w:r>
          </w:p>
        </w:tc>
        <w:tc>
          <w:tcPr>
            <w:tcW w:w="2420" w:type="dxa"/>
            <w:vAlign w:val="bottom"/>
          </w:tcPr>
          <w:p>
            <w:pPr>
              <w:spacing w:after="0"/>
              <w:rPr>
                <w:sz w:val="24"/>
                <w:szCs w:val="24"/>
                <w:color w:val="auto"/>
              </w:rPr>
            </w:pPr>
          </w:p>
        </w:tc>
        <w:tc>
          <w:tcPr>
            <w:tcW w:w="2300" w:type="dxa"/>
            <w:vAlign w:val="bottom"/>
          </w:tcPr>
          <w:p>
            <w:pPr>
              <w:jc w:val="center"/>
              <w:ind w:left="179"/>
              <w:spacing w:after="0"/>
              <w:rPr>
                <w:sz w:val="20"/>
                <w:szCs w:val="20"/>
                <w:color w:val="auto"/>
              </w:rPr>
            </w:pPr>
            <w:r>
              <w:rPr>
                <w:rFonts w:ascii="Arial" w:cs="Arial" w:eastAsia="Arial" w:hAnsi="Arial"/>
                <w:sz w:val="16"/>
                <w:szCs w:val="16"/>
                <w:color w:val="auto"/>
              </w:rPr>
              <w:t>​</w:t>
            </w:r>
          </w:p>
        </w:tc>
        <w:tc>
          <w:tcPr>
            <w:tcW w:w="2320" w:type="dxa"/>
            <w:vAlign w:val="bottom"/>
          </w:tcPr>
          <w:p>
            <w:pPr>
              <w:spacing w:after="0"/>
              <w:rPr>
                <w:sz w:val="24"/>
                <w:szCs w:val="24"/>
                <w:color w:val="auto"/>
              </w:rPr>
            </w:pPr>
          </w:p>
        </w:tc>
        <w:tc>
          <w:tcPr>
            <w:tcW w:w="220" w:type="dxa"/>
            <w:vAlign w:val="bottom"/>
            <w:gridSpan w:val="2"/>
          </w:tcPr>
          <w:p>
            <w:pPr>
              <w:ind w:left="160"/>
              <w:spacing w:after="0"/>
              <w:rPr>
                <w:sz w:val="20"/>
                <w:szCs w:val="20"/>
                <w:color w:val="auto"/>
              </w:rPr>
            </w:pPr>
            <w:r>
              <w:rPr>
                <w:rFonts w:ascii="Arial" w:cs="Arial" w:eastAsia="Arial" w:hAnsi="Arial"/>
                <w:sz w:val="16"/>
                <w:szCs w:val="16"/>
                <w:color w:val="auto"/>
              </w:rPr>
              <w:t>​</w:t>
            </w:r>
          </w:p>
        </w:tc>
      </w:tr>
      <w:tr>
        <w:trPr>
          <w:trHeight w:val="123"/>
        </w:trPr>
        <w:tc>
          <w:tcPr>
            <w:tcW w:w="21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gridSpan w:val="2"/>
          </w:tcPr>
          <w:p>
            <w:pPr>
              <w:spacing w:after="0"/>
              <w:rPr>
                <w:sz w:val="10"/>
                <w:szCs w:val="10"/>
                <w:color w:val="auto"/>
              </w:rPr>
            </w:pPr>
          </w:p>
        </w:tc>
      </w:tr>
      <w:tr>
        <w:trPr>
          <w:trHeight w:val="315"/>
        </w:trPr>
        <w:tc>
          <w:tcPr>
            <w:tcW w:w="2160" w:type="dxa"/>
            <w:vAlign w:val="bottom"/>
          </w:tcPr>
          <w:p>
            <w:pPr>
              <w:ind w:left="100"/>
              <w:spacing w:after="0"/>
              <w:rPr>
                <w:sz w:val="20"/>
                <w:szCs w:val="20"/>
                <w:color w:val="auto"/>
              </w:rPr>
            </w:pPr>
            <w:r>
              <w:rPr>
                <w:rFonts w:ascii="Arial" w:cs="Arial" w:eastAsia="Arial" w:hAnsi="Arial"/>
                <w:sz w:val="16"/>
                <w:szCs w:val="16"/>
                <w:color w:val="auto"/>
              </w:rPr>
              <w:t>William H. Yeh</w:t>
            </w:r>
          </w:p>
        </w:tc>
        <w:tc>
          <w:tcPr>
            <w:tcW w:w="2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gridSpan w:val="2"/>
          </w:tcPr>
          <w:p>
            <w:pPr>
              <w:ind w:left="160"/>
              <w:spacing w:after="0"/>
              <w:rPr>
                <w:sz w:val="20"/>
                <w:szCs w:val="20"/>
                <w:color w:val="auto"/>
              </w:rPr>
            </w:pPr>
            <w:r>
              <w:rPr>
                <w:rFonts w:ascii="Arial" w:cs="Arial" w:eastAsia="Arial" w:hAnsi="Arial"/>
                <w:sz w:val="16"/>
                <w:szCs w:val="16"/>
                <w:color w:val="auto"/>
              </w:rPr>
              <w:t>​</w:t>
            </w:r>
          </w:p>
        </w:tc>
      </w:tr>
      <w:tr>
        <w:trPr>
          <w:trHeight w:val="124"/>
        </w:trPr>
        <w:tc>
          <w:tcPr>
            <w:tcW w:w="21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gridSpan w:val="2"/>
          </w:tcPr>
          <w:p>
            <w:pPr>
              <w:spacing w:after="0"/>
              <w:rPr>
                <w:sz w:val="10"/>
                <w:szCs w:val="10"/>
                <w:color w:val="auto"/>
              </w:rPr>
            </w:pPr>
          </w:p>
        </w:tc>
      </w:tr>
      <w:tr>
        <w:trPr>
          <w:trHeight w:val="315"/>
        </w:trPr>
        <w:tc>
          <w:tcPr>
            <w:tcW w:w="2160" w:type="dxa"/>
            <w:vAlign w:val="bottom"/>
          </w:tcPr>
          <w:p>
            <w:pPr>
              <w:ind w:left="100"/>
              <w:spacing w:after="0"/>
              <w:rPr>
                <w:sz w:val="20"/>
                <w:szCs w:val="20"/>
                <w:color w:val="auto"/>
              </w:rPr>
            </w:pPr>
            <w:r>
              <w:rPr>
                <w:rFonts w:ascii="Arial" w:cs="Arial" w:eastAsia="Arial" w:hAnsi="Arial"/>
                <w:sz w:val="16"/>
                <w:szCs w:val="16"/>
                <w:color w:val="auto"/>
              </w:rPr>
              <w:t>Che-Wei Lin</w:t>
            </w:r>
          </w:p>
        </w:tc>
        <w:tc>
          <w:tcPr>
            <w:tcW w:w="2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gridSpan w:val="2"/>
          </w:tcPr>
          <w:p>
            <w:pPr>
              <w:ind w:left="160"/>
              <w:spacing w:after="0"/>
              <w:rPr>
                <w:sz w:val="20"/>
                <w:szCs w:val="20"/>
                <w:color w:val="auto"/>
              </w:rPr>
            </w:pPr>
            <w:r>
              <w:rPr>
                <w:rFonts w:ascii="Arial" w:cs="Arial" w:eastAsia="Arial" w:hAnsi="Arial"/>
                <w:sz w:val="16"/>
                <w:szCs w:val="16"/>
                <w:color w:val="auto"/>
              </w:rPr>
              <w:t>​</w:t>
            </w:r>
          </w:p>
        </w:tc>
      </w:tr>
      <w:tr>
        <w:trPr>
          <w:trHeight w:val="124"/>
        </w:trPr>
        <w:tc>
          <w:tcPr>
            <w:tcW w:w="21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gridSpan w:val="2"/>
          </w:tcPr>
          <w:p>
            <w:pPr>
              <w:spacing w:after="0"/>
              <w:rPr>
                <w:sz w:val="10"/>
                <w:szCs w:val="10"/>
                <w:color w:val="auto"/>
              </w:rPr>
            </w:pPr>
          </w:p>
        </w:tc>
      </w:tr>
      <w:tr>
        <w:trPr>
          <w:trHeight w:val="315"/>
        </w:trPr>
        <w:tc>
          <w:tcPr>
            <w:tcW w:w="2160" w:type="dxa"/>
            <w:vAlign w:val="bottom"/>
          </w:tcPr>
          <w:p>
            <w:pPr>
              <w:ind w:left="100"/>
              <w:spacing w:after="0"/>
              <w:rPr>
                <w:sz w:val="20"/>
                <w:szCs w:val="20"/>
                <w:color w:val="auto"/>
              </w:rPr>
            </w:pPr>
            <w:r>
              <w:rPr>
                <w:rFonts w:ascii="Arial" w:cs="Arial" w:eastAsia="Arial" w:hAnsi="Arial"/>
                <w:sz w:val="16"/>
                <w:szCs w:val="16"/>
                <w:color w:val="auto"/>
              </w:rPr>
              <w:t>Elizabeth Loboa</w:t>
            </w:r>
          </w:p>
        </w:tc>
        <w:tc>
          <w:tcPr>
            <w:tcW w:w="2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gridSpan w:val="2"/>
          </w:tcPr>
          <w:p>
            <w:pPr>
              <w:ind w:left="160"/>
              <w:spacing w:after="0"/>
              <w:rPr>
                <w:sz w:val="20"/>
                <w:szCs w:val="20"/>
                <w:color w:val="auto"/>
              </w:rPr>
            </w:pPr>
            <w:r>
              <w:rPr>
                <w:rFonts w:ascii="Arial" w:cs="Arial" w:eastAsia="Arial" w:hAnsi="Arial"/>
                <w:sz w:val="16"/>
                <w:szCs w:val="16"/>
                <w:color w:val="auto"/>
              </w:rPr>
              <w:t>​</w:t>
            </w:r>
          </w:p>
        </w:tc>
      </w:tr>
      <w:tr>
        <w:trPr>
          <w:trHeight w:val="123"/>
        </w:trPr>
        <w:tc>
          <w:tcPr>
            <w:tcW w:w="21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gridSpan w:val="2"/>
          </w:tcPr>
          <w:p>
            <w:pPr>
              <w:spacing w:after="0"/>
              <w:rPr>
                <w:sz w:val="10"/>
                <w:szCs w:val="10"/>
                <w:color w:val="auto"/>
              </w:rPr>
            </w:pPr>
          </w:p>
        </w:tc>
      </w:tr>
      <w:tr>
        <w:trPr>
          <w:trHeight w:val="316"/>
        </w:trPr>
        <w:tc>
          <w:tcPr>
            <w:tcW w:w="2160" w:type="dxa"/>
            <w:vAlign w:val="bottom"/>
          </w:tcPr>
          <w:p>
            <w:pPr>
              <w:ind w:left="80"/>
              <w:spacing w:after="0"/>
              <w:rPr>
                <w:sz w:val="20"/>
                <w:szCs w:val="20"/>
                <w:color w:val="auto"/>
              </w:rPr>
            </w:pPr>
            <w:r>
              <w:rPr>
                <w:rFonts w:ascii="Arial" w:cs="Arial" w:eastAsia="Arial" w:hAnsi="Arial"/>
                <w:sz w:val="16"/>
                <w:szCs w:val="16"/>
                <w:color w:val="auto"/>
              </w:rPr>
              <w:t>Cynthia (Cindy) DeLaney</w:t>
            </w:r>
          </w:p>
        </w:tc>
        <w:tc>
          <w:tcPr>
            <w:tcW w:w="2420" w:type="dxa"/>
            <w:vAlign w:val="bottom"/>
          </w:tcPr>
          <w:p>
            <w:pPr>
              <w:spacing w:after="0"/>
              <w:rPr>
                <w:sz w:val="24"/>
                <w:szCs w:val="24"/>
                <w:color w:val="auto"/>
              </w:rPr>
            </w:pPr>
          </w:p>
        </w:tc>
        <w:tc>
          <w:tcPr>
            <w:tcW w:w="2300" w:type="dxa"/>
            <w:vAlign w:val="bottom"/>
          </w:tcPr>
          <w:p>
            <w:pPr>
              <w:jc w:val="center"/>
              <w:ind w:left="179"/>
              <w:spacing w:after="0"/>
              <w:rPr>
                <w:sz w:val="20"/>
                <w:szCs w:val="20"/>
                <w:color w:val="auto"/>
              </w:rPr>
            </w:pPr>
            <w:r>
              <w:rPr>
                <w:rFonts w:ascii="Arial" w:cs="Arial" w:eastAsia="Arial" w:hAnsi="Arial"/>
                <w:sz w:val="16"/>
                <w:szCs w:val="16"/>
                <w:color w:val="auto"/>
              </w:rPr>
              <w:t>​</w:t>
            </w:r>
          </w:p>
        </w:tc>
        <w:tc>
          <w:tcPr>
            <w:tcW w:w="2320" w:type="dxa"/>
            <w:vAlign w:val="bottom"/>
          </w:tcPr>
          <w:p>
            <w:pPr>
              <w:spacing w:after="0"/>
              <w:rPr>
                <w:sz w:val="24"/>
                <w:szCs w:val="24"/>
                <w:color w:val="auto"/>
              </w:rPr>
            </w:pPr>
          </w:p>
        </w:tc>
        <w:tc>
          <w:tcPr>
            <w:tcW w:w="220" w:type="dxa"/>
            <w:vAlign w:val="bottom"/>
            <w:gridSpan w:val="2"/>
          </w:tcPr>
          <w:p>
            <w:pPr>
              <w:ind w:left="160"/>
              <w:spacing w:after="0"/>
              <w:rPr>
                <w:sz w:val="20"/>
                <w:szCs w:val="20"/>
                <w:color w:val="auto"/>
              </w:rPr>
            </w:pPr>
            <w:r>
              <w:rPr>
                <w:rFonts w:ascii="Arial" w:cs="Arial" w:eastAsia="Arial" w:hAnsi="Arial"/>
                <w:sz w:val="16"/>
                <w:szCs w:val="16"/>
                <w:color w:val="auto"/>
              </w:rPr>
              <w:t>​</w:t>
            </w:r>
          </w:p>
        </w:tc>
      </w:tr>
      <w:tr>
        <w:trPr>
          <w:trHeight w:val="123"/>
        </w:trPr>
        <w:tc>
          <w:tcPr>
            <w:tcW w:w="21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83"/>
        </w:trPr>
        <w:tc>
          <w:tcPr>
            <w:tcW w:w="2160" w:type="dxa"/>
            <w:vAlign w:val="bottom"/>
          </w:tcPr>
          <w:p>
            <w:pPr>
              <w:ind w:left="500"/>
              <w:spacing w:after="0"/>
              <w:rPr>
                <w:sz w:val="20"/>
                <w:szCs w:val="20"/>
                <w:color w:val="auto"/>
              </w:rPr>
            </w:pPr>
            <w:r>
              <w:rPr>
                <w:rFonts w:ascii="Arial" w:cs="Arial" w:eastAsia="Arial" w:hAnsi="Arial"/>
                <w:sz w:val="16"/>
                <w:szCs w:val="16"/>
                <w:color w:val="auto"/>
              </w:rPr>
              <w:t>Committee Chair</w:t>
            </w:r>
          </w:p>
        </w:tc>
        <w:tc>
          <w:tcPr>
            <w:tcW w:w="2420" w:type="dxa"/>
            <w:vAlign w:val="bottom"/>
          </w:tcPr>
          <w:p>
            <w:pPr>
              <w:ind w:left="300"/>
              <w:spacing w:after="0"/>
              <w:rPr>
                <w:sz w:val="20"/>
                <w:szCs w:val="20"/>
                <w:color w:val="auto"/>
              </w:rPr>
            </w:pPr>
            <w:r>
              <w:rPr>
                <w:rFonts w:ascii="Arial" w:cs="Arial" w:eastAsia="Arial" w:hAnsi="Arial"/>
                <w:sz w:val="16"/>
                <w:szCs w:val="16"/>
                <w:color w:val="auto"/>
              </w:rPr>
              <w:t>Committee Member</w:t>
            </w:r>
          </w:p>
        </w:tc>
        <w:tc>
          <w:tcPr>
            <w:tcW w:w="2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-1952625</wp:posOffset>
            </wp:positionV>
            <wp:extent cx="15430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4305" cy="18859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-1901190</wp:posOffset>
            </wp:positionV>
            <wp:extent cx="94615" cy="93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-1609725</wp:posOffset>
            </wp:positionV>
            <wp:extent cx="94615" cy="946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-1661160</wp:posOffset>
            </wp:positionV>
            <wp:extent cx="15430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4305" cy="18859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-1369695</wp:posOffset>
            </wp:positionV>
            <wp:extent cx="15430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4305" cy="18859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-1318260</wp:posOffset>
            </wp:positionV>
            <wp:extent cx="94615" cy="93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-1026795</wp:posOffset>
            </wp:positionV>
            <wp:extent cx="93980" cy="939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-735330</wp:posOffset>
            </wp:positionV>
            <wp:extent cx="93980" cy="939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-443865</wp:posOffset>
            </wp:positionV>
            <wp:extent cx="94615" cy="939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-160655</wp:posOffset>
            </wp:positionV>
            <wp:extent cx="15430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4305" cy="188595"/>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-109220</wp:posOffset>
            </wp:positionV>
            <wp:extent cx="93980" cy="946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4647565</wp:posOffset>
            </wp:positionV>
            <wp:extent cx="33401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0"/>
        <w:spacing w:after="0"/>
        <w:tabs>
          <w:tab w:leader="none" w:pos="1420" w:val="left"/>
        </w:tabs>
        <w:rPr>
          <w:sz w:val="20"/>
          <w:szCs w:val="20"/>
          <w:color w:val="auto"/>
        </w:rPr>
      </w:pPr>
      <w:r>
        <w:rPr>
          <w:rFonts w:ascii="Arial" w:cs="Arial" w:eastAsia="Arial" w:hAnsi="Arial"/>
          <w:sz w:val="14"/>
          <w:szCs w:val="14"/>
          <w:color w:val="auto"/>
        </w:rPr>
        <w:t>»  13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109855</wp:posOffset>
            </wp:positionV>
            <wp:extent cx="2357120" cy="797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5712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397"/>
        </w:trPr>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540" w:type="dxa"/>
            <w:vAlign w:val="bottom"/>
          </w:tcPr>
          <w:p>
            <w:pPr>
              <w:ind w:left="1520"/>
              <w:spacing w:after="0"/>
              <w:rPr>
                <w:sz w:val="20"/>
                <w:szCs w:val="20"/>
                <w:color w:val="auto"/>
              </w:rPr>
            </w:pPr>
            <w:r>
              <w:rPr>
                <w:rFonts w:ascii="Arial" w:cs="Arial" w:eastAsia="Arial" w:hAnsi="Arial"/>
                <w:sz w:val="16"/>
                <w:szCs w:val="16"/>
                <w:color w:val="auto"/>
              </w:rPr>
              <w:t>*Audit committee financial expert</w:t>
            </w:r>
          </w:p>
        </w:tc>
        <w:tc>
          <w:tcPr>
            <w:tcW w:w="2220" w:type="dxa"/>
            <w:vAlign w:val="bottom"/>
          </w:tcPr>
          <w:p>
            <w:pPr>
              <w:jc w:val="center"/>
              <w:ind w:left="288"/>
              <w:spacing w:after="0"/>
              <w:rPr>
                <w:sz w:val="20"/>
                <w:szCs w:val="20"/>
                <w:color w:val="auto"/>
              </w:rPr>
            </w:pPr>
            <w:r>
              <w:rPr>
                <w:rFonts w:ascii="Arial" w:cs="Arial" w:eastAsia="Arial" w:hAnsi="Arial"/>
                <w:sz w:val="29"/>
                <w:szCs w:val="29"/>
                <w:b w:val="1"/>
                <w:bCs w:val="1"/>
                <w:color w:val="4834BA"/>
              </w:rPr>
              <w:t>6</w:t>
            </w:r>
            <w:r>
              <w:rPr>
                <w:rFonts w:ascii="Arial" w:cs="Arial" w:eastAsia="Arial" w:hAnsi="Arial"/>
                <w:sz w:val="16"/>
                <w:szCs w:val="16"/>
                <w:color w:val="000000"/>
              </w:rPr>
              <w:t>​</w:t>
            </w:r>
          </w:p>
        </w:tc>
      </w:tr>
      <w:tr>
        <w:trPr>
          <w:trHeight w:val="43"/>
        </w:trPr>
        <w:tc>
          <w:tcPr>
            <w:tcW w:w="1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r>
        <w:trPr>
          <w:trHeight w:val="22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Richard B.</w:t>
            </w:r>
          </w:p>
        </w:tc>
        <w:tc>
          <w:tcPr>
            <w:tcW w:w="1540" w:type="dxa"/>
            <w:vAlign w:val="bottom"/>
          </w:tcPr>
          <w:p>
            <w:pPr>
              <w:ind w:left="300"/>
              <w:spacing w:after="0"/>
              <w:rPr>
                <w:sz w:val="20"/>
                <w:szCs w:val="20"/>
                <w:color w:val="auto"/>
              </w:rPr>
            </w:pPr>
            <w:r>
              <w:rPr>
                <w:rFonts w:ascii="Arial" w:cs="Arial" w:eastAsia="Arial" w:hAnsi="Arial"/>
                <w:sz w:val="16"/>
                <w:szCs w:val="16"/>
                <w:color w:val="auto"/>
              </w:rPr>
              <w:t>Cynthia (Cindy)</w:t>
            </w:r>
          </w:p>
        </w:tc>
        <w:tc>
          <w:tcPr>
            <w:tcW w:w="4540" w:type="dxa"/>
            <w:vAlign w:val="bottom"/>
          </w:tcPr>
          <w:p>
            <w:pPr>
              <w:ind w:left="140"/>
              <w:spacing w:after="0"/>
              <w:rPr>
                <w:sz w:val="20"/>
                <w:szCs w:val="20"/>
                <w:color w:val="auto"/>
              </w:rPr>
            </w:pPr>
            <w:r>
              <w:rPr>
                <w:rFonts w:ascii="Arial" w:cs="Arial" w:eastAsia="Arial" w:hAnsi="Arial"/>
                <w:sz w:val="16"/>
                <w:szCs w:val="16"/>
                <w:color w:val="auto"/>
              </w:rPr>
              <w:t>Dr. Min-Chu</w:t>
            </w:r>
          </w:p>
        </w:tc>
        <w:tc>
          <w:tcPr>
            <w:tcW w:w="2220" w:type="dxa"/>
            <w:vAlign w:val="bottom"/>
          </w:tcPr>
          <w:p>
            <w:pPr>
              <w:jc w:val="center"/>
              <w:ind w:left="248"/>
              <w:spacing w:after="0"/>
              <w:rPr>
                <w:sz w:val="20"/>
                <w:szCs w:val="20"/>
                <w:color w:val="auto"/>
              </w:rPr>
            </w:pPr>
            <w:r>
              <w:rPr>
                <w:rFonts w:ascii="Arial" w:cs="Arial" w:eastAsia="Arial" w:hAnsi="Arial"/>
                <w:sz w:val="16"/>
                <w:szCs w:val="16"/>
                <w:b w:val="1"/>
                <w:bCs w:val="1"/>
                <w:color w:val="auto"/>
                <w:w w:val="92"/>
              </w:rPr>
              <w:t>MEETINGS HELD</w:t>
            </w:r>
          </w:p>
        </w:tc>
      </w:tr>
      <w:tr>
        <w:trPr>
          <w:trHeight w:val="203"/>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Black*</w:t>
            </w:r>
          </w:p>
        </w:tc>
        <w:tc>
          <w:tcPr>
            <w:tcW w:w="1540" w:type="dxa"/>
            <w:vAlign w:val="bottom"/>
          </w:tcPr>
          <w:p>
            <w:pPr>
              <w:ind w:left="300"/>
              <w:spacing w:after="0"/>
              <w:rPr>
                <w:sz w:val="20"/>
                <w:szCs w:val="20"/>
                <w:color w:val="auto"/>
              </w:rPr>
            </w:pPr>
            <w:r>
              <w:rPr>
                <w:rFonts w:ascii="Arial" w:cs="Arial" w:eastAsia="Arial" w:hAnsi="Arial"/>
                <w:sz w:val="16"/>
                <w:szCs w:val="16"/>
                <w:color w:val="auto"/>
              </w:rPr>
              <w:t>DeLaney</w:t>
            </w:r>
          </w:p>
        </w:tc>
        <w:tc>
          <w:tcPr>
            <w:tcW w:w="4540" w:type="dxa"/>
            <w:vAlign w:val="bottom"/>
          </w:tcPr>
          <w:p>
            <w:pPr>
              <w:ind w:left="140"/>
              <w:spacing w:after="0"/>
              <w:rPr>
                <w:sz w:val="20"/>
                <w:szCs w:val="20"/>
                <w:color w:val="auto"/>
              </w:rPr>
            </w:pPr>
            <w:r>
              <w:rPr>
                <w:rFonts w:ascii="Arial" w:cs="Arial" w:eastAsia="Arial" w:hAnsi="Arial"/>
                <w:sz w:val="16"/>
                <w:szCs w:val="16"/>
                <w:color w:val="auto"/>
              </w:rPr>
              <w:t>(Mike) Chen</w:t>
            </w:r>
          </w:p>
        </w:tc>
        <w:tc>
          <w:tcPr>
            <w:tcW w:w="2220" w:type="dxa"/>
            <w:vAlign w:val="bottom"/>
          </w:tcPr>
          <w:p>
            <w:pPr>
              <w:spacing w:after="0"/>
              <w:rPr>
                <w:sz w:val="17"/>
                <w:szCs w:val="17"/>
                <w:color w:val="auto"/>
              </w:rPr>
            </w:pPr>
          </w:p>
        </w:tc>
      </w:tr>
      <w:tr>
        <w:trPr>
          <w:trHeight w:val="215"/>
        </w:trPr>
        <w:tc>
          <w:tcPr>
            <w:tcW w:w="1100" w:type="dxa"/>
            <w:vAlign w:val="bottom"/>
          </w:tcPr>
          <w:p>
            <w:pPr>
              <w:ind w:left="20"/>
              <w:spacing w:after="0"/>
              <w:rPr>
                <w:sz w:val="20"/>
                <w:szCs w:val="20"/>
                <w:color w:val="auto"/>
              </w:rPr>
            </w:pPr>
            <w:r>
              <w:rPr>
                <w:rFonts w:ascii="Arial" w:cs="Arial" w:eastAsia="Arial" w:hAnsi="Arial"/>
                <w:sz w:val="16"/>
                <w:szCs w:val="16"/>
                <w:color w:val="auto"/>
              </w:rPr>
              <w:t>Chair</w:t>
            </w:r>
          </w:p>
        </w:tc>
        <w:tc>
          <w:tcPr>
            <w:tcW w:w="15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20" w:type="dxa"/>
            <w:vAlign w:val="bottom"/>
          </w:tcPr>
          <w:p>
            <w:pPr>
              <w:spacing w:after="0"/>
              <w:rPr>
                <w:sz w:val="18"/>
                <w:szCs w:val="18"/>
                <w:color w:val="auto"/>
              </w:rPr>
            </w:pPr>
          </w:p>
        </w:tc>
      </w:tr>
    </w:tbl>
    <w:p>
      <w:pPr>
        <w:spacing w:after="0" w:line="339" w:lineRule="exact"/>
        <w:rPr>
          <w:sz w:val="20"/>
          <w:szCs w:val="20"/>
          <w:color w:val="auto"/>
        </w:rPr>
      </w:pPr>
    </w:p>
    <w:p>
      <w:pPr>
        <w:ind w:left="660" w:right="100"/>
        <w:spacing w:after="0" w:line="285" w:lineRule="auto"/>
        <w:rPr>
          <w:sz w:val="20"/>
          <w:szCs w:val="20"/>
          <w:color w:val="auto"/>
        </w:rPr>
      </w:pPr>
      <w:r>
        <w:rPr>
          <w:rFonts w:ascii="Arial" w:cs="Arial" w:eastAsia="Arial" w:hAnsi="Arial"/>
          <w:sz w:val="15"/>
          <w:szCs w:val="15"/>
          <w:color w:val="auto"/>
        </w:rPr>
        <w:t xml:space="preserve">Our audit committee currently consists of Richard B. Black, Cynthia (Cindy) DeLaney and Dr. Min-Chu (Mike) Chen. Our Board has determined that Mr. Black, Ms. DeLaney, and Dr. Chen each satisfy the independence and financial literacy requirements under the applicable rules and regulations of the SEC and Nasdaq. Mr. Black serves as the chairman of this committee, and our Board has determined that he qualifies as an “audit committee financial expert” as that term is defined in the rules and regulations established by the SEC and has the requisite financial sophistication as defined under the applicable Nasdaq rules. Our audit committee acts pursuant to a written charter that has been adopted by the Board. A copy of the charter is available on the investor relations portion of the Company’s website at </w:t>
      </w:r>
      <w:r>
        <w:rPr>
          <w:rFonts w:ascii="Arial" w:cs="Arial" w:eastAsia="Arial" w:hAnsi="Arial"/>
          <w:sz w:val="15"/>
          <w:szCs w:val="15"/>
          <w:i w:val="1"/>
          <w:iCs w:val="1"/>
          <w:color w:val="auto"/>
        </w:rPr>
        <w:t>www.ao-inc.com</w:t>
      </w:r>
      <w:r>
        <w:rPr>
          <w:rFonts w:ascii="Arial" w:cs="Arial" w:eastAsia="Arial" w:hAnsi="Arial"/>
          <w:sz w:val="15"/>
          <w:szCs w:val="15"/>
          <w:color w:val="auto"/>
        </w:rPr>
        <w:t>. Under its charter, the audit committee’s responsibilities include, but are not limited to:</w:t>
      </w:r>
    </w:p>
    <w:p>
      <w:pPr>
        <w:spacing w:after="0" w:line="51" w:lineRule="exact"/>
        <w:rPr>
          <w:sz w:val="20"/>
          <w:szCs w:val="20"/>
          <w:color w:val="auto"/>
        </w:rPr>
      </w:pPr>
    </w:p>
    <w:p>
      <w:pPr>
        <w:ind w:left="1060" w:right="300" w:hanging="178"/>
        <w:spacing w:after="0" w:line="284" w:lineRule="auto"/>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overseeing management’s implementation and maintenance of a system of internal controls over accounting and financial reporting systems to support the integrity, accuracy, completeness, and timeliness of financial statements and related public filings and disclosures;</w:t>
      </w:r>
    </w:p>
    <w:p>
      <w:pPr>
        <w:spacing w:after="0" w:line="48" w:lineRule="exact"/>
        <w:rPr>
          <w:rFonts w:ascii="Arial" w:cs="Arial" w:eastAsia="Arial" w:hAnsi="Arial"/>
          <w:sz w:val="9"/>
          <w:szCs w:val="9"/>
          <w:color w:val="auto"/>
        </w:rPr>
      </w:pPr>
    </w:p>
    <w:p>
      <w:pPr>
        <w:jc w:val="both"/>
        <w:ind w:left="1060" w:right="180" w:hanging="178"/>
        <w:spacing w:after="0" w:line="284" w:lineRule="auto"/>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overseeing the adoption and implementation of guidelines and policies with respect to risk management, including discussing with the Board significant financial risk exposures and actions taken by Board committees to oversee the policies addressing the risks associated with their respective areas of oversight;</w:t>
      </w:r>
    </w:p>
    <w:p>
      <w:pPr>
        <w:spacing w:after="0" w:line="48" w:lineRule="exact"/>
        <w:rPr>
          <w:rFonts w:ascii="Arial" w:cs="Arial" w:eastAsia="Arial" w:hAnsi="Arial"/>
          <w:sz w:val="9"/>
          <w:szCs w:val="9"/>
          <w:color w:val="auto"/>
        </w:rPr>
      </w:pPr>
    </w:p>
    <w:p>
      <w:pPr>
        <w:ind w:left="1060" w:right="500" w:hanging="178"/>
        <w:spacing w:after="0" w:line="304" w:lineRule="auto"/>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overseeing the establishing and maintenance of our anonymous compliance hotline and website portal, ensuring all non-retaliation policies described in the Code of Business Conduct and Ethics are strictly complied with;</w:t>
      </w:r>
    </w:p>
    <w:p>
      <w:pPr>
        <w:spacing w:after="0" w:line="33" w:lineRule="exact"/>
        <w:rPr>
          <w:rFonts w:ascii="Arial" w:cs="Arial" w:eastAsia="Arial" w:hAnsi="Arial"/>
          <w:sz w:val="9"/>
          <w:szCs w:val="9"/>
          <w:color w:val="auto"/>
        </w:rPr>
      </w:pPr>
    </w:p>
    <w:p>
      <w:pPr>
        <w:ind w:left="1060" w:hanging="178"/>
        <w:spacing w:after="0"/>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meeting with our independent auditors and with internal financial personnel regarding these matters;</w:t>
      </w:r>
    </w:p>
    <w:p>
      <w:pPr>
        <w:spacing w:after="0" w:line="153" w:lineRule="exact"/>
        <w:rPr>
          <w:rFonts w:ascii="Arial" w:cs="Arial" w:eastAsia="Arial" w:hAnsi="Arial"/>
          <w:sz w:val="9"/>
          <w:szCs w:val="9"/>
          <w:color w:val="auto"/>
        </w:rPr>
      </w:pPr>
    </w:p>
    <w:p>
      <w:pPr>
        <w:ind w:left="1060" w:hanging="178"/>
        <w:spacing w:after="0"/>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appointing, compensating, retaining, and overseeing the work of our independent auditors;</w:t>
      </w:r>
    </w:p>
    <w:p>
      <w:pPr>
        <w:spacing w:after="0" w:line="153" w:lineRule="exact"/>
        <w:rPr>
          <w:rFonts w:ascii="Arial" w:cs="Arial" w:eastAsia="Arial" w:hAnsi="Arial"/>
          <w:sz w:val="9"/>
          <w:szCs w:val="9"/>
          <w:color w:val="auto"/>
        </w:rPr>
      </w:pPr>
    </w:p>
    <w:p>
      <w:pPr>
        <w:ind w:left="1060" w:hanging="178"/>
        <w:spacing w:after="0"/>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pre-approving audit and non-audit services of our independent auditors;</w:t>
      </w:r>
    </w:p>
    <w:p>
      <w:pPr>
        <w:spacing w:after="0" w:line="140" w:lineRule="exact"/>
        <w:rPr>
          <w:rFonts w:ascii="Arial" w:cs="Arial" w:eastAsia="Arial" w:hAnsi="Arial"/>
          <w:sz w:val="9"/>
          <w:szCs w:val="9"/>
          <w:color w:val="auto"/>
        </w:rPr>
      </w:pPr>
    </w:p>
    <w:p>
      <w:pPr>
        <w:ind w:left="1060" w:right="60" w:hanging="178"/>
        <w:spacing w:after="0" w:line="284" w:lineRule="auto"/>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reviewing our audited financial statements and reports and discussing the statements and reports with our management, including any significant adjustments, management judgments and estimates, new accounting policies and disagreements with management;</w:t>
      </w:r>
    </w:p>
    <w:p>
      <w:pPr>
        <w:spacing w:after="0" w:line="48" w:lineRule="exact"/>
        <w:rPr>
          <w:rFonts w:ascii="Arial" w:cs="Arial" w:eastAsia="Arial" w:hAnsi="Arial"/>
          <w:sz w:val="9"/>
          <w:szCs w:val="9"/>
          <w:color w:val="auto"/>
        </w:rPr>
      </w:pPr>
    </w:p>
    <w:p>
      <w:pPr>
        <w:ind w:left="1060" w:right="180" w:hanging="178"/>
        <w:spacing w:after="0" w:line="284" w:lineRule="auto"/>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establishing procedures for the receipt, retention, and treatment of complaints we receive regarding accounting, internal accounting controls or auditing matters, as well as for the confidential, anonymous submission by our employees of concerns regarding questionable accounting or auditing matters;</w:t>
      </w:r>
    </w:p>
    <w:p>
      <w:pPr>
        <w:spacing w:after="0" w:line="48" w:lineRule="exact"/>
        <w:rPr>
          <w:rFonts w:ascii="Arial" w:cs="Arial" w:eastAsia="Arial" w:hAnsi="Arial"/>
          <w:sz w:val="9"/>
          <w:szCs w:val="9"/>
          <w:color w:val="auto"/>
        </w:rPr>
      </w:pPr>
    </w:p>
    <w:p>
      <w:pPr>
        <w:ind w:left="1060" w:right="80" w:hanging="178"/>
        <w:spacing w:after="0" w:line="304" w:lineRule="auto"/>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reviewing the independence and quality control procedures of the independent auditor and the experience and qualifications of the independent auditor’s senior personnel that are providing us audit services;</w:t>
      </w:r>
    </w:p>
    <w:p>
      <w:pPr>
        <w:spacing w:after="0" w:line="46" w:lineRule="exact"/>
        <w:rPr>
          <w:rFonts w:ascii="Arial" w:cs="Arial" w:eastAsia="Arial" w:hAnsi="Arial"/>
          <w:sz w:val="9"/>
          <w:szCs w:val="9"/>
          <w:color w:val="auto"/>
        </w:rPr>
      </w:pPr>
    </w:p>
    <w:p>
      <w:pPr>
        <w:ind w:left="1060" w:hanging="178"/>
        <w:spacing w:after="0"/>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reviewing all related-party transactions for approval;</w:t>
      </w:r>
    </w:p>
    <w:p>
      <w:pPr>
        <w:spacing w:after="0" w:line="140" w:lineRule="exact"/>
        <w:rPr>
          <w:rFonts w:ascii="Arial" w:cs="Arial" w:eastAsia="Arial" w:hAnsi="Arial"/>
          <w:sz w:val="9"/>
          <w:szCs w:val="9"/>
          <w:color w:val="auto"/>
        </w:rPr>
      </w:pPr>
    </w:p>
    <w:p>
      <w:pPr>
        <w:ind w:left="1060" w:right="100" w:hanging="178"/>
        <w:spacing w:after="0" w:line="304" w:lineRule="auto"/>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reviewing and reassessing the adequacy of the audit committee’s charter at least annually and recommending any changes to our Board; and</w:t>
      </w:r>
    </w:p>
    <w:p>
      <w:pPr>
        <w:spacing w:after="0" w:line="46" w:lineRule="exact"/>
        <w:rPr>
          <w:rFonts w:ascii="Arial" w:cs="Arial" w:eastAsia="Arial" w:hAnsi="Arial"/>
          <w:sz w:val="9"/>
          <w:szCs w:val="9"/>
          <w:color w:val="auto"/>
        </w:rPr>
      </w:pPr>
    </w:p>
    <w:p>
      <w:pPr>
        <w:ind w:left="1060" w:hanging="178"/>
        <w:spacing w:after="0"/>
        <w:tabs>
          <w:tab w:leader="none" w:pos="1060" w:val="left"/>
        </w:tabs>
        <w:numPr>
          <w:ilvl w:val="0"/>
          <w:numId w:val="12"/>
        </w:numPr>
        <w:rPr>
          <w:rFonts w:ascii="Arial" w:cs="Arial" w:eastAsia="Arial" w:hAnsi="Arial"/>
          <w:sz w:val="9"/>
          <w:szCs w:val="9"/>
          <w:color w:val="auto"/>
        </w:rPr>
      </w:pPr>
      <w:r>
        <w:rPr>
          <w:rFonts w:ascii="Arial" w:cs="Arial" w:eastAsia="Arial" w:hAnsi="Arial"/>
          <w:sz w:val="16"/>
          <w:szCs w:val="16"/>
          <w:color w:val="auto"/>
        </w:rPr>
        <w:t>reviewing and evaluating the audit committee’s own performance.</w:t>
      </w:r>
    </w:p>
    <w:p>
      <w:pPr>
        <w:spacing w:after="0" w:line="140" w:lineRule="exact"/>
        <w:rPr>
          <w:sz w:val="20"/>
          <w:szCs w:val="20"/>
          <w:color w:val="auto"/>
        </w:rPr>
      </w:pPr>
    </w:p>
    <w:p>
      <w:pPr>
        <w:ind w:left="660" w:right="460"/>
        <w:spacing w:after="0" w:line="304" w:lineRule="auto"/>
        <w:rPr>
          <w:sz w:val="20"/>
          <w:szCs w:val="20"/>
          <w:color w:val="auto"/>
        </w:rPr>
      </w:pPr>
      <w:r>
        <w:rPr>
          <w:rFonts w:ascii="Arial" w:cs="Arial" w:eastAsia="Arial" w:hAnsi="Arial"/>
          <w:sz w:val="16"/>
          <w:szCs w:val="16"/>
          <w:color w:val="auto"/>
        </w:rPr>
        <w:t>Our independent auditors and internal financial personnel meet in private with our audit committee on a regular basis and have unrestricted access to this committee.</w:t>
      </w:r>
    </w:p>
    <w:p>
      <w:pPr>
        <w:spacing w:after="0" w:line="47" w:lineRule="exact"/>
        <w:rPr>
          <w:sz w:val="20"/>
          <w:szCs w:val="20"/>
          <w:color w:val="auto"/>
        </w:rPr>
      </w:pPr>
    </w:p>
    <w:p>
      <w:pPr>
        <w:ind w:left="660" w:right="220"/>
        <w:spacing w:after="0" w:line="286" w:lineRule="auto"/>
        <w:rPr>
          <w:sz w:val="20"/>
          <w:szCs w:val="20"/>
          <w:color w:val="auto"/>
        </w:rPr>
      </w:pPr>
      <w:r>
        <w:rPr>
          <w:rFonts w:ascii="Arial" w:cs="Arial" w:eastAsia="Arial" w:hAnsi="Arial"/>
          <w:sz w:val="16"/>
          <w:szCs w:val="16"/>
          <w:color w:val="auto"/>
        </w:rPr>
        <w:t>The audit committee held six meetings during the fiscal year ended December 31, 2025. Additional information regarding the audit committee is set forth in the Report of the Audit Committee immediately following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828040</wp:posOffset>
            </wp:positionV>
            <wp:extent cx="334010"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20"/>
        <w:spacing w:after="0"/>
        <w:tabs>
          <w:tab w:leader="none" w:pos="1400" w:val="left"/>
        </w:tabs>
        <w:rPr>
          <w:sz w:val="20"/>
          <w:szCs w:val="20"/>
          <w:color w:val="auto"/>
        </w:rPr>
      </w:pPr>
      <w:r>
        <w:rPr>
          <w:rFonts w:ascii="Arial" w:cs="Arial" w:eastAsia="Arial" w:hAnsi="Arial"/>
          <w:sz w:val="14"/>
          <w:szCs w:val="14"/>
          <w:color w:val="auto"/>
        </w:rPr>
        <w:t>»  14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109855</wp:posOffset>
            </wp:positionV>
            <wp:extent cx="2357120" cy="797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5712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397"/>
        </w:trPr>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620" w:type="dxa"/>
            <w:vAlign w:val="bottom"/>
          </w:tcPr>
          <w:p>
            <w:pPr>
              <w:jc w:val="center"/>
              <w:ind w:left="1688"/>
              <w:spacing w:after="0"/>
              <w:rPr>
                <w:sz w:val="20"/>
                <w:szCs w:val="20"/>
                <w:color w:val="auto"/>
              </w:rPr>
            </w:pPr>
            <w:r>
              <w:rPr>
                <w:rFonts w:ascii="Arial" w:cs="Arial" w:eastAsia="Arial" w:hAnsi="Arial"/>
                <w:sz w:val="29"/>
                <w:szCs w:val="29"/>
                <w:b w:val="1"/>
                <w:bCs w:val="1"/>
                <w:color w:val="4834BA"/>
              </w:rPr>
              <w:t>4</w:t>
            </w:r>
            <w:r>
              <w:rPr>
                <w:rFonts w:ascii="Arial" w:cs="Arial" w:eastAsia="Arial" w:hAnsi="Arial"/>
                <w:sz w:val="16"/>
                <w:szCs w:val="16"/>
                <w:color w:val="000000"/>
              </w:rPr>
              <w:t>​</w:t>
            </w:r>
          </w:p>
        </w:tc>
      </w:tr>
      <w:tr>
        <w:trPr>
          <w:trHeight w:val="43"/>
        </w:trPr>
        <w:tc>
          <w:tcPr>
            <w:tcW w:w="1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222"/>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William H. Yeh</w:t>
            </w:r>
          </w:p>
        </w:tc>
        <w:tc>
          <w:tcPr>
            <w:tcW w:w="1300" w:type="dxa"/>
            <w:vAlign w:val="bottom"/>
          </w:tcPr>
          <w:p>
            <w:pPr>
              <w:ind w:left="180"/>
              <w:spacing w:after="0"/>
              <w:rPr>
                <w:sz w:val="20"/>
                <w:szCs w:val="20"/>
                <w:color w:val="auto"/>
              </w:rPr>
            </w:pPr>
            <w:r>
              <w:rPr>
                <w:rFonts w:ascii="Arial" w:cs="Arial" w:eastAsia="Arial" w:hAnsi="Arial"/>
                <w:sz w:val="16"/>
                <w:szCs w:val="16"/>
                <w:color w:val="auto"/>
              </w:rPr>
              <w:t>Che-Wei Lin</w:t>
            </w:r>
          </w:p>
        </w:tc>
        <w:tc>
          <w:tcPr>
            <w:tcW w:w="3260" w:type="dxa"/>
            <w:vAlign w:val="bottom"/>
          </w:tcPr>
          <w:p>
            <w:pPr>
              <w:ind w:left="260"/>
              <w:spacing w:after="0"/>
              <w:rPr>
                <w:sz w:val="20"/>
                <w:szCs w:val="20"/>
                <w:color w:val="auto"/>
              </w:rPr>
            </w:pPr>
            <w:r>
              <w:rPr>
                <w:rFonts w:ascii="Arial" w:cs="Arial" w:eastAsia="Arial" w:hAnsi="Arial"/>
                <w:sz w:val="16"/>
                <w:szCs w:val="16"/>
                <w:color w:val="auto"/>
              </w:rPr>
              <w:t>Dr. Elizabeth</w:t>
            </w:r>
          </w:p>
        </w:tc>
        <w:tc>
          <w:tcPr>
            <w:tcW w:w="3620" w:type="dxa"/>
            <w:vAlign w:val="bottom"/>
          </w:tcPr>
          <w:p>
            <w:pPr>
              <w:jc w:val="center"/>
              <w:ind w:left="1648"/>
              <w:spacing w:after="0"/>
              <w:rPr>
                <w:sz w:val="20"/>
                <w:szCs w:val="20"/>
                <w:color w:val="auto"/>
              </w:rPr>
            </w:pPr>
            <w:r>
              <w:rPr>
                <w:rFonts w:ascii="Arial" w:cs="Arial" w:eastAsia="Arial" w:hAnsi="Arial"/>
                <w:sz w:val="16"/>
                <w:szCs w:val="16"/>
                <w:b w:val="1"/>
                <w:bCs w:val="1"/>
                <w:color w:val="auto"/>
                <w:w w:val="92"/>
              </w:rPr>
              <w:t>MEETINGS HELD</w:t>
            </w:r>
          </w:p>
        </w:tc>
      </w:tr>
      <w:tr>
        <w:trPr>
          <w:trHeight w:val="215"/>
        </w:trPr>
        <w:tc>
          <w:tcPr>
            <w:tcW w:w="1220" w:type="dxa"/>
            <w:vAlign w:val="bottom"/>
          </w:tcPr>
          <w:p>
            <w:pPr>
              <w:ind w:left="20"/>
              <w:spacing w:after="0"/>
              <w:rPr>
                <w:sz w:val="20"/>
                <w:szCs w:val="20"/>
                <w:color w:val="auto"/>
              </w:rPr>
            </w:pPr>
            <w:r>
              <w:rPr>
                <w:rFonts w:ascii="Arial" w:cs="Arial" w:eastAsia="Arial" w:hAnsi="Arial"/>
                <w:sz w:val="16"/>
                <w:szCs w:val="16"/>
                <w:color w:val="auto"/>
              </w:rPr>
              <w:t>Chair</w:t>
            </w:r>
          </w:p>
        </w:tc>
        <w:tc>
          <w:tcPr>
            <w:tcW w:w="130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6"/>
                <w:szCs w:val="16"/>
                <w:color w:val="auto"/>
              </w:rPr>
              <w:t>Loboa</w:t>
            </w:r>
          </w:p>
        </w:tc>
        <w:tc>
          <w:tcPr>
            <w:tcW w:w="3620" w:type="dxa"/>
            <w:vAlign w:val="bottom"/>
          </w:tcPr>
          <w:p>
            <w:pPr>
              <w:spacing w:after="0"/>
              <w:rPr>
                <w:sz w:val="18"/>
                <w:szCs w:val="18"/>
                <w:color w:val="auto"/>
              </w:rPr>
            </w:pPr>
          </w:p>
        </w:tc>
      </w:tr>
    </w:tbl>
    <w:p>
      <w:pPr>
        <w:spacing w:after="0" w:line="339" w:lineRule="exact"/>
        <w:rPr>
          <w:sz w:val="20"/>
          <w:szCs w:val="20"/>
          <w:color w:val="auto"/>
        </w:rPr>
      </w:pPr>
    </w:p>
    <w:p>
      <w:pPr>
        <w:ind w:left="660" w:right="20"/>
        <w:spacing w:after="0" w:line="264" w:lineRule="auto"/>
        <w:rPr>
          <w:sz w:val="20"/>
          <w:szCs w:val="20"/>
          <w:color w:val="auto"/>
        </w:rPr>
      </w:pPr>
      <w:r>
        <w:rPr>
          <w:rFonts w:ascii="Arial" w:cs="Arial" w:eastAsia="Arial" w:hAnsi="Arial"/>
          <w:sz w:val="16"/>
          <w:szCs w:val="16"/>
          <w:color w:val="auto"/>
        </w:rPr>
        <w:t xml:space="preserve">Our compensation committee currently consists of William H. Yeh, Che-Wei Lin, and Dr. Elizabeth Loboa, each of whom is not an employee and is “independent” as that term is defined in the applicable rules of the SEC and Nasdaq. Mr. Yeh serves as the chairman of this committee. Our compensation committee acts pursuant to a written charter that has been adopted by the Board. A copy of the charter is available on the investor relations portion of the Company’s website at </w:t>
      </w:r>
      <w:r>
        <w:rPr>
          <w:rFonts w:ascii="Arial" w:cs="Arial" w:eastAsia="Arial" w:hAnsi="Arial"/>
          <w:sz w:val="16"/>
          <w:szCs w:val="16"/>
          <w:i w:val="1"/>
          <w:iCs w:val="1"/>
          <w:color w:val="auto"/>
        </w:rPr>
        <w:t>www.ao-inc.com</w:t>
      </w:r>
      <w:r>
        <w:rPr>
          <w:rFonts w:ascii="Arial" w:cs="Arial" w:eastAsia="Arial" w:hAnsi="Arial"/>
          <w:sz w:val="16"/>
          <w:szCs w:val="16"/>
          <w:color w:val="auto"/>
        </w:rPr>
        <w:t>. Pursuant to its charter, our compensation committee has responsibility for developing, implementing, and overseeing our executive and incentive compensation policies and programs. Under its current charter, the compensation committee’s responsibilities include, but are not limited to:</w:t>
      </w:r>
    </w:p>
    <w:p>
      <w:pPr>
        <w:spacing w:after="0" w:line="68" w:lineRule="exact"/>
        <w:rPr>
          <w:sz w:val="20"/>
          <w:szCs w:val="20"/>
          <w:color w:val="auto"/>
        </w:rPr>
      </w:pPr>
    </w:p>
    <w:p>
      <w:pPr>
        <w:ind w:left="1060" w:right="720" w:hanging="178"/>
        <w:spacing w:after="0" w:line="304" w:lineRule="auto"/>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reviewing and approving all compensation for the Chief Executive Officer, including incentive-based and equity-based compensation;</w:t>
      </w:r>
    </w:p>
    <w:p>
      <w:pPr>
        <w:spacing w:after="0" w:line="46" w:lineRule="exact"/>
        <w:rPr>
          <w:rFonts w:ascii="Arial" w:cs="Arial" w:eastAsia="Arial" w:hAnsi="Arial"/>
          <w:sz w:val="9"/>
          <w:szCs w:val="9"/>
          <w:color w:val="auto"/>
        </w:rPr>
      </w:pPr>
    </w:p>
    <w:p>
      <w:pPr>
        <w:ind w:left="1060" w:right="20" w:hanging="178"/>
        <w:spacing w:after="0" w:line="286" w:lineRule="auto"/>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reviewing and approving annual performance objectives and goals relevant to compensation for the Chief Executive Officer and evaluating the performance of the Chief Executive Officer;</w:t>
      </w:r>
    </w:p>
    <w:p>
      <w:pPr>
        <w:spacing w:after="0" w:line="61" w:lineRule="exact"/>
        <w:rPr>
          <w:rFonts w:ascii="Arial" w:cs="Arial" w:eastAsia="Arial" w:hAnsi="Arial"/>
          <w:sz w:val="9"/>
          <w:szCs w:val="9"/>
          <w:color w:val="auto"/>
        </w:rPr>
      </w:pPr>
    </w:p>
    <w:p>
      <w:pPr>
        <w:ind w:left="1060" w:hanging="178"/>
        <w:spacing w:after="0"/>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reviewing and approving incentive-based or equity-based compensation plans in which our executive officers participate;</w:t>
      </w:r>
    </w:p>
    <w:p>
      <w:pPr>
        <w:spacing w:after="0" w:line="153" w:lineRule="exact"/>
        <w:rPr>
          <w:rFonts w:ascii="Arial" w:cs="Arial" w:eastAsia="Arial" w:hAnsi="Arial"/>
          <w:sz w:val="9"/>
          <w:szCs w:val="9"/>
          <w:color w:val="auto"/>
        </w:rPr>
      </w:pPr>
    </w:p>
    <w:p>
      <w:pPr>
        <w:ind w:left="1060" w:right="280" w:hanging="178"/>
        <w:spacing w:after="0" w:line="286" w:lineRule="auto"/>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reviewing and approving all compensation for executive officers, including incentive-based and equity-based compensation, and overseeing the evaluation of management;</w:t>
      </w:r>
    </w:p>
    <w:p>
      <w:pPr>
        <w:spacing w:after="0" w:line="61" w:lineRule="exact"/>
        <w:rPr>
          <w:rFonts w:ascii="Arial" w:cs="Arial" w:eastAsia="Arial" w:hAnsi="Arial"/>
          <w:sz w:val="9"/>
          <w:szCs w:val="9"/>
          <w:color w:val="auto"/>
        </w:rPr>
      </w:pPr>
    </w:p>
    <w:p>
      <w:pPr>
        <w:ind w:left="1060" w:right="140" w:hanging="178"/>
        <w:spacing w:after="0" w:line="286" w:lineRule="auto"/>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considering an executive officer’s performance as it relates to both legal compliance and compliance with internal policies and procedures when determining, setting, or approving compensation arrangements;</w:t>
      </w:r>
    </w:p>
    <w:p>
      <w:pPr>
        <w:spacing w:after="0" w:line="61" w:lineRule="exact"/>
        <w:rPr>
          <w:rFonts w:ascii="Arial" w:cs="Arial" w:eastAsia="Arial" w:hAnsi="Arial"/>
          <w:sz w:val="9"/>
          <w:szCs w:val="9"/>
          <w:color w:val="auto"/>
        </w:rPr>
      </w:pPr>
    </w:p>
    <w:p>
      <w:pPr>
        <w:ind w:left="1060" w:right="600" w:hanging="178"/>
        <w:spacing w:after="0" w:line="304" w:lineRule="auto"/>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approving all employment, severance, or change-in-control agreements, special or supplemental benefits, or provisions including the same, applicable to executive officers;</w:t>
      </w:r>
    </w:p>
    <w:p>
      <w:pPr>
        <w:spacing w:after="0" w:line="33" w:lineRule="exact"/>
        <w:rPr>
          <w:rFonts w:ascii="Arial" w:cs="Arial" w:eastAsia="Arial" w:hAnsi="Arial"/>
          <w:sz w:val="9"/>
          <w:szCs w:val="9"/>
          <w:color w:val="auto"/>
        </w:rPr>
      </w:pPr>
    </w:p>
    <w:p>
      <w:pPr>
        <w:jc w:val="both"/>
        <w:ind w:left="1060" w:right="20" w:hanging="178"/>
        <w:spacing w:after="0" w:line="284" w:lineRule="auto"/>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periodically reviewing and advising our Board concerning both regional and industry-wide compensation practices and trends in order to assess the adequacy and competitiveness of our compensation programs for executive officers relative to comparable companies in our industry;</w:t>
      </w:r>
    </w:p>
    <w:p>
      <w:pPr>
        <w:spacing w:after="0" w:line="48" w:lineRule="exact"/>
        <w:rPr>
          <w:rFonts w:ascii="Arial" w:cs="Arial" w:eastAsia="Arial" w:hAnsi="Arial"/>
          <w:sz w:val="9"/>
          <w:szCs w:val="9"/>
          <w:color w:val="auto"/>
        </w:rPr>
      </w:pPr>
    </w:p>
    <w:p>
      <w:pPr>
        <w:ind w:left="1060" w:right="20" w:hanging="178"/>
        <w:spacing w:after="0" w:line="304" w:lineRule="auto"/>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reviewing and reassessing the adequacy of the compensation committee charter and recommending any changes to our Board on an annual basis;</w:t>
      </w:r>
    </w:p>
    <w:p>
      <w:pPr>
        <w:spacing w:after="0" w:line="46" w:lineRule="exact"/>
        <w:rPr>
          <w:rFonts w:ascii="Arial" w:cs="Arial" w:eastAsia="Arial" w:hAnsi="Arial"/>
          <w:sz w:val="9"/>
          <w:szCs w:val="9"/>
          <w:color w:val="auto"/>
        </w:rPr>
      </w:pPr>
    </w:p>
    <w:p>
      <w:pPr>
        <w:ind w:left="1060" w:hanging="178"/>
        <w:spacing w:after="0"/>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reviewing and evaluating the compensation committee’s own performance;</w:t>
      </w:r>
    </w:p>
    <w:p>
      <w:pPr>
        <w:spacing w:after="0" w:line="140" w:lineRule="exact"/>
        <w:rPr>
          <w:rFonts w:ascii="Arial" w:cs="Arial" w:eastAsia="Arial" w:hAnsi="Arial"/>
          <w:sz w:val="9"/>
          <w:szCs w:val="9"/>
          <w:color w:val="auto"/>
        </w:rPr>
      </w:pPr>
    </w:p>
    <w:p>
      <w:pPr>
        <w:ind w:left="1060" w:right="220" w:hanging="178"/>
        <w:spacing w:after="0" w:line="340" w:lineRule="auto"/>
        <w:tabs>
          <w:tab w:leader="none" w:pos="1060" w:val="left"/>
        </w:tabs>
        <w:numPr>
          <w:ilvl w:val="0"/>
          <w:numId w:val="13"/>
        </w:numPr>
        <w:rPr>
          <w:rFonts w:ascii="Arial" w:cs="Arial" w:eastAsia="Arial" w:hAnsi="Arial"/>
          <w:sz w:val="9"/>
          <w:szCs w:val="9"/>
          <w:color w:val="auto"/>
        </w:rPr>
      </w:pPr>
      <w:r>
        <w:rPr>
          <w:rFonts w:ascii="Arial" w:cs="Arial" w:eastAsia="Arial" w:hAnsi="Arial"/>
          <w:sz w:val="15"/>
          <w:szCs w:val="15"/>
          <w:color w:val="auto"/>
        </w:rPr>
        <w:t>reviewing with the Chairman of the Board and the Chief Executive Officer the succession plan relating to the Chief Executive Officer and the management development plan and making recommendations to the Board with respect to such plans;</w:t>
      </w:r>
    </w:p>
    <w:p>
      <w:pPr>
        <w:spacing w:after="0" w:line="24" w:lineRule="exact"/>
        <w:rPr>
          <w:rFonts w:ascii="Arial" w:cs="Arial" w:eastAsia="Arial" w:hAnsi="Arial"/>
          <w:sz w:val="9"/>
          <w:szCs w:val="9"/>
          <w:color w:val="auto"/>
        </w:rPr>
      </w:pPr>
    </w:p>
    <w:p>
      <w:pPr>
        <w:ind w:left="1060" w:right="200" w:hanging="178"/>
        <w:spacing w:after="0" w:line="286" w:lineRule="auto"/>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reviewing the compensation paid to non-employee directors and making recommendations to the Board for any adjustments; and</w:t>
      </w:r>
    </w:p>
    <w:p>
      <w:pPr>
        <w:spacing w:after="0" w:line="61" w:lineRule="exact"/>
        <w:rPr>
          <w:rFonts w:ascii="Arial" w:cs="Arial" w:eastAsia="Arial" w:hAnsi="Arial"/>
          <w:sz w:val="9"/>
          <w:szCs w:val="9"/>
          <w:color w:val="auto"/>
        </w:rPr>
      </w:pPr>
    </w:p>
    <w:p>
      <w:pPr>
        <w:ind w:left="1060" w:right="540" w:hanging="178"/>
        <w:spacing w:after="0" w:line="304" w:lineRule="auto"/>
        <w:tabs>
          <w:tab w:leader="none" w:pos="1060" w:val="left"/>
        </w:tabs>
        <w:numPr>
          <w:ilvl w:val="0"/>
          <w:numId w:val="13"/>
        </w:numPr>
        <w:rPr>
          <w:rFonts w:ascii="Arial" w:cs="Arial" w:eastAsia="Arial" w:hAnsi="Arial"/>
          <w:sz w:val="9"/>
          <w:szCs w:val="9"/>
          <w:color w:val="auto"/>
        </w:rPr>
      </w:pPr>
      <w:r>
        <w:rPr>
          <w:rFonts w:ascii="Arial" w:cs="Arial" w:eastAsia="Arial" w:hAnsi="Arial"/>
          <w:sz w:val="16"/>
          <w:szCs w:val="16"/>
          <w:color w:val="auto"/>
        </w:rPr>
        <w:t>receiving and reviewing an annual report of all reported transactions in equity securities of the Company of any officer or director who is subject to the reporting and short-swing liability provisions of Section 16 of the Exchange Act.</w:t>
      </w:r>
    </w:p>
    <w:p>
      <w:pPr>
        <w:spacing w:after="0" w:line="33" w:lineRule="exact"/>
        <w:rPr>
          <w:sz w:val="20"/>
          <w:szCs w:val="20"/>
          <w:color w:val="auto"/>
        </w:rPr>
      </w:pPr>
    </w:p>
    <w:p>
      <w:pPr>
        <w:ind w:left="660" w:right="100"/>
        <w:spacing w:after="0" w:line="269" w:lineRule="auto"/>
        <w:rPr>
          <w:sz w:val="20"/>
          <w:szCs w:val="20"/>
          <w:color w:val="auto"/>
        </w:rPr>
      </w:pPr>
      <w:r>
        <w:rPr>
          <w:rFonts w:ascii="Arial" w:cs="Arial" w:eastAsia="Arial" w:hAnsi="Arial"/>
          <w:sz w:val="16"/>
          <w:szCs w:val="16"/>
          <w:color w:val="auto"/>
        </w:rPr>
        <w:t>The compensation committee may delegate its authority to a subcommittee to make grants of compensatory equity awards to executive officers and other employees, provided that these grants are made within established guidelines. In addition, the compensation committee may obtain advice or assistance from compensation consultants, legal counsel, or other advisors to perform its duties, provided that the compensation committee shall periodically assess the independence of any such compensation consultant as required by Nasdaq rules and applicable law.</w:t>
      </w:r>
    </w:p>
    <w:p>
      <w:pPr>
        <w:spacing w:after="0" w:line="76" w:lineRule="exact"/>
        <w:rPr>
          <w:sz w:val="20"/>
          <w:szCs w:val="20"/>
          <w:color w:val="auto"/>
        </w:rPr>
      </w:pPr>
    </w:p>
    <w:p>
      <w:pPr>
        <w:ind w:left="660"/>
        <w:spacing w:after="0" w:line="265" w:lineRule="auto"/>
        <w:rPr>
          <w:sz w:val="20"/>
          <w:szCs w:val="20"/>
          <w:color w:val="auto"/>
        </w:rPr>
      </w:pPr>
      <w:r>
        <w:rPr>
          <w:rFonts w:ascii="Arial" w:cs="Arial" w:eastAsia="Arial" w:hAnsi="Arial"/>
          <w:sz w:val="16"/>
          <w:szCs w:val="16"/>
          <w:color w:val="auto"/>
        </w:rPr>
        <w:t>In 2025, the compensation committee retained Aon — the Human Capital Solutions practice of Aon plc (“Aon”) — as its compensation consultant for executive officer and director compensation. Aon reports directly to the compensation committee and to the compensation committee chair. While Aon coordinates with our management for data collection, including obtaining the job descriptions for our executive officers, Aon does not provide any other services to us. The compensation committee has evaluated Aon’s independence pursuant to the listing standards of Nasdaq and the relevant SEC rules and has determined that no conflict of interest has arisen as a result of the work performed by Aon and that Aon is independent.</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compensation committee held four meetings during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226695</wp:posOffset>
            </wp:positionV>
            <wp:extent cx="33401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68"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15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109855</wp:posOffset>
            </wp:positionV>
            <wp:extent cx="2357120" cy="797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5712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397"/>
        </w:trPr>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60" w:type="dxa"/>
            <w:vAlign w:val="bottom"/>
          </w:tcPr>
          <w:p>
            <w:pPr>
              <w:jc w:val="center"/>
              <w:ind w:left="1568"/>
              <w:spacing w:after="0"/>
              <w:rPr>
                <w:sz w:val="20"/>
                <w:szCs w:val="20"/>
                <w:color w:val="auto"/>
              </w:rPr>
            </w:pPr>
            <w:r>
              <w:rPr>
                <w:rFonts w:ascii="Arial" w:cs="Arial" w:eastAsia="Arial" w:hAnsi="Arial"/>
                <w:sz w:val="29"/>
                <w:szCs w:val="29"/>
                <w:b w:val="1"/>
                <w:bCs w:val="1"/>
                <w:color w:val="4834BA"/>
              </w:rPr>
              <w:t>1</w:t>
            </w:r>
            <w:r>
              <w:rPr>
                <w:rFonts w:ascii="Arial" w:cs="Arial" w:eastAsia="Arial" w:hAnsi="Arial"/>
                <w:sz w:val="16"/>
                <w:szCs w:val="16"/>
                <w:color w:val="000000"/>
              </w:rPr>
              <w:t>​</w:t>
            </w:r>
          </w:p>
        </w:tc>
      </w:tr>
      <w:tr>
        <w:trPr>
          <w:trHeight w:val="43"/>
        </w:trPr>
        <w:tc>
          <w:tcPr>
            <w:tcW w:w="1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6"/>
                <w:szCs w:val="16"/>
                <w:b w:val="1"/>
                <w:bCs w:val="1"/>
                <w:color w:val="auto"/>
              </w:rPr>
              <w:t>Dr. Min-Chu</w:t>
            </w:r>
          </w:p>
        </w:tc>
        <w:tc>
          <w:tcPr>
            <w:tcW w:w="1460" w:type="dxa"/>
            <w:vAlign w:val="bottom"/>
          </w:tcPr>
          <w:p>
            <w:pPr>
              <w:ind w:left="260"/>
              <w:spacing w:after="0"/>
              <w:rPr>
                <w:sz w:val="20"/>
                <w:szCs w:val="20"/>
                <w:color w:val="auto"/>
              </w:rPr>
            </w:pPr>
            <w:r>
              <w:rPr>
                <w:rFonts w:ascii="Arial" w:cs="Arial" w:eastAsia="Arial" w:hAnsi="Arial"/>
                <w:sz w:val="16"/>
                <w:szCs w:val="16"/>
                <w:color w:val="auto"/>
              </w:rPr>
              <w:t>William H. Yeh</w:t>
            </w:r>
          </w:p>
        </w:tc>
        <w:tc>
          <w:tcPr>
            <w:tcW w:w="3360" w:type="dxa"/>
            <w:vAlign w:val="bottom"/>
          </w:tcPr>
          <w:p>
            <w:pPr>
              <w:ind w:left="180"/>
              <w:spacing w:after="0"/>
              <w:rPr>
                <w:sz w:val="20"/>
                <w:szCs w:val="20"/>
                <w:color w:val="auto"/>
              </w:rPr>
            </w:pPr>
            <w:r>
              <w:rPr>
                <w:rFonts w:ascii="Arial" w:cs="Arial" w:eastAsia="Arial" w:hAnsi="Arial"/>
                <w:sz w:val="16"/>
                <w:szCs w:val="16"/>
                <w:color w:val="auto"/>
              </w:rPr>
              <w:t>Richard B. Black</w:t>
            </w:r>
          </w:p>
        </w:tc>
        <w:tc>
          <w:tcPr>
            <w:tcW w:w="3460" w:type="dxa"/>
            <w:vAlign w:val="bottom"/>
          </w:tcPr>
          <w:p>
            <w:pPr>
              <w:jc w:val="center"/>
              <w:ind w:left="1528"/>
              <w:spacing w:after="0"/>
              <w:rPr>
                <w:sz w:val="20"/>
                <w:szCs w:val="20"/>
                <w:color w:val="auto"/>
              </w:rPr>
            </w:pPr>
            <w:r>
              <w:rPr>
                <w:rFonts w:ascii="Arial" w:cs="Arial" w:eastAsia="Arial" w:hAnsi="Arial"/>
                <w:sz w:val="16"/>
                <w:szCs w:val="16"/>
                <w:b w:val="1"/>
                <w:bCs w:val="1"/>
                <w:color w:val="auto"/>
                <w:w w:val="90"/>
              </w:rPr>
              <w:t>MEETING HELD</w:t>
            </w:r>
          </w:p>
        </w:tc>
      </w:tr>
      <w:tr>
        <w:trPr>
          <w:trHeight w:val="203"/>
        </w:trPr>
        <w:tc>
          <w:tcPr>
            <w:tcW w:w="1120" w:type="dxa"/>
            <w:vAlign w:val="bottom"/>
          </w:tcPr>
          <w:p>
            <w:pPr>
              <w:spacing w:after="0"/>
              <w:rPr>
                <w:sz w:val="20"/>
                <w:szCs w:val="20"/>
                <w:color w:val="auto"/>
              </w:rPr>
            </w:pPr>
            <w:r>
              <w:rPr>
                <w:rFonts w:ascii="Arial" w:cs="Arial" w:eastAsia="Arial" w:hAnsi="Arial"/>
                <w:sz w:val="16"/>
                <w:szCs w:val="16"/>
                <w:b w:val="1"/>
                <w:bCs w:val="1"/>
                <w:color w:val="auto"/>
              </w:rPr>
              <w:t>(Mike) Chen</w:t>
            </w:r>
          </w:p>
        </w:tc>
        <w:tc>
          <w:tcPr>
            <w:tcW w:w="14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6"/>
                <w:szCs w:val="16"/>
                <w:color w:val="auto"/>
              </w:rPr>
              <w:t>Chair</w:t>
            </w:r>
          </w:p>
        </w:tc>
        <w:tc>
          <w:tcPr>
            <w:tcW w:w="14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460" w:type="dxa"/>
            <w:vAlign w:val="bottom"/>
          </w:tcPr>
          <w:p>
            <w:pPr>
              <w:spacing w:after="0"/>
              <w:rPr>
                <w:sz w:val="18"/>
                <w:szCs w:val="18"/>
                <w:color w:val="auto"/>
              </w:rPr>
            </w:pPr>
          </w:p>
        </w:tc>
      </w:tr>
    </w:tbl>
    <w:p>
      <w:pPr>
        <w:spacing w:after="0" w:line="339" w:lineRule="exact"/>
        <w:rPr>
          <w:sz w:val="20"/>
          <w:szCs w:val="20"/>
          <w:color w:val="auto"/>
        </w:rPr>
      </w:pPr>
    </w:p>
    <w:p>
      <w:pPr>
        <w:ind w:left="660" w:right="40"/>
        <w:spacing w:after="0" w:line="262" w:lineRule="auto"/>
        <w:rPr>
          <w:sz w:val="20"/>
          <w:szCs w:val="20"/>
          <w:color w:val="auto"/>
        </w:rPr>
      </w:pPr>
      <w:r>
        <w:rPr>
          <w:rFonts w:ascii="Arial" w:cs="Arial" w:eastAsia="Arial" w:hAnsi="Arial"/>
          <w:sz w:val="16"/>
          <w:szCs w:val="16"/>
          <w:color w:val="auto"/>
        </w:rPr>
        <w:t xml:space="preserve">Our nominating and corporate governance committee currently consists of Dr. Min-Chu (Mike) Chen, William H. Yeh and Richard B. Black, each of whom is not an employee and is otherwise “independent” as that term is defined in the applicable rules of the SEC and Nasdaq. Dr. Chen serves as the chairman of this committee. Our nominating and corporate governance committee oversees and advises the Board with respect to corporate governance matters, assists the Board in identifying and recommending qualified candidates for nomination to the Board, makes recommendations to the Board with respect to assignments to committees of the Board and oversees the evaluation of the Board. The nominating and corporate governance committee acts pursuant to a written charter that has been adopted by the Board. A copy of the charter is available on the investor relations portion of the Company’s website at </w:t>
      </w:r>
      <w:r>
        <w:rPr>
          <w:rFonts w:ascii="Arial" w:cs="Arial" w:eastAsia="Arial" w:hAnsi="Arial"/>
          <w:sz w:val="16"/>
          <w:szCs w:val="16"/>
          <w:i w:val="1"/>
          <w:iCs w:val="1"/>
          <w:color w:val="auto"/>
        </w:rPr>
        <w:t>www.ao-inc.com</w:t>
      </w:r>
      <w:r>
        <w:rPr>
          <w:rFonts w:ascii="Arial" w:cs="Arial" w:eastAsia="Arial" w:hAnsi="Arial"/>
          <w:sz w:val="16"/>
          <w:szCs w:val="16"/>
          <w:color w:val="auto"/>
        </w:rPr>
        <w:t>. Under its current charter, the nominating and corporate governance committee’s responsibilities include, but are not limited to:</w:t>
      </w:r>
    </w:p>
    <w:p>
      <w:pPr>
        <w:spacing w:after="0" w:line="82" w:lineRule="exact"/>
        <w:rPr>
          <w:sz w:val="20"/>
          <w:szCs w:val="20"/>
          <w:color w:val="auto"/>
        </w:rPr>
      </w:pPr>
    </w:p>
    <w:p>
      <w:pPr>
        <w:ind w:left="1060" w:right="20" w:hanging="178"/>
        <w:spacing w:after="0" w:line="262" w:lineRule="auto"/>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identifying, evaluating and recruiting individuals to become Board members and reviewing with the Board from time to time the appropriate skills and characteristics required of Board members in the context of the Company’s business and strategy at the time and the current make-up of the Board; this assessment of Board skills, experience, and background includes, among numerous diverse factors, such as independence; understanding of and experience in manufacturing, technology, finance, and marketing; senior leadership experience; international experience; age; and diversity with respect to race, ethnicity, gender, and geography, which includes its commitment to actively seek women and minority candidates for the pool from which board candidates are chosen;</w:t>
      </w:r>
    </w:p>
    <w:p>
      <w:pPr>
        <w:spacing w:after="0" w:line="79" w:lineRule="exact"/>
        <w:rPr>
          <w:rFonts w:ascii="Arial" w:cs="Arial" w:eastAsia="Arial" w:hAnsi="Arial"/>
          <w:sz w:val="9"/>
          <w:szCs w:val="9"/>
          <w:color w:val="auto"/>
        </w:rPr>
      </w:pPr>
    </w:p>
    <w:p>
      <w:pPr>
        <w:ind w:left="1060" w:right="320" w:hanging="178"/>
        <w:spacing w:after="0" w:line="304" w:lineRule="auto"/>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considering director candidates submitted by stockholders and determining the procedure to be followed by stockholders in submitting such recommendations;</w:t>
      </w:r>
    </w:p>
    <w:p>
      <w:pPr>
        <w:spacing w:after="0" w:line="33" w:lineRule="exact"/>
        <w:rPr>
          <w:rFonts w:ascii="Arial" w:cs="Arial" w:eastAsia="Arial" w:hAnsi="Arial"/>
          <w:sz w:val="9"/>
          <w:szCs w:val="9"/>
          <w:color w:val="auto"/>
        </w:rPr>
      </w:pPr>
    </w:p>
    <w:p>
      <w:pPr>
        <w:ind w:left="1060" w:right="180" w:hanging="178"/>
        <w:spacing w:after="0" w:line="304" w:lineRule="auto"/>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recommending Board committee structure and responsibilities to be included in the charter of each committee of the Board to be submitted to the full Board for consideration;</w:t>
      </w:r>
    </w:p>
    <w:p>
      <w:pPr>
        <w:spacing w:after="0" w:line="46" w:lineRule="exact"/>
        <w:rPr>
          <w:rFonts w:ascii="Arial" w:cs="Arial" w:eastAsia="Arial" w:hAnsi="Arial"/>
          <w:sz w:val="9"/>
          <w:szCs w:val="9"/>
          <w:color w:val="auto"/>
        </w:rPr>
      </w:pPr>
    </w:p>
    <w:p>
      <w:pPr>
        <w:ind w:left="1060" w:right="60" w:hanging="178"/>
        <w:spacing w:after="0" w:line="286" w:lineRule="auto"/>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recommending directors to serve on each Board committee and suggesting rotations for chairpersons of the Board committees as the nominating and corporate governance committee deems appropriate;</w:t>
      </w:r>
    </w:p>
    <w:p>
      <w:pPr>
        <w:spacing w:after="0" w:line="61" w:lineRule="exact"/>
        <w:rPr>
          <w:rFonts w:ascii="Arial" w:cs="Arial" w:eastAsia="Arial" w:hAnsi="Arial"/>
          <w:sz w:val="9"/>
          <w:szCs w:val="9"/>
          <w:color w:val="auto"/>
        </w:rPr>
      </w:pPr>
    </w:p>
    <w:p>
      <w:pPr>
        <w:ind w:left="1060" w:hanging="178"/>
        <w:spacing w:after="0"/>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recommending corporate governance standards to the Board;</w:t>
      </w:r>
    </w:p>
    <w:p>
      <w:pPr>
        <w:spacing w:after="0" w:line="153" w:lineRule="exact"/>
        <w:rPr>
          <w:rFonts w:ascii="Arial" w:cs="Arial" w:eastAsia="Arial" w:hAnsi="Arial"/>
          <w:sz w:val="9"/>
          <w:szCs w:val="9"/>
          <w:color w:val="auto"/>
        </w:rPr>
      </w:pPr>
    </w:p>
    <w:p>
      <w:pPr>
        <w:ind w:left="1060" w:hanging="178"/>
        <w:spacing w:after="0"/>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evaluating and recommending any revisions to Board and Board committee meeting policies;</w:t>
      </w:r>
    </w:p>
    <w:p>
      <w:pPr>
        <w:spacing w:after="0" w:line="140" w:lineRule="exact"/>
        <w:rPr>
          <w:rFonts w:ascii="Arial" w:cs="Arial" w:eastAsia="Arial" w:hAnsi="Arial"/>
          <w:sz w:val="9"/>
          <w:szCs w:val="9"/>
          <w:color w:val="auto"/>
        </w:rPr>
      </w:pPr>
    </w:p>
    <w:p>
      <w:pPr>
        <w:ind w:left="1060" w:hanging="178"/>
        <w:spacing w:after="0"/>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developing principles of corporate governance and recommend such principles to the Board;</w:t>
      </w:r>
    </w:p>
    <w:p>
      <w:pPr>
        <w:spacing w:after="0" w:line="153" w:lineRule="exact"/>
        <w:rPr>
          <w:rFonts w:ascii="Arial" w:cs="Arial" w:eastAsia="Arial" w:hAnsi="Arial"/>
          <w:sz w:val="9"/>
          <w:szCs w:val="9"/>
          <w:color w:val="auto"/>
        </w:rPr>
      </w:pPr>
    </w:p>
    <w:p>
      <w:pPr>
        <w:ind w:left="1060" w:right="340" w:hanging="178"/>
        <w:spacing w:after="0" w:line="304" w:lineRule="auto"/>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working with the audit committee of the Company in fulfilling its duties related to corporate governance and oversight of the Company’s compliance with applicable laws and regulations;</w:t>
      </w:r>
    </w:p>
    <w:p>
      <w:pPr>
        <w:spacing w:after="0" w:line="33" w:lineRule="exact"/>
        <w:rPr>
          <w:rFonts w:ascii="Arial" w:cs="Arial" w:eastAsia="Arial" w:hAnsi="Arial"/>
          <w:sz w:val="9"/>
          <w:szCs w:val="9"/>
          <w:color w:val="auto"/>
        </w:rPr>
      </w:pPr>
    </w:p>
    <w:p>
      <w:pPr>
        <w:ind w:left="1060" w:right="480" w:hanging="178"/>
        <w:spacing w:after="0" w:line="304" w:lineRule="auto"/>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reviewing the effectiveness of the operation of the Board and Board committees, including the corporate governance and operating practices;</w:t>
      </w:r>
    </w:p>
    <w:p>
      <w:pPr>
        <w:spacing w:after="0" w:line="46" w:lineRule="exact"/>
        <w:rPr>
          <w:rFonts w:ascii="Arial" w:cs="Arial" w:eastAsia="Arial" w:hAnsi="Arial"/>
          <w:sz w:val="9"/>
          <w:szCs w:val="9"/>
          <w:color w:val="auto"/>
        </w:rPr>
      </w:pPr>
    </w:p>
    <w:p>
      <w:pPr>
        <w:ind w:left="1060" w:right="200" w:hanging="178"/>
        <w:spacing w:after="0" w:line="286" w:lineRule="auto"/>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reviewing and reassessing the adequacy of the nominating and corporate governance committee charter and recommending any changes to the Board; and</w:t>
      </w:r>
    </w:p>
    <w:p>
      <w:pPr>
        <w:spacing w:after="0" w:line="61" w:lineRule="exact"/>
        <w:rPr>
          <w:rFonts w:ascii="Arial" w:cs="Arial" w:eastAsia="Arial" w:hAnsi="Arial"/>
          <w:sz w:val="9"/>
          <w:szCs w:val="9"/>
          <w:color w:val="auto"/>
        </w:rPr>
      </w:pPr>
    </w:p>
    <w:p>
      <w:pPr>
        <w:ind w:left="1060" w:hanging="178"/>
        <w:spacing w:after="0"/>
        <w:tabs>
          <w:tab w:leader="none" w:pos="1060" w:val="left"/>
        </w:tabs>
        <w:numPr>
          <w:ilvl w:val="0"/>
          <w:numId w:val="14"/>
        </w:numPr>
        <w:rPr>
          <w:rFonts w:ascii="Arial" w:cs="Arial" w:eastAsia="Arial" w:hAnsi="Arial"/>
          <w:sz w:val="9"/>
          <w:szCs w:val="9"/>
          <w:color w:val="auto"/>
        </w:rPr>
      </w:pPr>
      <w:r>
        <w:rPr>
          <w:rFonts w:ascii="Arial" w:cs="Arial" w:eastAsia="Arial" w:hAnsi="Arial"/>
          <w:sz w:val="16"/>
          <w:szCs w:val="16"/>
          <w:color w:val="auto"/>
        </w:rPr>
        <w:t>reviewing and evaluating the nominating and corporate governance committee’s own performance.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nominating and corporate governance committee held one meeting during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1143635</wp:posOffset>
            </wp:positionV>
            <wp:extent cx="334010"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20"/>
        <w:spacing w:after="0"/>
        <w:tabs>
          <w:tab w:leader="none" w:pos="1400" w:val="left"/>
        </w:tabs>
        <w:rPr>
          <w:sz w:val="20"/>
          <w:szCs w:val="20"/>
          <w:color w:val="auto"/>
        </w:rPr>
      </w:pPr>
      <w:r>
        <w:rPr>
          <w:rFonts w:ascii="Arial" w:cs="Arial" w:eastAsia="Arial" w:hAnsi="Arial"/>
          <w:sz w:val="14"/>
          <w:szCs w:val="14"/>
          <w:color w:val="auto"/>
        </w:rPr>
        <w:t>»  16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Director Nominations</w:t>
      </w:r>
    </w:p>
    <w:p>
      <w:pPr>
        <w:spacing w:after="0" w:line="119" w:lineRule="exact"/>
        <w:rPr>
          <w:sz w:val="20"/>
          <w:szCs w:val="20"/>
          <w:color w:val="auto"/>
        </w:rPr>
      </w:pPr>
    </w:p>
    <w:p>
      <w:pPr>
        <w:ind w:left="660" w:right="20"/>
        <w:spacing w:after="0" w:line="264" w:lineRule="auto"/>
        <w:rPr>
          <w:sz w:val="20"/>
          <w:szCs w:val="20"/>
          <w:color w:val="auto"/>
        </w:rPr>
      </w:pPr>
      <w:r>
        <w:rPr>
          <w:rFonts w:ascii="Arial" w:cs="Arial" w:eastAsia="Arial" w:hAnsi="Arial"/>
          <w:sz w:val="16"/>
          <w:szCs w:val="16"/>
          <w:color w:val="auto"/>
        </w:rPr>
        <w:t>Our nominating and corporate governance committee is responsible for, among other things, assisting our Board in identifying qualified director nominees and recommending nominees for each annual meeting of stockholders. The nominating and corporate governance committee’s goal is to assemble a Board that brings to our Company a diversity of experience in areas that are relevant to our business and that complies with the Nasdaq Listing Rules and applicable SEC rules and regulations. Although the Company does not have a formal policy on diversity, the nominating and corporate governance committee generally considers the diversity of nominees in terms of knowledge, experience, background, skills, expertise, and other demographic factors, as well as with respect to gender, racial and ethnic diversity.</w:t>
      </w:r>
    </w:p>
    <w:p>
      <w:pPr>
        <w:spacing w:after="0" w:line="82" w:lineRule="exact"/>
        <w:rPr>
          <w:sz w:val="20"/>
          <w:szCs w:val="20"/>
          <w:color w:val="auto"/>
        </w:rPr>
      </w:pPr>
    </w:p>
    <w:p>
      <w:pPr>
        <w:ind w:left="660" w:right="160"/>
        <w:spacing w:after="0" w:line="262" w:lineRule="auto"/>
        <w:rPr>
          <w:sz w:val="20"/>
          <w:szCs w:val="20"/>
          <w:color w:val="auto"/>
        </w:rPr>
      </w:pPr>
      <w:r>
        <w:rPr>
          <w:rFonts w:ascii="Arial" w:cs="Arial" w:eastAsia="Arial" w:hAnsi="Arial"/>
          <w:sz w:val="16"/>
          <w:szCs w:val="16"/>
          <w:color w:val="auto"/>
        </w:rPr>
        <w:t>If the director nominees identified in this Proxy Statement are elected at the 2026 Annual Meeting, our Board will be comprised of seven members, including one woman, reflecting the change in Board composition resulting from the conclusion of Dr. Elizabeth Loboa’s service at the end of her current term. The Board will also include 4 individuals who self-identify as racially or ethnically diverse. While the Board believes the current slate of directors collectively provides the skills, experience and independence necessary to oversee the Company’s strategy and risk profile, the Board and the nominating and corporate governance committee remain focused on enhancing the Board’s diversity of thought and expertise over time. In conducting future director searches, including when engaging any third-party search firm, the nominating and corporate governance committee intends to continue to seek highly qualified candidates with a range of backgrounds and experiences, consistent with the needs of the Board and the best interests of our stockholders.</w:t>
      </w:r>
    </w:p>
    <w:p>
      <w:pPr>
        <w:spacing w:after="0" w:line="69" w:lineRule="exact"/>
        <w:rPr>
          <w:sz w:val="20"/>
          <w:szCs w:val="20"/>
          <w:color w:val="auto"/>
        </w:rPr>
      </w:pPr>
    </w:p>
    <w:p>
      <w:pPr>
        <w:ind w:left="660"/>
        <w:spacing w:after="0" w:line="264" w:lineRule="auto"/>
        <w:rPr>
          <w:sz w:val="20"/>
          <w:szCs w:val="20"/>
          <w:color w:val="auto"/>
        </w:rPr>
      </w:pPr>
      <w:r>
        <w:rPr>
          <w:rFonts w:ascii="Arial" w:cs="Arial" w:eastAsia="Arial" w:hAnsi="Arial"/>
          <w:sz w:val="16"/>
          <w:szCs w:val="16"/>
          <w:color w:val="auto"/>
        </w:rPr>
        <w:t>When considering nominees for election as directors, the nominating and corporate governance committee reviews the needs of the Board for various skills, background, experience and expected contributions and the qualification standards established from time to time by the nominating and corporate governance committee. The nominating and corporate governance committee believes that directors must also have an inquisitive and objective outlook and mature judgment. Director candidates must have sufficient time available in the judgment of the nominating and corporate governance committee to perform all Board and committee responsibilities. Members of the Board are expected to rigorously prepare for, attend and participate in all meetings of the Board and applicable committee meetings. Other than the foregoing and the applicable rules regarding director qualification, there are no stated minimum criteria for director nominees.</w:t>
      </w:r>
    </w:p>
    <w:p>
      <w:pPr>
        <w:spacing w:after="0" w:line="82" w:lineRule="exact"/>
        <w:rPr>
          <w:sz w:val="20"/>
          <w:szCs w:val="20"/>
          <w:color w:val="auto"/>
        </w:rPr>
      </w:pPr>
    </w:p>
    <w:p>
      <w:pPr>
        <w:ind w:left="660" w:right="40"/>
        <w:spacing w:after="0" w:line="265" w:lineRule="auto"/>
        <w:rPr>
          <w:sz w:val="20"/>
          <w:szCs w:val="20"/>
          <w:color w:val="auto"/>
        </w:rPr>
      </w:pPr>
      <w:r>
        <w:rPr>
          <w:rFonts w:ascii="Arial" w:cs="Arial" w:eastAsia="Arial" w:hAnsi="Arial"/>
          <w:sz w:val="16"/>
          <w:szCs w:val="16"/>
          <w:color w:val="auto"/>
        </w:rPr>
        <w:t>The nominating and corporate governance committee evaluates annually the current members of the Board whose terms are expiring and who are willing to continue in service against the criteria set forth above in determining whether to recommend these directors for election. The nominating and corporate governance committee regularly assesses the optimum size of the Board and its committees and the needs of the Board for various skills, background, and business experience in determining if the Board requires additional candidates for nomination.</w:t>
      </w:r>
    </w:p>
    <w:p>
      <w:pPr>
        <w:spacing w:after="0" w:line="78" w:lineRule="exact"/>
        <w:rPr>
          <w:sz w:val="20"/>
          <w:szCs w:val="20"/>
          <w:color w:val="auto"/>
        </w:rPr>
      </w:pPr>
    </w:p>
    <w:p>
      <w:pPr>
        <w:ind w:left="660" w:right="40"/>
        <w:spacing w:after="0" w:line="264" w:lineRule="auto"/>
        <w:rPr>
          <w:sz w:val="20"/>
          <w:szCs w:val="20"/>
          <w:color w:val="auto"/>
        </w:rPr>
      </w:pPr>
      <w:r>
        <w:rPr>
          <w:rFonts w:ascii="Arial" w:cs="Arial" w:eastAsia="Arial" w:hAnsi="Arial"/>
          <w:sz w:val="16"/>
          <w:szCs w:val="16"/>
          <w:color w:val="auto"/>
        </w:rPr>
        <w:t>Candidates for director nominations come to our attention from time to time through incumbent directors, management, stockholders or third parties. These candidates may be considered at meetings of the nominating and corporate governance committee at any point during the year. Such candidates are to be evaluated against the criteria set forth above. If the nominating and corporate governance committee believes at any time that it is desirable that the Board consider additional candidates for nomination, the committee may poll directors and management for suggestions or conduct research to identify possible candidates and may engage, if the nominating and corporate governance committee believes it is appropriate, a third party search firm to assist in identifying qualified candidates.</w:t>
      </w:r>
    </w:p>
    <w:p>
      <w:pPr>
        <w:spacing w:after="0" w:line="82" w:lineRule="exact"/>
        <w:rPr>
          <w:sz w:val="20"/>
          <w:szCs w:val="20"/>
          <w:color w:val="auto"/>
        </w:rPr>
      </w:pPr>
    </w:p>
    <w:p>
      <w:pPr>
        <w:ind w:left="660"/>
        <w:spacing w:after="0" w:line="264" w:lineRule="auto"/>
        <w:rPr>
          <w:sz w:val="20"/>
          <w:szCs w:val="20"/>
          <w:color w:val="auto"/>
        </w:rPr>
      </w:pPr>
      <w:r>
        <w:rPr>
          <w:rFonts w:ascii="Arial" w:cs="Arial" w:eastAsia="Arial" w:hAnsi="Arial"/>
          <w:sz w:val="16"/>
          <w:szCs w:val="16"/>
          <w:color w:val="auto"/>
        </w:rPr>
        <w:t>The nominating and corporate governance committee will consider director candidates validly recommended by stockholders. The process for evaluating stockholder-recommended nominees is no different than the process for evaluating nominees identified by the nominating and corporate governance committee. If, rather than recommending a candidate to the nominating and corporate governance committee for consideration, a stockholder wishes to formally nominate a director, such stockholder must comply with the applicable procedural requirements in our Amended and Restated By-laws, as amended (the “By-laws”), including the nomination deadline described under the heading “Stockholder Proposals or Nominations to Be Presented at Next Annual Meeting” elsewhere in this Proxy Statement.</w:t>
      </w:r>
    </w:p>
    <w:p>
      <w:pPr>
        <w:spacing w:after="0" w:line="68"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color w:val="auto"/>
        </w:rPr>
        <w:t>As part of their annual evaluation of the Board’s needs, the nominating and corporate governance committee decided to nominate a new director to the Board. Mr. Flanagan was recommended to the nominating and governance committee by a member of the management team and brings to the Board more than 30 years of experience in leadership and knowledge of the technology industry such as networking infrastructure equipment and software, cybersecurity, industrial optics, optical networking and semiconductor technologies.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Communications with the Board</w:t>
      </w:r>
    </w:p>
    <w:p>
      <w:pPr>
        <w:spacing w:after="0" w:line="119" w:lineRule="exact"/>
        <w:rPr>
          <w:sz w:val="20"/>
          <w:szCs w:val="20"/>
          <w:color w:val="auto"/>
        </w:rPr>
      </w:pPr>
    </w:p>
    <w:p>
      <w:pPr>
        <w:ind w:left="660" w:right="40"/>
        <w:spacing w:after="0" w:line="271" w:lineRule="auto"/>
        <w:rPr>
          <w:sz w:val="20"/>
          <w:szCs w:val="20"/>
          <w:color w:val="auto"/>
        </w:rPr>
      </w:pPr>
      <w:r>
        <w:rPr>
          <w:rFonts w:ascii="Arial" w:cs="Arial" w:eastAsia="Arial" w:hAnsi="Arial"/>
          <w:sz w:val="16"/>
          <w:szCs w:val="16"/>
          <w:color w:val="auto"/>
        </w:rPr>
        <w:t>Stockholders and other interested parties who wish to communicate with our Board, including our independent or non-management directors as a group, our independent lead director, or any other individual director, may do so by submitting a written communication to our Chief Legal Officer at 13139 Jess Pirtle Blvd., Sugar Land, TX 77478, with a request to forward the communication to the intended recipient or recipients. In general, any stockholder communication delivered to our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201295</wp:posOffset>
            </wp:positionV>
            <wp:extent cx="33401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4010" cy="163195"/>
                    </a:xfrm>
                    <a:prstGeom prst="rect">
                      <a:avLst/>
                    </a:prstGeom>
                    <a:noFill/>
                  </pic:spPr>
                </pic:pic>
              </a:graphicData>
            </a:graphic>
          </wp:anchor>
        </w:drawing>
      </w:r>
    </w:p>
    <w:p>
      <w:pPr>
        <w:spacing w:after="0" w:line="328"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17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5" w:lineRule="exact"/>
        <w:rPr>
          <w:sz w:val="20"/>
          <w:szCs w:val="20"/>
          <w:color w:val="auto"/>
        </w:rPr>
      </w:pPr>
    </w:p>
    <w:p>
      <w:pPr>
        <w:ind w:left="660" w:right="260"/>
        <w:spacing w:after="0" w:line="275" w:lineRule="auto"/>
        <w:rPr>
          <w:sz w:val="20"/>
          <w:szCs w:val="20"/>
          <w:color w:val="auto"/>
        </w:rPr>
      </w:pPr>
      <w:r>
        <w:rPr>
          <w:rFonts w:ascii="Arial" w:cs="Arial" w:eastAsia="Arial" w:hAnsi="Arial"/>
          <w:sz w:val="16"/>
          <w:szCs w:val="16"/>
          <w:color w:val="auto"/>
        </w:rPr>
        <w:t>Officer for forwarding to our Board or specified Board member or members will be forwarded in accordance with the stockholder’s instructions. However, our Chief Legal Officer reserves the right not to forward to Board members any abusive, threatening or otherwise inappropriate materials.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Stockholder Engagement</w:t>
      </w:r>
    </w:p>
    <w:p>
      <w:pPr>
        <w:spacing w:after="0" w:line="119" w:lineRule="exact"/>
        <w:rPr>
          <w:sz w:val="20"/>
          <w:szCs w:val="20"/>
          <w:color w:val="auto"/>
        </w:rPr>
      </w:pPr>
    </w:p>
    <w:p>
      <w:pPr>
        <w:ind w:left="660" w:right="480"/>
        <w:spacing w:after="0" w:line="304" w:lineRule="auto"/>
        <w:rPr>
          <w:sz w:val="20"/>
          <w:szCs w:val="20"/>
          <w:color w:val="auto"/>
        </w:rPr>
      </w:pPr>
      <w:r>
        <w:rPr>
          <w:rFonts w:ascii="Arial" w:cs="Arial" w:eastAsia="Arial" w:hAnsi="Arial"/>
          <w:sz w:val="16"/>
          <w:szCs w:val="16"/>
          <w:color w:val="auto"/>
        </w:rPr>
        <w:t>Historically, our management team has interacted with stockholders primarily in connection with industry conferences, investor updates, and fundraising activity.</w:t>
      </w:r>
    </w:p>
    <w:p>
      <w:pPr>
        <w:spacing w:after="0" w:line="33" w:lineRule="exact"/>
        <w:rPr>
          <w:sz w:val="20"/>
          <w:szCs w:val="20"/>
          <w:color w:val="auto"/>
        </w:rPr>
      </w:pPr>
    </w:p>
    <w:p>
      <w:pPr>
        <w:ind w:left="660" w:right="20"/>
        <w:spacing w:after="0" w:line="271" w:lineRule="auto"/>
        <w:rPr>
          <w:sz w:val="20"/>
          <w:szCs w:val="20"/>
          <w:color w:val="auto"/>
        </w:rPr>
      </w:pPr>
      <w:r>
        <w:rPr>
          <w:rFonts w:ascii="Arial" w:cs="Arial" w:eastAsia="Arial" w:hAnsi="Arial"/>
          <w:sz w:val="16"/>
          <w:szCs w:val="16"/>
          <w:color w:val="auto"/>
        </w:rPr>
        <w:t>In past outreach efforts, we heard that some stockholders may be interested in more disclosure regarding succession planning and other governance practices to improve stockholder access. In response to the feedback about the disclosure of succession planning, a few years ago, the Board added more disclosure around the succession planning process below in the Section “Management Succession Planning”.</w:t>
      </w:r>
    </w:p>
    <w:p>
      <w:pPr>
        <w:spacing w:after="0" w:line="73" w:lineRule="exact"/>
        <w:rPr>
          <w:sz w:val="20"/>
          <w:szCs w:val="20"/>
          <w:color w:val="auto"/>
        </w:rPr>
      </w:pPr>
    </w:p>
    <w:p>
      <w:pPr>
        <w:ind w:left="660" w:right="40"/>
        <w:spacing w:after="0" w:line="265" w:lineRule="auto"/>
        <w:rPr>
          <w:sz w:val="20"/>
          <w:szCs w:val="20"/>
          <w:color w:val="auto"/>
        </w:rPr>
      </w:pPr>
      <w:r>
        <w:rPr>
          <w:rFonts w:ascii="Arial" w:cs="Arial" w:eastAsia="Arial" w:hAnsi="Arial"/>
          <w:sz w:val="16"/>
          <w:szCs w:val="16"/>
          <w:color w:val="auto"/>
        </w:rPr>
        <w:t>In addition, our Board recognizes that stockholders may have differing opinions with respect to classified or staggered boards of directors. Our Board has maintained its classified structure that was established prior to our initial public offering because a staggered board can enhance stability and continuity by ensuring that each director possesses the experience and background to understand our complex business, including our management’s strategy for growth. A classified board also encourages directors to have a long-term perspective and reduces vulnerability to invasive and coercive takeover tactics that do not benefit stockholders and may divert valuable management resources.</w:t>
      </w:r>
    </w:p>
    <w:p>
      <w:pPr>
        <w:spacing w:after="0" w:line="77"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We value our stockholders’ perspective on these matters and others and look forward to the information that we will be able to gather through additional stockholder engagement.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Management Succession Planning</w:t>
      </w:r>
    </w:p>
    <w:p>
      <w:pPr>
        <w:spacing w:after="0" w:line="119" w:lineRule="exact"/>
        <w:rPr>
          <w:sz w:val="20"/>
          <w:szCs w:val="20"/>
          <w:color w:val="auto"/>
        </w:rPr>
      </w:pPr>
    </w:p>
    <w:p>
      <w:pPr>
        <w:ind w:left="660" w:right="340"/>
        <w:spacing w:after="0" w:line="262" w:lineRule="auto"/>
        <w:rPr>
          <w:sz w:val="20"/>
          <w:szCs w:val="20"/>
          <w:color w:val="auto"/>
        </w:rPr>
      </w:pPr>
      <w:r>
        <w:rPr>
          <w:rFonts w:ascii="Arial" w:cs="Arial" w:eastAsia="Arial" w:hAnsi="Arial"/>
          <w:sz w:val="16"/>
          <w:szCs w:val="16"/>
          <w:color w:val="auto"/>
        </w:rPr>
        <w:t>A primary responsibility of the Board is planning for Chief Executive Officer succession and overseeing identification and development of other members of the senior leadership team. The Board and the compensation committee work with the Chief Executive Officer to plan for succession. For the Chief Executive Officer, the succession plan covers identification of internal candidates, and professional and leadership development plans for internal candidates. The Board from time to time reviews the Chief Executive Officer succession plan. The criteria used to assess potential Chief Executive Officer candidates are formulated based on the Company’s business strategies, and include strategic vision, leadership, and operational execution. The Board maintains an emergency succession contingency plan that is reviewed on an annual basis by the Board and compensation committee. The plan identifies roles and responsibilities of individuals who would act if an unforeseen event prevented the Chief Executive Officer from continuing to serve. The Board may review development and succession planning more frequently as it deems necessary or desirable.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Director Attendance at Annual Meetings</w:t>
      </w:r>
    </w:p>
    <w:p>
      <w:pPr>
        <w:spacing w:after="0" w:line="119" w:lineRule="exact"/>
        <w:rPr>
          <w:sz w:val="20"/>
          <w:szCs w:val="20"/>
          <w:color w:val="auto"/>
        </w:rPr>
      </w:pPr>
    </w:p>
    <w:p>
      <w:pPr>
        <w:ind w:left="660" w:right="260"/>
        <w:spacing w:after="0" w:line="271" w:lineRule="auto"/>
        <w:rPr>
          <w:sz w:val="20"/>
          <w:szCs w:val="20"/>
          <w:color w:val="auto"/>
        </w:rPr>
      </w:pPr>
      <w:r>
        <w:rPr>
          <w:rFonts w:ascii="Arial" w:cs="Arial" w:eastAsia="Arial" w:hAnsi="Arial"/>
          <w:sz w:val="16"/>
          <w:szCs w:val="16"/>
          <w:color w:val="auto"/>
        </w:rPr>
        <w:t>We do not have a formal policy regarding Board members attendance at annual meetings, but all members of our Board are encouraged to attend each annual meeting of stockholders. We attempt to schedule our annual meeting of stockholders at a time and date to accommodate attendance by members of our Board taking into account the directors’ schedules. One of our directors attended our 2025 Annual Meeting of Stockholders.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Code of Business Conduct and Ethics</w:t>
      </w:r>
    </w:p>
    <w:p>
      <w:pPr>
        <w:spacing w:after="0" w:line="119" w:lineRule="exact"/>
        <w:rPr>
          <w:sz w:val="20"/>
          <w:szCs w:val="20"/>
          <w:color w:val="auto"/>
        </w:rPr>
      </w:pPr>
    </w:p>
    <w:p>
      <w:pPr>
        <w:ind w:left="660" w:right="120"/>
        <w:spacing w:after="0" w:line="284" w:lineRule="auto"/>
        <w:rPr>
          <w:sz w:val="20"/>
          <w:szCs w:val="20"/>
          <w:color w:val="auto"/>
        </w:rPr>
      </w:pPr>
      <w:r>
        <w:rPr>
          <w:rFonts w:ascii="Arial" w:cs="Arial" w:eastAsia="Arial" w:hAnsi="Arial"/>
          <w:sz w:val="16"/>
          <w:szCs w:val="16"/>
          <w:color w:val="auto"/>
        </w:rPr>
        <w:t xml:space="preserve">We have adopted a Code of Business Conduct and Ethics (the “Code”) applicable to all of our Board members, employees, and executive officers, including our Chief Executive Officer (Principal Executive Officer), and Chief Financial Officer (Principal Financial Officer and Principal Accounting Officer). We have made the Code available on our website at </w:t>
      </w:r>
      <w:r>
        <w:rPr>
          <w:rFonts w:ascii="Arial" w:cs="Arial" w:eastAsia="Arial" w:hAnsi="Arial"/>
          <w:sz w:val="16"/>
          <w:szCs w:val="16"/>
          <w:i w:val="1"/>
          <w:iCs w:val="1"/>
          <w:color w:val="auto"/>
        </w:rPr>
        <w:t>www.ao-inc.com</w:t>
      </w:r>
      <w:r>
        <w:rPr>
          <w:rFonts w:ascii="Arial" w:cs="Arial" w:eastAsia="Arial" w:hAnsi="Arial"/>
          <w:sz w:val="16"/>
          <w:szCs w:val="16"/>
          <w:color w:val="auto"/>
        </w:rPr>
        <w:t>.</w:t>
      </w:r>
    </w:p>
    <w:p>
      <w:pPr>
        <w:spacing w:after="0" w:line="49" w:lineRule="exact"/>
        <w:rPr>
          <w:sz w:val="20"/>
          <w:szCs w:val="20"/>
          <w:color w:val="auto"/>
        </w:rPr>
      </w:pPr>
    </w:p>
    <w:p>
      <w:pPr>
        <w:ind w:left="660"/>
        <w:spacing w:after="0" w:line="271" w:lineRule="auto"/>
        <w:rPr>
          <w:sz w:val="20"/>
          <w:szCs w:val="20"/>
          <w:color w:val="auto"/>
        </w:rPr>
      </w:pPr>
      <w:r>
        <w:rPr>
          <w:rFonts w:ascii="Arial" w:cs="Arial" w:eastAsia="Arial" w:hAnsi="Arial"/>
          <w:sz w:val="16"/>
          <w:szCs w:val="16"/>
          <w:color w:val="auto"/>
        </w:rPr>
        <w:t xml:space="preserve">We intend to satisfy the public disclosure requirements regarding (1) any amendments to the Code, or (2) any waivers under the Code given to our Principal Executive Officer, Principal Financial Officer, and Principal Accounting Officer by posting such information on our website at </w:t>
      </w:r>
      <w:r>
        <w:rPr>
          <w:rFonts w:ascii="Arial" w:cs="Arial" w:eastAsia="Arial" w:hAnsi="Arial"/>
          <w:sz w:val="16"/>
          <w:szCs w:val="16"/>
          <w:i w:val="1"/>
          <w:iCs w:val="1"/>
          <w:color w:val="auto"/>
        </w:rPr>
        <w:t>www.ao-inc.com</w:t>
      </w:r>
      <w:r>
        <w:rPr>
          <w:rFonts w:ascii="Arial" w:cs="Arial" w:eastAsia="Arial" w:hAnsi="Arial"/>
          <w:sz w:val="16"/>
          <w:szCs w:val="16"/>
          <w:color w:val="auto"/>
        </w:rPr>
        <w:t>. A printed copy of the Code may also be obtained by any stockholder free of charge upon request to the Corporate Secretary, Applied Optoelectronics, Inc., 13139 Jess Pirtle Blvd., Sugar Land, TX 77478.</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Compensation Committee Interlocks and Insider Participation</w:t>
      </w:r>
    </w:p>
    <w:p>
      <w:pPr>
        <w:spacing w:after="0" w:line="119" w:lineRule="exact"/>
        <w:rPr>
          <w:sz w:val="20"/>
          <w:szCs w:val="20"/>
          <w:color w:val="auto"/>
        </w:rPr>
      </w:pPr>
    </w:p>
    <w:p>
      <w:pPr>
        <w:ind w:left="660" w:right="40"/>
        <w:spacing w:after="0" w:line="271" w:lineRule="auto"/>
        <w:rPr>
          <w:sz w:val="20"/>
          <w:szCs w:val="20"/>
          <w:color w:val="auto"/>
        </w:rPr>
      </w:pPr>
      <w:r>
        <w:rPr>
          <w:rFonts w:ascii="Arial" w:cs="Arial" w:eastAsia="Arial" w:hAnsi="Arial"/>
          <w:sz w:val="16"/>
          <w:szCs w:val="16"/>
          <w:color w:val="auto"/>
        </w:rPr>
        <w:t>Messrs. Yeh and Lin and Dr. Loboa served on our Compensation Committee in fiscal 2025. None of our employees, executive officers, or former executive officers serve as a member of our compensation committee, and none of our executive officers serve on any other committee serving an equivalent function for any other entity that has one or more of its executive officers serving as a member of our Board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201295</wp:posOffset>
            </wp:positionV>
            <wp:extent cx="334010" cy="162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28"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18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Compensation Policies and Risk Management Practices</w:t>
      </w:r>
    </w:p>
    <w:p>
      <w:pPr>
        <w:spacing w:after="0" w:line="119" w:lineRule="exact"/>
        <w:rPr>
          <w:sz w:val="20"/>
          <w:szCs w:val="20"/>
          <w:color w:val="auto"/>
        </w:rPr>
      </w:pPr>
    </w:p>
    <w:p>
      <w:pPr>
        <w:ind w:left="660" w:right="100"/>
        <w:spacing w:after="0" w:line="269" w:lineRule="auto"/>
        <w:rPr>
          <w:sz w:val="20"/>
          <w:szCs w:val="20"/>
          <w:color w:val="auto"/>
        </w:rPr>
      </w:pPr>
      <w:r>
        <w:rPr>
          <w:rFonts w:ascii="Arial" w:cs="Arial" w:eastAsia="Arial" w:hAnsi="Arial"/>
          <w:sz w:val="16"/>
          <w:szCs w:val="16"/>
          <w:color w:val="auto"/>
        </w:rPr>
        <w:t>We do not believe that our compensation programs create risks that are reasonably likely to have a material adverse effect on our Company. We believe that the combination of different types of compensation as well as the structure and overall amount of compensation, together with our internal controls and oversight by the Board, mitigates potential risks. We also provide a base level of equity compensation through our equity incentive program, helping to smooth out the impact of unexpected challenges to our operating plan.</w:t>
      </w:r>
    </w:p>
    <w:p>
      <w:pPr>
        <w:spacing w:after="0" w:line="62" w:lineRule="exact"/>
        <w:rPr>
          <w:sz w:val="20"/>
          <w:szCs w:val="20"/>
          <w:color w:val="auto"/>
        </w:rPr>
      </w:pPr>
    </w:p>
    <w:p>
      <w:pPr>
        <w:ind w:left="660" w:right="40"/>
        <w:spacing w:after="0" w:line="280" w:lineRule="auto"/>
        <w:rPr>
          <w:sz w:val="20"/>
          <w:szCs w:val="20"/>
          <w:color w:val="auto"/>
        </w:rPr>
      </w:pPr>
      <w:r>
        <w:rPr>
          <w:rFonts w:ascii="Arial" w:cs="Arial" w:eastAsia="Arial" w:hAnsi="Arial"/>
          <w:sz w:val="15"/>
          <w:szCs w:val="15"/>
          <w:color w:val="auto"/>
        </w:rPr>
        <w:t>One of the key functions of the Board is informed oversight of our various processes for managing risk. The Board administers this oversight function directly through the Board as a whole, as well as through the standing committees of the Board that address risks associated with their respective areas of oversight. In particular, our Board is responsible for monitoring and assessing risk exposure in our strategic plans, development programs, corporate goals and operating plans, and cybersecurity. Our audit committee has the responsibility to consider and discuss our major exposures to financial risk and the steps our management takes to monitor and control these exposures, including guidelines, policies, and processes. The audit committee also monitors our compliance with various legal and regulatory requirements, monitors our whistleblower system, and oversees the performance of our internal audit function. Our nominating and corporate governance committee monitors the effectiveness of our corporate governance guidelines and policies. Our compensation committee assesses and monitors whether any of our compensation policies and programs has the potential to encourage excessive risk-taking. In addition, the Board meets with certain members of our executive team, including the heads of our different organizational functions, who discuss the risks and exposures involved in their respective areas of responsibility as well as any developments that could impact our risk profile or other aspects of our business. The Board considers the Company’s risk profile and other aspects of our business in assessing the leadership structure of the Board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5342890</wp:posOffset>
            </wp:positionV>
            <wp:extent cx="334010" cy="162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19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0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321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40"/>
        <w:spacing w:after="0" w:line="278" w:lineRule="auto"/>
        <w:rPr>
          <w:sz w:val="20"/>
          <w:szCs w:val="20"/>
          <w:color w:val="auto"/>
        </w:rPr>
      </w:pPr>
      <w:r>
        <w:rPr>
          <w:rFonts w:ascii="Arial" w:cs="Arial" w:eastAsia="Arial" w:hAnsi="Arial"/>
          <w:sz w:val="29"/>
          <w:szCs w:val="29"/>
          <w:b w:val="1"/>
          <w:bCs w:val="1"/>
          <w:color w:val="4834BA"/>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36830</wp:posOffset>
            </wp:positionV>
            <wp:extent cx="5966460" cy="6597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6460" cy="659765"/>
                    </a:xfrm>
                    <a:prstGeom prst="rect">
                      <a:avLst/>
                    </a:prstGeom>
                    <a:noFill/>
                  </pic:spPr>
                </pic:pic>
              </a:graphicData>
            </a:graphic>
          </wp:anchor>
        </w:drawing>
      </w:r>
    </w:p>
    <w:p>
      <w:pPr>
        <w:spacing w:after="0" w:line="158" w:lineRule="exact"/>
        <w:rPr>
          <w:sz w:val="20"/>
          <w:szCs w:val="20"/>
          <w:color w:val="auto"/>
        </w:rPr>
      </w:pPr>
    </w:p>
    <w:p>
      <w:pPr>
        <w:jc w:val="both"/>
        <w:ind w:left="780" w:right="900"/>
        <w:spacing w:after="0" w:line="258" w:lineRule="auto"/>
        <w:rPr>
          <w:sz w:val="20"/>
          <w:szCs w:val="20"/>
          <w:color w:val="auto"/>
        </w:rPr>
      </w:pPr>
      <w:r>
        <w:rPr>
          <w:rFonts w:ascii="Arial" w:cs="Arial" w:eastAsia="Arial" w:hAnsi="Arial"/>
          <w:sz w:val="22"/>
          <w:szCs w:val="22"/>
          <w:b w:val="1"/>
          <w:bCs w:val="1"/>
          <w:color w:val="FFFFFF"/>
        </w:rPr>
        <w:t>The Board of Directors unanimously recommends that you vote “FOR” the ratification of the appointment of Grant Thornton as our independent registered public accounting firm for the fiscal year ending December 31, 2026.</w:t>
      </w:r>
    </w:p>
    <w:p>
      <w:pPr>
        <w:spacing w:after="0" w:line="306" w:lineRule="exact"/>
        <w:rPr>
          <w:sz w:val="20"/>
          <w:szCs w:val="20"/>
          <w:color w:val="auto"/>
        </w:rPr>
      </w:pPr>
    </w:p>
    <w:p>
      <w:pPr>
        <w:ind w:left="660"/>
        <w:spacing w:after="0" w:line="271" w:lineRule="auto"/>
        <w:rPr>
          <w:sz w:val="20"/>
          <w:szCs w:val="20"/>
          <w:color w:val="auto"/>
        </w:rPr>
      </w:pPr>
      <w:r>
        <w:rPr>
          <w:rFonts w:ascii="Arial" w:cs="Arial" w:eastAsia="Arial" w:hAnsi="Arial"/>
          <w:sz w:val="16"/>
          <w:szCs w:val="16"/>
          <w:color w:val="auto"/>
        </w:rPr>
        <w:t>The audit committee of our Board has selected Grant Thornton LLP (“Grant Thornton”) to serve as our independent registered public accounting firm for the fiscal year ending December 31, 2026. Grant Thornton has served as our auditor since 2008. A representative of Grant Thornton is expected to be present at the Annual Meeting to be available to provide a statement if they desire to do so and respond to appropriate questions.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Fees Billed by Grant Thornton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aggregate fees billed by Grant Thornton for services provided in the fiscal years ended</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December 31, 2025 and 2024:</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77"/>
        </w:trPr>
        <w:tc>
          <w:tcPr>
            <w:tcW w:w="4400" w:type="dxa"/>
            <w:vAlign w:val="bottom"/>
            <w:tcBorders>
              <w:bottom w:val="single" w:sz="8" w:color="4834BA"/>
            </w:tcBorders>
            <w:shd w:val="clear" w:color="auto" w:fill="4834BA"/>
          </w:tcPr>
          <w:p>
            <w:pPr>
              <w:spacing w:after="0"/>
              <w:rPr>
                <w:sz w:val="24"/>
                <w:szCs w:val="24"/>
                <w:color w:val="auto"/>
              </w:rPr>
            </w:pPr>
          </w:p>
        </w:tc>
        <w:tc>
          <w:tcPr>
            <w:tcW w:w="3940" w:type="dxa"/>
            <w:vAlign w:val="bottom"/>
            <w:tcBorders>
              <w:bottom w:val="single" w:sz="8" w:color="4834BA"/>
            </w:tcBorders>
            <w:shd w:val="clear" w:color="auto" w:fill="4834BA"/>
          </w:tcPr>
          <w:p>
            <w:pPr>
              <w:jc w:val="right"/>
              <w:ind w:right="99"/>
              <w:spacing w:after="0"/>
              <w:rPr>
                <w:sz w:val="20"/>
                <w:szCs w:val="20"/>
                <w:color w:val="auto"/>
              </w:rPr>
            </w:pPr>
            <w:r>
              <w:rPr>
                <w:rFonts w:ascii="Arial" w:cs="Arial" w:eastAsia="Arial" w:hAnsi="Arial"/>
                <w:sz w:val="16"/>
                <w:szCs w:val="16"/>
                <w:b w:val="1"/>
                <w:bCs w:val="1"/>
                <w:color w:val="FFFFFF"/>
              </w:rPr>
              <w:t>Fiscal 2025</w:t>
            </w:r>
          </w:p>
        </w:tc>
        <w:tc>
          <w:tcPr>
            <w:tcW w:w="1060" w:type="dxa"/>
            <w:vAlign w:val="bottom"/>
            <w:tcBorders>
              <w:bottom w:val="single" w:sz="8" w:color="4834BA"/>
            </w:tcBorders>
            <w:shd w:val="clear" w:color="auto" w:fill="4834BA"/>
          </w:tcPr>
          <w:p>
            <w:pPr>
              <w:jc w:val="right"/>
              <w:spacing w:after="0"/>
              <w:rPr>
                <w:sz w:val="20"/>
                <w:szCs w:val="20"/>
                <w:color w:val="auto"/>
              </w:rPr>
            </w:pPr>
            <w:r>
              <w:rPr>
                <w:rFonts w:ascii="Arial" w:cs="Arial" w:eastAsia="Arial" w:hAnsi="Arial"/>
                <w:sz w:val="16"/>
                <w:szCs w:val="16"/>
                <w:b w:val="1"/>
                <w:bCs w:val="1"/>
                <w:color w:val="FFFFFF"/>
              </w:rPr>
              <w:t>Fiscal 2024</w:t>
            </w:r>
          </w:p>
        </w:tc>
      </w:tr>
      <w:tr>
        <w:trPr>
          <w:trHeight w:val="270"/>
        </w:trPr>
        <w:tc>
          <w:tcPr>
            <w:tcW w:w="4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Audit fees</w:t>
            </w:r>
            <w:r>
              <w:rPr>
                <w:rFonts w:ascii="Arial" w:cs="Arial" w:eastAsia="Arial" w:hAnsi="Arial"/>
                <w:sz w:val="19"/>
                <w:szCs w:val="19"/>
                <w:color w:val="auto"/>
                <w:vertAlign w:val="superscript"/>
              </w:rPr>
              <w:t>(1)</w:t>
            </w:r>
          </w:p>
        </w:tc>
        <w:tc>
          <w:tcPr>
            <w:tcW w:w="3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$1,822,450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$1,683,603</w:t>
            </w:r>
          </w:p>
        </w:tc>
      </w:tr>
      <w:tr>
        <w:trPr>
          <w:trHeight w:val="250"/>
        </w:trPr>
        <w:tc>
          <w:tcPr>
            <w:tcW w:w="44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19"/>
                <w:szCs w:val="19"/>
                <w:color w:val="auto"/>
                <w:vertAlign w:val="superscript"/>
              </w:rPr>
              <w:t>(2)</w:t>
            </w:r>
          </w:p>
        </w:tc>
        <w:tc>
          <w:tcPr>
            <w:tcW w:w="394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Tax fees</w:t>
            </w:r>
            <w:r>
              <w:rPr>
                <w:rFonts w:ascii="Arial" w:cs="Arial" w:eastAsia="Arial" w:hAnsi="Arial"/>
                <w:sz w:val="19"/>
                <w:szCs w:val="19"/>
                <w:color w:val="auto"/>
                <w:vertAlign w:val="superscript"/>
              </w:rPr>
              <w:t>(3)</w:t>
            </w:r>
          </w:p>
        </w:tc>
        <w:tc>
          <w:tcPr>
            <w:tcW w:w="3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2"/>
        </w:trPr>
        <w:tc>
          <w:tcPr>
            <w:tcW w:w="44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All other fees</w:t>
            </w:r>
          </w:p>
        </w:tc>
        <w:tc>
          <w:tcPr>
            <w:tcW w:w="39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44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3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$1,822,450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$1,683,603</w:t>
            </w:r>
          </w:p>
        </w:tc>
      </w:tr>
      <w:tr>
        <w:trPr>
          <w:trHeight w:val="55"/>
        </w:trPr>
        <w:tc>
          <w:tcPr>
            <w:tcW w:w="4400" w:type="dxa"/>
            <w:vAlign w:val="bottom"/>
            <w:tcBorders>
              <w:bottom w:val="single" w:sz="8" w:color="auto"/>
            </w:tcBorders>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bl>
    <w:p>
      <w:pPr>
        <w:spacing w:after="0" w:line="80" w:lineRule="exact"/>
        <w:rPr>
          <w:sz w:val="20"/>
          <w:szCs w:val="20"/>
          <w:color w:val="auto"/>
        </w:rPr>
      </w:pPr>
    </w:p>
    <w:p>
      <w:pPr>
        <w:ind w:left="1240" w:right="80" w:hanging="358"/>
        <w:spacing w:after="0" w:line="264"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 fees” consist of fees billed for professional services rendered in connection with the audit of our consolidated annual financial statements, audit of internal control over financial reporting, and review of the interim consolidated financial statements included in quarterly reports and services that are normally provided by the independent auditor in connection with statutory and regulatory filings or engagements, consultations concerning financial reporting in connection with acquisitions and issuances of auditor consents and comfort letters in connection with SEC registration statements and related SEC registered securities offerings. Other than audit fees, there were no other fees incurred for services provided by Grant Thornton during the fiscal year ended December 31, 2025.</w:t>
      </w:r>
    </w:p>
    <w:p>
      <w:pPr>
        <w:spacing w:after="0" w:line="41" w:lineRule="exact"/>
        <w:rPr>
          <w:rFonts w:ascii="Arial" w:cs="Arial" w:eastAsia="Arial" w:hAnsi="Arial"/>
          <w:sz w:val="16"/>
          <w:szCs w:val="16"/>
          <w:color w:val="auto"/>
        </w:rPr>
      </w:pPr>
    </w:p>
    <w:p>
      <w:pPr>
        <w:ind w:left="1240" w:right="20" w:hanging="358"/>
        <w:spacing w:after="0" w:line="304"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“Audit-Related Fees” consist of fees for assurance and related services that are reasonably related to the performance of the audit or review of our financial statements and internal control over financial reporting.</w:t>
      </w:r>
    </w:p>
    <w:p>
      <w:pPr>
        <w:spacing w:after="0" w:line="6" w:lineRule="exact"/>
        <w:rPr>
          <w:rFonts w:ascii="Arial" w:cs="Arial" w:eastAsia="Arial" w:hAnsi="Arial"/>
          <w:sz w:val="16"/>
          <w:szCs w:val="16"/>
          <w:color w:val="auto"/>
        </w:rPr>
      </w:pPr>
    </w:p>
    <w:p>
      <w:pPr>
        <w:ind w:left="1240" w:hanging="358"/>
        <w:spacing w:after="0"/>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“Tax Fees” consist of fees for tax compliance, tax advice and tax planning.</w:t>
      </w:r>
    </w:p>
    <w:p>
      <w:pPr>
        <w:spacing w:after="0" w:line="207" w:lineRule="exact"/>
        <w:rPr>
          <w:sz w:val="20"/>
          <w:szCs w:val="20"/>
          <w:color w:val="auto"/>
        </w:rPr>
      </w:pPr>
    </w:p>
    <w:p>
      <w:pPr>
        <w:ind w:left="660" w:right="1000"/>
        <w:spacing w:after="0" w:line="285" w:lineRule="auto"/>
        <w:rPr>
          <w:sz w:val="20"/>
          <w:szCs w:val="20"/>
          <w:color w:val="auto"/>
        </w:rPr>
      </w:pPr>
      <w:r>
        <w:rPr>
          <w:rFonts w:ascii="Arial" w:cs="Arial" w:eastAsia="Arial" w:hAnsi="Arial"/>
          <w:sz w:val="22"/>
          <w:szCs w:val="22"/>
          <w:b w:val="1"/>
          <w:bCs w:val="1"/>
          <w:color w:val="auto"/>
        </w:rPr>
        <w:t>Policy on Audit Committee Pre-approval of Audit and Non-audit Services Performed by Independent Registered Public Accounting Firm</w:t>
      </w:r>
    </w:p>
    <w:p>
      <w:pPr>
        <w:spacing w:after="0" w:line="35" w:lineRule="exact"/>
        <w:rPr>
          <w:sz w:val="20"/>
          <w:szCs w:val="20"/>
          <w:color w:val="auto"/>
        </w:rPr>
      </w:pPr>
    </w:p>
    <w:p>
      <w:pPr>
        <w:ind w:left="660" w:right="60"/>
        <w:spacing w:after="0" w:line="262" w:lineRule="auto"/>
        <w:rPr>
          <w:sz w:val="20"/>
          <w:szCs w:val="20"/>
          <w:color w:val="auto"/>
        </w:rPr>
      </w:pPr>
      <w:r>
        <w:rPr>
          <w:rFonts w:ascii="Arial" w:cs="Arial" w:eastAsia="Arial" w:hAnsi="Arial"/>
          <w:sz w:val="16"/>
          <w:szCs w:val="16"/>
          <w:color w:val="auto"/>
        </w:rPr>
        <w:t>The audit committee has determined that all services performed by Grant Thornton for the fiscal years ended December 31, 2025 and 2024 were compatible with maintaining the independence of Grant Thornton. The audit committee pre-approves all audit and permissible non-audit services provided by our independent registered public accounting firm. These services may include audit services, audit-related services, tax services and other services. Unless the specific service has been pre-approved with respect to that year, the audit committee must approve the permitted service before the independent registered public accounting firm is engaged to perform it. In 2025, 100% of the services rendered to us by Grant Thornton were pre-approved by the audit committee. All of the hours expended on the principal accountant’s engagement to audit the financial statements of the Company for the year 2025 were attributable to work performed by full-time, permanent employees of the principal accountant. The independent registered public accounting firm and management are required to periodically report to the audit committee regarding the extent of services provided by the independent registered public accounting firm in accordance with this pre-approval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499745</wp:posOffset>
            </wp:positionV>
            <wp:extent cx="334010" cy="162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20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 and Board of Directors Recommendation</w:t>
      </w:r>
    </w:p>
    <w:p>
      <w:pPr>
        <w:spacing w:after="0" w:line="126" w:lineRule="exact"/>
        <w:rPr>
          <w:sz w:val="20"/>
          <w:szCs w:val="20"/>
          <w:color w:val="auto"/>
        </w:rPr>
      </w:pPr>
    </w:p>
    <w:p>
      <w:pPr>
        <w:ind w:left="660" w:right="80"/>
        <w:spacing w:after="0" w:line="262" w:lineRule="auto"/>
        <w:rPr>
          <w:sz w:val="20"/>
          <w:szCs w:val="20"/>
          <w:color w:val="auto"/>
        </w:rPr>
      </w:pPr>
      <w:r>
        <w:rPr>
          <w:rFonts w:ascii="Arial" w:cs="Arial" w:eastAsia="Arial" w:hAnsi="Arial"/>
          <w:sz w:val="16"/>
          <w:szCs w:val="16"/>
          <w:color w:val="auto"/>
        </w:rPr>
        <w:t>The affirmative vote of a majority of the votes properly cast on the proposal at the Annual Meeting, where a quorum is present, is required for approval of this proposal. Abstentions will have no effect on the outcome of the proposal, and there should be no broker non-votes on the proposal because brokers have discretion to vote on the proposal. Your bank, broker, or other nominee will have discretion to vote any uninstructed shares on this proposal. If the stockholders do not approve the ratification of Grant Thornton as our independent registered public accounting firm, the audit committee will review its future selection in light of the vote result, but may still appoint Grant Thornton in the future. Even if the selection is ratified, the audit committee in its discretion may appoint a different registered public accounting firm at any time during the year if the committee determines that such change would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6720840</wp:posOffset>
            </wp:positionV>
            <wp:extent cx="334010" cy="162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21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REPORT OF THE AUDIT COMMITTEE</w:t>
      </w:r>
    </w:p>
    <w:p>
      <w:pPr>
        <w:spacing w:after="0" w:line="119" w:lineRule="exact"/>
        <w:rPr>
          <w:sz w:val="20"/>
          <w:szCs w:val="20"/>
          <w:color w:val="auto"/>
        </w:rPr>
      </w:pPr>
    </w:p>
    <w:p>
      <w:pPr>
        <w:ind w:left="660" w:right="80"/>
        <w:spacing w:after="0" w:line="269" w:lineRule="auto"/>
        <w:rPr>
          <w:sz w:val="20"/>
          <w:szCs w:val="20"/>
          <w:color w:val="auto"/>
        </w:rPr>
      </w:pPr>
      <w:r>
        <w:rPr>
          <w:rFonts w:ascii="Arial" w:cs="Arial" w:eastAsia="Arial" w:hAnsi="Arial"/>
          <w:sz w:val="16"/>
          <w:szCs w:val="16"/>
          <w:color w:val="auto"/>
        </w:rPr>
        <w:t>The audit committee oversees the Company’s financial reporting process on behalf of the Board. The audit committee is responsible for retaining the Company’s independent registered public accounting firm, evaluating its independence, qualifications, and performance, and approving in advance the engagement of the independent registered public accounting firm for all audit and non-audit services. The audit committee’s specific responsibilities are set forth in its charter. The audit committee reviews its charter at least annually.</w:t>
      </w:r>
    </w:p>
    <w:p>
      <w:pPr>
        <w:spacing w:after="0" w:line="62" w:lineRule="exact"/>
        <w:rPr>
          <w:sz w:val="20"/>
          <w:szCs w:val="20"/>
          <w:color w:val="auto"/>
        </w:rPr>
      </w:pPr>
    </w:p>
    <w:p>
      <w:pPr>
        <w:ind w:left="660" w:right="100"/>
        <w:spacing w:after="0" w:line="271" w:lineRule="auto"/>
        <w:rPr>
          <w:sz w:val="20"/>
          <w:szCs w:val="20"/>
          <w:color w:val="auto"/>
        </w:rPr>
      </w:pPr>
      <w:r>
        <w:rPr>
          <w:rFonts w:ascii="Arial" w:cs="Arial" w:eastAsia="Arial" w:hAnsi="Arial"/>
          <w:sz w:val="16"/>
          <w:szCs w:val="16"/>
          <w:color w:val="auto"/>
        </w:rPr>
        <w:t>Management has the primary responsibility for the financial statements and the financial reporting process, including internal control systems, and procedures designed to ensure compliance with applicable laws and regulations. The Company’s independent registered public accounting firm, Grant Thornton, is responsible for expressing an opinion as to the conformity of our audited financial statements with generally accepted accounting principles.</w:t>
      </w:r>
    </w:p>
    <w:p>
      <w:pPr>
        <w:spacing w:after="0" w:line="73" w:lineRule="exact"/>
        <w:rPr>
          <w:sz w:val="20"/>
          <w:szCs w:val="20"/>
          <w:color w:val="auto"/>
        </w:rPr>
      </w:pPr>
    </w:p>
    <w:p>
      <w:pPr>
        <w:ind w:left="660"/>
        <w:spacing w:after="0" w:line="265" w:lineRule="auto"/>
        <w:rPr>
          <w:sz w:val="20"/>
          <w:szCs w:val="20"/>
          <w:color w:val="auto"/>
        </w:rPr>
      </w:pPr>
      <w:r>
        <w:rPr>
          <w:rFonts w:ascii="Arial" w:cs="Arial" w:eastAsia="Arial" w:hAnsi="Arial"/>
          <w:sz w:val="16"/>
          <w:szCs w:val="16"/>
          <w:color w:val="auto"/>
        </w:rPr>
        <w:t>The audit committee has reviewed and discussed with management the Company’s audited financial statements. The audit committee has discussed with the independent registered public accounting firm the matters required to be discussed under the rules adopted by the Public Company Accounting Oversight Board (“PCAOB”) and the SEC. In addition, the audit committee has met with the independent registered public accounting firm, with and without management present, to discuss the overall scope of the independent registered public accounting firm’s audit, the results of its examinations, its evaluations of the Company’s internal controls and the overall quality of the Company’s financial reporting.</w:t>
      </w:r>
    </w:p>
    <w:p>
      <w:pPr>
        <w:spacing w:after="0" w:line="77" w:lineRule="exact"/>
        <w:rPr>
          <w:sz w:val="20"/>
          <w:szCs w:val="20"/>
          <w:color w:val="auto"/>
        </w:rPr>
      </w:pPr>
    </w:p>
    <w:p>
      <w:pPr>
        <w:ind w:left="660" w:right="240"/>
        <w:spacing w:after="0" w:line="271" w:lineRule="auto"/>
        <w:rPr>
          <w:sz w:val="20"/>
          <w:szCs w:val="20"/>
          <w:color w:val="auto"/>
        </w:rPr>
      </w:pPr>
      <w:r>
        <w:rPr>
          <w:rFonts w:ascii="Arial" w:cs="Arial" w:eastAsia="Arial" w:hAnsi="Arial"/>
          <w:sz w:val="16"/>
          <w:szCs w:val="16"/>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60" w:lineRule="exact"/>
        <w:rPr>
          <w:sz w:val="20"/>
          <w:szCs w:val="20"/>
          <w:color w:val="auto"/>
        </w:rPr>
      </w:pPr>
    </w:p>
    <w:p>
      <w:pPr>
        <w:jc w:val="both"/>
        <w:ind w:left="660" w:right="600"/>
        <w:spacing w:after="0" w:line="284" w:lineRule="auto"/>
        <w:rPr>
          <w:sz w:val="20"/>
          <w:szCs w:val="20"/>
          <w:color w:val="auto"/>
        </w:rPr>
      </w:pPr>
      <w:r>
        <w:rPr>
          <w:rFonts w:ascii="Arial" w:cs="Arial" w:eastAsia="Arial" w:hAnsi="Arial"/>
          <w:sz w:val="16"/>
          <w:szCs w:val="16"/>
          <w:color w:val="auto"/>
        </w:rPr>
        <w:t>Based on the review and discussions referred to above, the audit committee recommended to the Company’s Board that the Company’s audited financial statements be included in the Company’s Annual Report on Form 10-K for the fiscal year ended December 31, 2025.</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Respectfully submitted,</w:t>
      </w:r>
    </w:p>
    <w:p>
      <w:pPr>
        <w:spacing w:after="0" w:line="127"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AUDIT COMMITTEE</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 xml:space="preserve">Richard B. Black, </w:t>
      </w:r>
      <w:r>
        <w:rPr>
          <w:rFonts w:ascii="Arial" w:cs="Arial" w:eastAsia="Arial" w:hAnsi="Arial"/>
          <w:sz w:val="16"/>
          <w:szCs w:val="16"/>
          <w:i w:val="1"/>
          <w:iCs w:val="1"/>
          <w:color w:val="auto"/>
        </w:rPr>
        <w:t>Chairman</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Cynthia (Cindy) DeLaney</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Dr. Min-Chu (Mike)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3896360</wp:posOffset>
            </wp:positionV>
            <wp:extent cx="334010"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22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0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321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360"/>
        <w:spacing w:after="0" w:line="278" w:lineRule="auto"/>
        <w:rPr>
          <w:sz w:val="20"/>
          <w:szCs w:val="20"/>
          <w:color w:val="auto"/>
        </w:rPr>
      </w:pPr>
      <w:r>
        <w:rPr>
          <w:rFonts w:ascii="Arial" w:cs="Arial" w:eastAsia="Arial" w:hAnsi="Arial"/>
          <w:sz w:val="29"/>
          <w:szCs w:val="29"/>
          <w:b w:val="1"/>
          <w:bCs w:val="1"/>
          <w:color w:val="4834BA"/>
        </w:rPr>
        <w:t>ADVISORY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36830</wp:posOffset>
            </wp:positionV>
            <wp:extent cx="5966460" cy="5918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158" w:lineRule="exact"/>
        <w:rPr>
          <w:sz w:val="20"/>
          <w:szCs w:val="20"/>
          <w:color w:val="auto"/>
        </w:rPr>
      </w:pPr>
    </w:p>
    <w:p>
      <w:pPr>
        <w:ind w:left="780" w:right="1100"/>
        <w:spacing w:after="0" w:line="353" w:lineRule="auto"/>
        <w:rPr>
          <w:sz w:val="20"/>
          <w:szCs w:val="20"/>
          <w:color w:val="auto"/>
        </w:rPr>
      </w:pPr>
      <w:r>
        <w:rPr>
          <w:rFonts w:ascii="Arial" w:cs="Arial" w:eastAsia="Arial" w:hAnsi="Arial"/>
          <w:sz w:val="19"/>
          <w:szCs w:val="19"/>
          <w:b w:val="1"/>
          <w:bCs w:val="1"/>
          <w:color w:val="FFFFFF"/>
        </w:rPr>
        <w:t>The Board of Directors unanimously recommends that you vote “FOR” the approval of the compensation of our named executive officers as described in this proxy statement.</w:t>
      </w:r>
    </w:p>
    <w:p>
      <w:pPr>
        <w:spacing w:after="0" w:line="371" w:lineRule="exact"/>
        <w:rPr>
          <w:sz w:val="20"/>
          <w:szCs w:val="20"/>
          <w:color w:val="auto"/>
        </w:rPr>
      </w:pPr>
    </w:p>
    <w:p>
      <w:pPr>
        <w:ind w:left="660"/>
        <w:spacing w:after="0" w:line="271" w:lineRule="auto"/>
        <w:rPr>
          <w:sz w:val="20"/>
          <w:szCs w:val="20"/>
          <w:color w:val="auto"/>
        </w:rPr>
      </w:pPr>
      <w:r>
        <w:rPr>
          <w:rFonts w:ascii="Arial" w:cs="Arial" w:eastAsia="Arial" w:hAnsi="Arial"/>
          <w:sz w:val="16"/>
          <w:szCs w:val="16"/>
          <w:color w:val="auto"/>
        </w:rPr>
        <w:t>In accordance with Section 14A of the Exchange Act and related rules of the SEC, we are providing stockholders an advisory vote, or say-on-pay vote, on the compensation of our named executive officers as described in this Proxy Statement. We must provide this opportunity to our stockholders at least once every three years. Our Board has determined to provide this opportunity on an annual basis.</w:t>
      </w:r>
    </w:p>
    <w:p>
      <w:pPr>
        <w:spacing w:after="0" w:line="60" w:lineRule="exact"/>
        <w:rPr>
          <w:sz w:val="20"/>
          <w:szCs w:val="20"/>
          <w:color w:val="auto"/>
        </w:rPr>
      </w:pPr>
    </w:p>
    <w:p>
      <w:pPr>
        <w:ind w:left="660" w:right="120"/>
        <w:spacing w:after="0" w:line="271" w:lineRule="auto"/>
        <w:rPr>
          <w:sz w:val="20"/>
          <w:szCs w:val="20"/>
          <w:color w:val="auto"/>
        </w:rPr>
      </w:pPr>
      <w:r>
        <w:rPr>
          <w:rFonts w:ascii="Arial" w:cs="Arial" w:eastAsia="Arial" w:hAnsi="Arial"/>
          <w:sz w:val="16"/>
          <w:szCs w:val="16"/>
          <w:color w:val="auto"/>
        </w:rPr>
        <w:t>At our 2025 Annual Meeting of Stockholders, 97.45% of votes cast voted in favor of the compensation of our named executive officers. The compensation committee interpreted stockholder approval of the executive compensation program at such a high level as indicating that a substantial majority of stockholders viewed the Company’s executive compensation program, plan design and governance as continuing to be well aligned with stockholder interests, their investor experience and business outcomes.</w:t>
      </w:r>
    </w:p>
    <w:p>
      <w:pPr>
        <w:spacing w:after="0" w:line="73" w:lineRule="exact"/>
        <w:rPr>
          <w:sz w:val="20"/>
          <w:szCs w:val="20"/>
          <w:color w:val="auto"/>
        </w:rPr>
      </w:pPr>
    </w:p>
    <w:p>
      <w:pPr>
        <w:ind w:left="660"/>
        <w:spacing w:after="0" w:line="271" w:lineRule="auto"/>
        <w:rPr>
          <w:sz w:val="20"/>
          <w:szCs w:val="20"/>
          <w:color w:val="auto"/>
        </w:rPr>
      </w:pPr>
      <w:r>
        <w:rPr>
          <w:rFonts w:ascii="Arial" w:cs="Arial" w:eastAsia="Arial" w:hAnsi="Arial"/>
          <w:sz w:val="16"/>
          <w:szCs w:val="16"/>
          <w:color w:val="auto"/>
        </w:rPr>
        <w:t>The say-on-pay vote is a non-binding vote on the compensation of our named executive officers as described in this Proxy Statement in the “Compensation Discussion and Analysis” section, the tabular disclosure regarding such compensation and accompanying narrative disclosure. The say-on-pay vote is not intended to address any specific item of compensation, but rather the overall compensation of our named executive officers and the philosophy, policies and practices described in this Proxy Statement.</w:t>
      </w:r>
    </w:p>
    <w:p>
      <w:pPr>
        <w:spacing w:after="0" w:line="73" w:lineRule="exact"/>
        <w:rPr>
          <w:sz w:val="20"/>
          <w:szCs w:val="20"/>
          <w:color w:val="auto"/>
        </w:rPr>
      </w:pPr>
    </w:p>
    <w:p>
      <w:pPr>
        <w:ind w:left="660" w:right="40"/>
        <w:spacing w:after="0" w:line="265" w:lineRule="auto"/>
        <w:rPr>
          <w:sz w:val="20"/>
          <w:szCs w:val="20"/>
          <w:color w:val="auto"/>
        </w:rPr>
      </w:pPr>
      <w:r>
        <w:rPr>
          <w:rFonts w:ascii="Arial" w:cs="Arial" w:eastAsia="Arial" w:hAnsi="Arial"/>
          <w:sz w:val="16"/>
          <w:szCs w:val="16"/>
          <w:color w:val="auto"/>
        </w:rPr>
        <w:t>In connection with this proposal, you are encouraged to carefully review the “Compensation Discussion and Analysis” section as well as the information contained in the compensation tables and accompanying narrative disclosure contained in this Proxy Statement. As described more fully in the “Compensation Discussion and Analysis” section and below, our compensation philosophy, policies and practices seek to pay for performance and align stockholder and executive interests. Consistent with that philosophy, the compensation committee of the Board believes our executive compensation program is reasonable and aligned with stockholder interests.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recommends that you vote in favor of the following advisory resolution:</w:t>
      </w:r>
    </w:p>
    <w:p>
      <w:pPr>
        <w:spacing w:after="0" w:line="127" w:lineRule="exact"/>
        <w:rPr>
          <w:sz w:val="20"/>
          <w:szCs w:val="20"/>
          <w:color w:val="auto"/>
        </w:rPr>
      </w:pPr>
    </w:p>
    <w:p>
      <w:pPr>
        <w:jc w:val="both"/>
        <w:ind w:left="660" w:right="240"/>
        <w:spacing w:after="0" w:line="275" w:lineRule="auto"/>
        <w:rPr>
          <w:sz w:val="20"/>
          <w:szCs w:val="20"/>
          <w:color w:val="auto"/>
        </w:rPr>
      </w:pPr>
      <w:r>
        <w:rPr>
          <w:rFonts w:ascii="Arial" w:cs="Arial" w:eastAsia="Arial" w:hAnsi="Arial"/>
          <w:sz w:val="16"/>
          <w:szCs w:val="16"/>
          <w:color w:val="auto"/>
        </w:rPr>
        <w:t>“RESOLVED, that the compensation paid to the Company’s named executive officers, as disclosed in the Proxy Statement for this Annual Meeting pursuant to Rule 402 of Regulation S-K, including the Compensation Discussion and Analysis, the compensation tables and accompanying narrative disclosure, is hereby approved.”</w:t>
      </w:r>
    </w:p>
    <w:p>
      <w:pPr>
        <w:spacing w:after="0" w:line="70" w:lineRule="exact"/>
        <w:rPr>
          <w:sz w:val="20"/>
          <w:szCs w:val="20"/>
          <w:color w:val="auto"/>
        </w:rPr>
      </w:pPr>
    </w:p>
    <w:p>
      <w:pPr>
        <w:ind w:left="660" w:right="300"/>
        <w:spacing w:after="0" w:line="304" w:lineRule="auto"/>
        <w:rPr>
          <w:sz w:val="20"/>
          <w:szCs w:val="20"/>
          <w:color w:val="auto"/>
        </w:rPr>
      </w:pPr>
      <w:r>
        <w:rPr>
          <w:rFonts w:ascii="Arial" w:cs="Arial" w:eastAsia="Arial" w:hAnsi="Arial"/>
          <w:sz w:val="16"/>
          <w:szCs w:val="16"/>
          <w:color w:val="auto"/>
        </w:rPr>
        <w:t>The vote on this proposal is advisory and nonbinding on the Company. However, the Board and the compensation committee will consider the outcome of the vote when making future compensation decisions regarding our named executive officers.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 and Board of Directors Recommendation</w:t>
      </w:r>
    </w:p>
    <w:p>
      <w:pPr>
        <w:spacing w:after="0" w:line="126" w:lineRule="exact"/>
        <w:rPr>
          <w:sz w:val="20"/>
          <w:szCs w:val="20"/>
          <w:color w:val="auto"/>
        </w:rPr>
      </w:pPr>
    </w:p>
    <w:p>
      <w:pPr>
        <w:ind w:left="660" w:right="160"/>
        <w:spacing w:after="0" w:line="275" w:lineRule="auto"/>
        <w:rPr>
          <w:sz w:val="20"/>
          <w:szCs w:val="20"/>
          <w:color w:val="auto"/>
        </w:rPr>
      </w:pPr>
      <w:r>
        <w:rPr>
          <w:rFonts w:ascii="Arial" w:cs="Arial" w:eastAsia="Arial" w:hAnsi="Arial"/>
          <w:sz w:val="16"/>
          <w:szCs w:val="16"/>
          <w:color w:val="auto"/>
        </w:rPr>
        <w:t>The affirmative vote of a majority of the votes properly cast on the proposal at the Annual Meeting, where a quorum is present, is required to approve this Proposal No. 3. Abstentions and broker non-votes are not treated as votes cast, and therefore will have no effect on this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1784985</wp:posOffset>
            </wp:positionV>
            <wp:extent cx="33401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23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COMPENSATION COMMITTEE REPORT</w:t>
      </w:r>
    </w:p>
    <w:p>
      <w:pPr>
        <w:spacing w:after="0" w:line="119" w:lineRule="exact"/>
        <w:rPr>
          <w:sz w:val="20"/>
          <w:szCs w:val="20"/>
          <w:color w:val="auto"/>
        </w:rPr>
      </w:pPr>
    </w:p>
    <w:p>
      <w:pPr>
        <w:ind w:left="660" w:right="120"/>
        <w:spacing w:after="0" w:line="271" w:lineRule="auto"/>
        <w:rPr>
          <w:sz w:val="20"/>
          <w:szCs w:val="20"/>
          <w:color w:val="auto"/>
        </w:rPr>
      </w:pPr>
      <w:r>
        <w:rPr>
          <w:rFonts w:ascii="Arial" w:cs="Arial" w:eastAsia="Arial" w:hAnsi="Arial"/>
          <w:sz w:val="16"/>
          <w:szCs w:val="16"/>
          <w:color w:val="auto"/>
        </w:rPr>
        <w:t>The compensation committee has reviewed and discussed the below section titled “Compensation Discussion and Analysis” with management. Based on such review and discussion, the compensation committee has recommended to the Board that the section titled “Compensation Discussion and Analysis” be included in the Company’s Annual Report on Form 10-K for the fiscal year ended December 31, 2025 and in this Proxy Statement.</w:t>
      </w:r>
    </w:p>
    <w:p>
      <w:pPr>
        <w:spacing w:after="0" w:line="7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Respectfully submitted,</w:t>
      </w:r>
    </w:p>
    <w:p>
      <w:pPr>
        <w:spacing w:after="0" w:line="22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COMPENSATION COMMITTEE</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 xml:space="preserve">William H. Yeh, </w:t>
      </w:r>
      <w:r>
        <w:rPr>
          <w:rFonts w:ascii="Arial" w:cs="Arial" w:eastAsia="Arial" w:hAnsi="Arial"/>
          <w:sz w:val="16"/>
          <w:szCs w:val="16"/>
          <w:i w:val="1"/>
          <w:iCs w:val="1"/>
          <w:color w:val="auto"/>
        </w:rPr>
        <w:t>Chairman</w:t>
      </w:r>
    </w:p>
    <w:p>
      <w:pPr>
        <w:spacing w:after="0" w:line="1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Che-Wei Lin</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Dr. Elizabeth Loboa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6362700</wp:posOffset>
            </wp:positionV>
            <wp:extent cx="334010" cy="162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24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0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321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106680</wp:posOffset>
            </wp:positionV>
            <wp:extent cx="608330" cy="797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8330" cy="797560"/>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106680</wp:posOffset>
            </wp:positionV>
            <wp:extent cx="608965" cy="797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8965" cy="797560"/>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106680</wp:posOffset>
            </wp:positionV>
            <wp:extent cx="608965" cy="797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8965" cy="79756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106680</wp:posOffset>
            </wp:positionV>
            <wp:extent cx="608330" cy="797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8330" cy="79756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106680</wp:posOffset>
            </wp:positionV>
            <wp:extent cx="608330" cy="797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833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Chih-Hsiang</w:t>
            </w:r>
          </w:p>
        </w:tc>
        <w:tc>
          <w:tcPr>
            <w:tcW w:w="1920" w:type="dxa"/>
            <w:vAlign w:val="bottom"/>
            <w:gridSpan w:val="4"/>
          </w:tcPr>
          <w:p>
            <w:pPr>
              <w:ind w:left="220"/>
              <w:spacing w:after="0"/>
              <w:rPr>
                <w:sz w:val="20"/>
                <w:szCs w:val="20"/>
                <w:color w:val="auto"/>
              </w:rPr>
            </w:pPr>
            <w:r>
              <w:rPr>
                <w:rFonts w:ascii="Arial" w:cs="Arial" w:eastAsia="Arial" w:hAnsi="Arial"/>
                <w:sz w:val="16"/>
                <w:szCs w:val="16"/>
                <w:b w:val="1"/>
                <w:bCs w:val="1"/>
                <w:color w:val="auto"/>
              </w:rPr>
              <w:t>Stefan J. Murry</w:t>
            </w:r>
          </w:p>
        </w:tc>
        <w:tc>
          <w:tcPr>
            <w:tcW w:w="2060" w:type="dxa"/>
            <w:vAlign w:val="bottom"/>
            <w:gridSpan w:val="3"/>
          </w:tcPr>
          <w:p>
            <w:pPr>
              <w:ind w:left="220"/>
              <w:spacing w:after="0"/>
              <w:rPr>
                <w:sz w:val="20"/>
                <w:szCs w:val="20"/>
                <w:color w:val="auto"/>
              </w:rPr>
            </w:pPr>
            <w:r>
              <w:rPr>
                <w:rFonts w:ascii="Arial" w:cs="Arial" w:eastAsia="Arial" w:hAnsi="Arial"/>
                <w:sz w:val="16"/>
                <w:szCs w:val="16"/>
                <w:b w:val="1"/>
                <w:bCs w:val="1"/>
                <w:color w:val="auto"/>
              </w:rPr>
              <w:t>Hung-Lun</w:t>
            </w:r>
          </w:p>
        </w:tc>
        <w:tc>
          <w:tcPr>
            <w:tcW w:w="1780" w:type="dxa"/>
            <w:vAlign w:val="bottom"/>
            <w:gridSpan w:val="4"/>
          </w:tcPr>
          <w:p>
            <w:pPr>
              <w:ind w:left="80"/>
              <w:spacing w:after="0"/>
              <w:rPr>
                <w:sz w:val="20"/>
                <w:szCs w:val="20"/>
                <w:color w:val="auto"/>
              </w:rPr>
            </w:pPr>
            <w:r>
              <w:rPr>
                <w:rFonts w:ascii="Arial" w:cs="Arial" w:eastAsia="Arial" w:hAnsi="Arial"/>
                <w:sz w:val="16"/>
                <w:szCs w:val="16"/>
                <w:b w:val="1"/>
                <w:bCs w:val="1"/>
                <w:color w:val="auto"/>
              </w:rPr>
              <w:t>Shu-Hua</w:t>
            </w:r>
          </w:p>
        </w:tc>
        <w:tc>
          <w:tcPr>
            <w:tcW w:w="1900" w:type="dxa"/>
            <w:vAlign w:val="bottom"/>
            <w:gridSpan w:val="2"/>
          </w:tcPr>
          <w:p>
            <w:pPr>
              <w:ind w:left="200"/>
              <w:spacing w:after="0"/>
              <w:rPr>
                <w:sz w:val="20"/>
                <w:szCs w:val="20"/>
                <w:color w:val="auto"/>
              </w:rPr>
            </w:pPr>
            <w:r>
              <w:rPr>
                <w:rFonts w:ascii="Arial" w:cs="Arial" w:eastAsia="Arial" w:hAnsi="Arial"/>
                <w:sz w:val="16"/>
                <w:szCs w:val="16"/>
                <w:b w:val="1"/>
                <w:bCs w:val="1"/>
                <w:color w:val="auto"/>
              </w:rPr>
              <w:t>David C. Kuo</w:t>
            </w:r>
          </w:p>
        </w:tc>
        <w:tc>
          <w:tcPr>
            <w:tcW w:w="20" w:type="dxa"/>
            <w:vAlign w:val="bottom"/>
          </w:tcPr>
          <w:p>
            <w:pPr>
              <w:spacing w:after="0"/>
              <w:rPr>
                <w:sz w:val="17"/>
                <w:szCs w:val="17"/>
                <w:color w:val="auto"/>
              </w:rPr>
            </w:pPr>
          </w:p>
        </w:tc>
      </w:tr>
      <w:tr>
        <w:trPr>
          <w:trHeight w:val="226"/>
        </w:trPr>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(Thompson) Lin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60" w:type="dxa"/>
            <w:vAlign w:val="bottom"/>
            <w:gridSpan w:val="3"/>
          </w:tcPr>
          <w:p>
            <w:pPr>
              <w:ind w:left="220"/>
              <w:spacing w:after="0"/>
              <w:rPr>
                <w:sz w:val="20"/>
                <w:szCs w:val="20"/>
                <w:color w:val="auto"/>
              </w:rPr>
            </w:pPr>
            <w:r>
              <w:rPr>
                <w:rFonts w:ascii="Arial" w:cs="Arial" w:eastAsia="Arial" w:hAnsi="Arial"/>
                <w:sz w:val="16"/>
                <w:szCs w:val="16"/>
                <w:b w:val="1"/>
                <w:bCs w:val="1"/>
                <w:color w:val="auto"/>
              </w:rPr>
              <w:t>(Fred) Chang</w:t>
            </w:r>
          </w:p>
        </w:tc>
        <w:tc>
          <w:tcPr>
            <w:tcW w:w="1780" w:type="dxa"/>
            <w:vAlign w:val="bottom"/>
            <w:gridSpan w:val="4"/>
          </w:tcPr>
          <w:p>
            <w:pPr>
              <w:ind w:left="80"/>
              <w:spacing w:after="0"/>
              <w:rPr>
                <w:sz w:val="20"/>
                <w:szCs w:val="20"/>
                <w:color w:val="auto"/>
              </w:rPr>
            </w:pPr>
            <w:r>
              <w:rPr>
                <w:rFonts w:ascii="Arial" w:cs="Arial" w:eastAsia="Arial" w:hAnsi="Arial"/>
                <w:sz w:val="16"/>
                <w:szCs w:val="16"/>
                <w:b w:val="1"/>
                <w:bCs w:val="1"/>
                <w:color w:val="auto"/>
              </w:rPr>
              <w:t>(Joshua) Yeh</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tc>
        <w:tc>
          <w:tcPr>
            <w:tcW w:w="1920" w:type="dxa"/>
            <w:vAlign w:val="bottom"/>
            <w:gridSpan w:val="4"/>
          </w:tcPr>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tc>
        <w:tc>
          <w:tcPr>
            <w:tcW w:w="2060" w:type="dxa"/>
            <w:vAlign w:val="bottom"/>
            <w:gridSpan w:val="3"/>
          </w:tcPr>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tc>
        <w:tc>
          <w:tcPr>
            <w:tcW w:w="1780" w:type="dxa"/>
            <w:vAlign w:val="bottom"/>
            <w:gridSpan w:val="4"/>
          </w:tcPr>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tc>
        <w:tc>
          <w:tcPr>
            <w:tcW w:w="1900" w:type="dxa"/>
            <w:vAlign w:val="bottom"/>
            <w:gridSpan w:val="2"/>
          </w:tcPr>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43</w:t>
            </w:r>
          </w:p>
        </w:tc>
        <w:tc>
          <w:tcPr>
            <w:tcW w:w="20" w:type="dxa"/>
            <w:vAlign w:val="bottom"/>
          </w:tcPr>
          <w:p>
            <w:pPr>
              <w:spacing w:after="0"/>
              <w:rPr>
                <w:sz w:val="23"/>
                <w:szCs w:val="23"/>
                <w:color w:val="auto"/>
              </w:rPr>
            </w:pPr>
          </w:p>
        </w:tc>
      </w:tr>
      <w:tr>
        <w:trPr>
          <w:trHeight w:val="290"/>
        </w:trPr>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Position:</w:t>
            </w:r>
          </w:p>
        </w:tc>
        <w:tc>
          <w:tcPr>
            <w:tcW w:w="1920" w:type="dxa"/>
            <w:vAlign w:val="bottom"/>
            <w:gridSpan w:val="4"/>
          </w:tcPr>
          <w:p>
            <w:pPr>
              <w:ind w:left="220"/>
              <w:spacing w:after="0"/>
              <w:rPr>
                <w:sz w:val="20"/>
                <w:szCs w:val="20"/>
                <w:color w:val="auto"/>
              </w:rPr>
            </w:pPr>
            <w:r>
              <w:rPr>
                <w:rFonts w:ascii="Arial" w:cs="Arial" w:eastAsia="Arial" w:hAnsi="Arial"/>
                <w:sz w:val="16"/>
                <w:szCs w:val="16"/>
                <w:b w:val="1"/>
                <w:bCs w:val="1"/>
                <w:color w:val="auto"/>
              </w:rPr>
              <w:t>Position:</w:t>
            </w:r>
          </w:p>
        </w:tc>
        <w:tc>
          <w:tcPr>
            <w:tcW w:w="2060" w:type="dxa"/>
            <w:vAlign w:val="bottom"/>
            <w:gridSpan w:val="3"/>
          </w:tcPr>
          <w:p>
            <w:pPr>
              <w:ind w:left="220"/>
              <w:spacing w:after="0"/>
              <w:rPr>
                <w:sz w:val="20"/>
                <w:szCs w:val="20"/>
                <w:color w:val="auto"/>
              </w:rPr>
            </w:pPr>
            <w:r>
              <w:rPr>
                <w:rFonts w:ascii="Arial" w:cs="Arial" w:eastAsia="Arial" w:hAnsi="Arial"/>
                <w:sz w:val="16"/>
                <w:szCs w:val="16"/>
                <w:b w:val="1"/>
                <w:bCs w:val="1"/>
                <w:color w:val="auto"/>
              </w:rPr>
              <w:t>Position:</w:t>
            </w:r>
          </w:p>
        </w:tc>
        <w:tc>
          <w:tcPr>
            <w:tcW w:w="1780" w:type="dxa"/>
            <w:vAlign w:val="bottom"/>
            <w:gridSpan w:val="4"/>
          </w:tcPr>
          <w:p>
            <w:pPr>
              <w:ind w:left="80"/>
              <w:spacing w:after="0"/>
              <w:rPr>
                <w:sz w:val="20"/>
                <w:szCs w:val="20"/>
                <w:color w:val="auto"/>
              </w:rPr>
            </w:pPr>
            <w:r>
              <w:rPr>
                <w:rFonts w:ascii="Arial" w:cs="Arial" w:eastAsia="Arial" w:hAnsi="Arial"/>
                <w:sz w:val="16"/>
                <w:szCs w:val="16"/>
                <w:b w:val="1"/>
                <w:bCs w:val="1"/>
                <w:color w:val="auto"/>
              </w:rPr>
              <w:t>Position:</w:t>
            </w:r>
          </w:p>
        </w:tc>
        <w:tc>
          <w:tcPr>
            <w:tcW w:w="1900" w:type="dxa"/>
            <w:vAlign w:val="bottom"/>
            <w:gridSpan w:val="2"/>
          </w:tcPr>
          <w:p>
            <w:pPr>
              <w:ind w:left="200"/>
              <w:spacing w:after="0"/>
              <w:rPr>
                <w:sz w:val="20"/>
                <w:szCs w:val="20"/>
                <w:color w:val="auto"/>
              </w:rPr>
            </w:pPr>
            <w:r>
              <w:rPr>
                <w:rFonts w:ascii="Arial" w:cs="Arial" w:eastAsia="Arial" w:hAnsi="Arial"/>
                <w:sz w:val="16"/>
                <w:szCs w:val="16"/>
                <w:b w:val="1"/>
                <w:bCs w:val="1"/>
                <w:color w:val="auto"/>
              </w:rPr>
              <w:t>Position:</w:t>
            </w:r>
          </w:p>
        </w:tc>
        <w:tc>
          <w:tcPr>
            <w:tcW w:w="20" w:type="dxa"/>
            <w:vAlign w:val="bottom"/>
          </w:tcPr>
          <w:p>
            <w:pPr>
              <w:spacing w:after="0"/>
              <w:rPr>
                <w:sz w:val="24"/>
                <w:szCs w:val="24"/>
                <w:color w:val="auto"/>
              </w:rPr>
            </w:pPr>
          </w:p>
        </w:tc>
      </w:tr>
      <w:tr>
        <w:trPr>
          <w:trHeight w:val="189"/>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President, Chief</w:t>
            </w:r>
          </w:p>
        </w:tc>
        <w:tc>
          <w:tcPr>
            <w:tcW w:w="1920" w:type="dxa"/>
            <w:vAlign w:val="bottom"/>
            <w:gridSpan w:val="4"/>
          </w:tcPr>
          <w:p>
            <w:pPr>
              <w:ind w:left="220"/>
              <w:spacing w:after="0"/>
              <w:rPr>
                <w:sz w:val="20"/>
                <w:szCs w:val="20"/>
                <w:color w:val="auto"/>
              </w:rPr>
            </w:pPr>
            <w:r>
              <w:rPr>
                <w:rFonts w:ascii="Arial" w:cs="Arial" w:eastAsia="Arial" w:hAnsi="Arial"/>
                <w:sz w:val="16"/>
                <w:szCs w:val="16"/>
                <w:color w:val="auto"/>
              </w:rPr>
              <w:t>Chief Financial Officer</w:t>
            </w:r>
          </w:p>
        </w:tc>
        <w:tc>
          <w:tcPr>
            <w:tcW w:w="2060" w:type="dxa"/>
            <w:vAlign w:val="bottom"/>
            <w:gridSpan w:val="3"/>
          </w:tcPr>
          <w:p>
            <w:pPr>
              <w:ind w:left="220"/>
              <w:spacing w:after="0"/>
              <w:rPr>
                <w:sz w:val="20"/>
                <w:szCs w:val="20"/>
                <w:color w:val="auto"/>
              </w:rPr>
            </w:pPr>
            <w:r>
              <w:rPr>
                <w:rFonts w:ascii="Arial" w:cs="Arial" w:eastAsia="Arial" w:hAnsi="Arial"/>
                <w:sz w:val="16"/>
                <w:szCs w:val="16"/>
                <w:color w:val="auto"/>
              </w:rPr>
              <w:t>Senior Vice President</w:t>
            </w:r>
          </w:p>
        </w:tc>
        <w:tc>
          <w:tcPr>
            <w:tcW w:w="1780" w:type="dxa"/>
            <w:vAlign w:val="bottom"/>
            <w:gridSpan w:val="4"/>
          </w:tcPr>
          <w:p>
            <w:pPr>
              <w:ind w:left="80"/>
              <w:spacing w:after="0"/>
              <w:rPr>
                <w:sz w:val="20"/>
                <w:szCs w:val="20"/>
                <w:color w:val="auto"/>
              </w:rPr>
            </w:pPr>
            <w:r>
              <w:rPr>
                <w:rFonts w:ascii="Arial" w:cs="Arial" w:eastAsia="Arial" w:hAnsi="Arial"/>
                <w:sz w:val="16"/>
                <w:szCs w:val="16"/>
                <w:color w:val="auto"/>
              </w:rPr>
              <w:t>Senior Vice President</w:t>
            </w:r>
          </w:p>
        </w:tc>
        <w:tc>
          <w:tcPr>
            <w:tcW w:w="1900" w:type="dxa"/>
            <w:vAlign w:val="bottom"/>
            <w:gridSpan w:val="2"/>
          </w:tcPr>
          <w:p>
            <w:pPr>
              <w:ind w:left="200"/>
              <w:spacing w:after="0"/>
              <w:rPr>
                <w:sz w:val="20"/>
                <w:szCs w:val="20"/>
                <w:color w:val="auto"/>
              </w:rPr>
            </w:pPr>
            <w:r>
              <w:rPr>
                <w:rFonts w:ascii="Arial" w:cs="Arial" w:eastAsia="Arial" w:hAnsi="Arial"/>
                <w:sz w:val="16"/>
                <w:szCs w:val="16"/>
                <w:color w:val="auto"/>
              </w:rPr>
              <w:t>Senior Vice President,</w:t>
            </w:r>
          </w:p>
        </w:tc>
        <w:tc>
          <w:tcPr>
            <w:tcW w:w="20" w:type="dxa"/>
            <w:vAlign w:val="bottom"/>
          </w:tcPr>
          <w:p>
            <w:pPr>
              <w:spacing w:after="0"/>
              <w:rPr>
                <w:sz w:val="16"/>
                <w:szCs w:val="16"/>
                <w:color w:val="auto"/>
              </w:rPr>
            </w:pPr>
          </w:p>
        </w:tc>
      </w:tr>
      <w:tr>
        <w:trPr>
          <w:trHeight w:val="20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Executive Officer, and</w:t>
            </w:r>
          </w:p>
        </w:tc>
        <w:tc>
          <w:tcPr>
            <w:tcW w:w="1920" w:type="dxa"/>
            <w:vAlign w:val="bottom"/>
            <w:gridSpan w:val="4"/>
          </w:tcPr>
          <w:p>
            <w:pPr>
              <w:ind w:left="220"/>
              <w:spacing w:after="0"/>
              <w:rPr>
                <w:sz w:val="20"/>
                <w:szCs w:val="20"/>
                <w:color w:val="auto"/>
              </w:rPr>
            </w:pPr>
            <w:r>
              <w:rPr>
                <w:rFonts w:ascii="Arial" w:cs="Arial" w:eastAsia="Arial" w:hAnsi="Arial"/>
                <w:sz w:val="16"/>
                <w:szCs w:val="16"/>
                <w:color w:val="auto"/>
              </w:rPr>
              <w:t>and Chief Strategy</w:t>
            </w:r>
          </w:p>
        </w:tc>
        <w:tc>
          <w:tcPr>
            <w:tcW w:w="2060" w:type="dxa"/>
            <w:vAlign w:val="bottom"/>
            <w:gridSpan w:val="3"/>
          </w:tcPr>
          <w:p>
            <w:pPr>
              <w:ind w:left="220"/>
              <w:spacing w:after="0"/>
              <w:rPr>
                <w:sz w:val="20"/>
                <w:szCs w:val="20"/>
                <w:color w:val="auto"/>
              </w:rPr>
            </w:pPr>
            <w:r>
              <w:rPr>
                <w:rFonts w:ascii="Arial" w:cs="Arial" w:eastAsia="Arial" w:hAnsi="Arial"/>
                <w:sz w:val="16"/>
                <w:szCs w:val="16"/>
                <w:color w:val="auto"/>
              </w:rPr>
              <w:t>and North America</w:t>
            </w:r>
          </w:p>
        </w:tc>
        <w:tc>
          <w:tcPr>
            <w:tcW w:w="1780" w:type="dxa"/>
            <w:vAlign w:val="bottom"/>
            <w:gridSpan w:val="4"/>
          </w:tcPr>
          <w:p>
            <w:pPr>
              <w:ind w:left="80"/>
              <w:spacing w:after="0"/>
              <w:rPr>
                <w:sz w:val="20"/>
                <w:szCs w:val="20"/>
                <w:color w:val="auto"/>
              </w:rPr>
            </w:pPr>
            <w:r>
              <w:rPr>
                <w:rFonts w:ascii="Arial" w:cs="Arial" w:eastAsia="Arial" w:hAnsi="Arial"/>
                <w:sz w:val="16"/>
                <w:szCs w:val="16"/>
                <w:color w:val="auto"/>
              </w:rPr>
              <w:t>and Asia General</w:t>
            </w:r>
          </w:p>
        </w:tc>
        <w:tc>
          <w:tcPr>
            <w:tcW w:w="1900" w:type="dxa"/>
            <w:vAlign w:val="bottom"/>
            <w:gridSpan w:val="2"/>
          </w:tcPr>
          <w:p>
            <w:pPr>
              <w:ind w:left="200"/>
              <w:spacing w:after="0"/>
              <w:rPr>
                <w:sz w:val="20"/>
                <w:szCs w:val="20"/>
                <w:color w:val="auto"/>
              </w:rPr>
            </w:pPr>
            <w:r>
              <w:rPr>
                <w:rFonts w:ascii="Arial" w:cs="Arial" w:eastAsia="Arial" w:hAnsi="Arial"/>
                <w:sz w:val="16"/>
                <w:szCs w:val="16"/>
                <w:color w:val="auto"/>
              </w:rPr>
              <w:t>Chief Legal Officer,</w:t>
            </w:r>
          </w:p>
        </w:tc>
        <w:tc>
          <w:tcPr>
            <w:tcW w:w="20" w:type="dxa"/>
            <w:vAlign w:val="bottom"/>
          </w:tcPr>
          <w:p>
            <w:pPr>
              <w:spacing w:after="0"/>
              <w:rPr>
                <w:sz w:val="17"/>
                <w:szCs w:val="17"/>
                <w:color w:val="auto"/>
              </w:rPr>
            </w:pPr>
          </w:p>
        </w:tc>
      </w:tr>
      <w:tr>
        <w:trPr>
          <w:trHeight w:val="20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Chairman of the Board</w:t>
            </w:r>
          </w:p>
        </w:tc>
        <w:tc>
          <w:tcPr>
            <w:tcW w:w="1920" w:type="dxa"/>
            <w:vAlign w:val="bottom"/>
            <w:gridSpan w:val="4"/>
          </w:tcPr>
          <w:p>
            <w:pPr>
              <w:ind w:left="220"/>
              <w:spacing w:after="0"/>
              <w:rPr>
                <w:sz w:val="20"/>
                <w:szCs w:val="20"/>
                <w:color w:val="auto"/>
              </w:rPr>
            </w:pPr>
            <w:r>
              <w:rPr>
                <w:rFonts w:ascii="Arial" w:cs="Arial" w:eastAsia="Arial" w:hAnsi="Arial"/>
                <w:sz w:val="16"/>
                <w:szCs w:val="16"/>
                <w:color w:val="auto"/>
              </w:rPr>
              <w:t>Officer</w:t>
            </w:r>
          </w:p>
        </w:tc>
        <w:tc>
          <w:tcPr>
            <w:tcW w:w="2060" w:type="dxa"/>
            <w:vAlign w:val="bottom"/>
            <w:gridSpan w:val="3"/>
          </w:tcPr>
          <w:p>
            <w:pPr>
              <w:ind w:left="220"/>
              <w:spacing w:after="0"/>
              <w:rPr>
                <w:sz w:val="20"/>
                <w:szCs w:val="20"/>
                <w:color w:val="auto"/>
              </w:rPr>
            </w:pPr>
            <w:r>
              <w:rPr>
                <w:rFonts w:ascii="Arial" w:cs="Arial" w:eastAsia="Arial" w:hAnsi="Arial"/>
                <w:sz w:val="16"/>
                <w:szCs w:val="16"/>
                <w:color w:val="auto"/>
              </w:rPr>
              <w:t>General Manager</w:t>
            </w:r>
          </w:p>
        </w:tc>
        <w:tc>
          <w:tcPr>
            <w:tcW w:w="1780" w:type="dxa"/>
            <w:vAlign w:val="bottom"/>
            <w:gridSpan w:val="4"/>
          </w:tcPr>
          <w:p>
            <w:pPr>
              <w:ind w:left="80"/>
              <w:spacing w:after="0"/>
              <w:rPr>
                <w:sz w:val="20"/>
                <w:szCs w:val="20"/>
                <w:color w:val="auto"/>
              </w:rPr>
            </w:pPr>
            <w:r>
              <w:rPr>
                <w:rFonts w:ascii="Arial" w:cs="Arial" w:eastAsia="Arial" w:hAnsi="Arial"/>
                <w:sz w:val="16"/>
                <w:szCs w:val="16"/>
                <w:color w:val="auto"/>
              </w:rPr>
              <w:t>Manager</w:t>
            </w:r>
          </w:p>
        </w:tc>
        <w:tc>
          <w:tcPr>
            <w:tcW w:w="1900" w:type="dxa"/>
            <w:vAlign w:val="bottom"/>
            <w:gridSpan w:val="2"/>
          </w:tcPr>
          <w:p>
            <w:pPr>
              <w:ind w:left="200"/>
              <w:spacing w:after="0"/>
              <w:rPr>
                <w:sz w:val="20"/>
                <w:szCs w:val="20"/>
                <w:color w:val="auto"/>
              </w:rPr>
            </w:pPr>
            <w:r>
              <w:rPr>
                <w:rFonts w:ascii="Arial" w:cs="Arial" w:eastAsia="Arial" w:hAnsi="Arial"/>
                <w:sz w:val="16"/>
                <w:szCs w:val="16"/>
                <w:color w:val="auto"/>
              </w:rPr>
              <w:t>Chief Compliance</w:t>
            </w:r>
          </w:p>
        </w:tc>
        <w:tc>
          <w:tcPr>
            <w:tcW w:w="20" w:type="dxa"/>
            <w:vAlign w:val="bottom"/>
          </w:tcPr>
          <w:p>
            <w:pPr>
              <w:spacing w:after="0"/>
              <w:rPr>
                <w:sz w:val="17"/>
                <w:szCs w:val="17"/>
                <w:color w:val="auto"/>
              </w:rPr>
            </w:pPr>
          </w:p>
        </w:tc>
      </w:tr>
      <w:tr>
        <w:trPr>
          <w:trHeight w:val="189"/>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of Directors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00" w:type="dxa"/>
            <w:vAlign w:val="bottom"/>
            <w:gridSpan w:val="2"/>
          </w:tcPr>
          <w:p>
            <w:pPr>
              <w:ind w:left="200"/>
              <w:spacing w:after="0"/>
              <w:rPr>
                <w:sz w:val="20"/>
                <w:szCs w:val="20"/>
                <w:color w:val="auto"/>
              </w:rPr>
            </w:pPr>
            <w:r>
              <w:rPr>
                <w:rFonts w:ascii="Arial" w:cs="Arial" w:eastAsia="Arial" w:hAnsi="Arial"/>
                <w:sz w:val="16"/>
                <w:szCs w:val="16"/>
                <w:color w:val="auto"/>
              </w:rPr>
              <w:t>Officer and Corporate</w:t>
            </w:r>
          </w:p>
        </w:tc>
        <w:tc>
          <w:tcPr>
            <w:tcW w:w="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Arial" w:cs="Arial" w:eastAsia="Arial" w:hAnsi="Arial"/>
                <w:sz w:val="16"/>
                <w:szCs w:val="16"/>
                <w:color w:val="auto"/>
              </w:rPr>
              <w:t>Secretary</w:t>
            </w:r>
          </w:p>
        </w:tc>
        <w:tc>
          <w:tcPr>
            <w:tcW w:w="20" w:type="dxa"/>
            <w:vAlign w:val="bottom"/>
          </w:tcPr>
          <w:p>
            <w:pPr>
              <w:spacing w:after="0"/>
              <w:rPr>
                <w:sz w:val="18"/>
                <w:szCs w:val="18"/>
                <w:color w:val="auto"/>
              </w:rPr>
            </w:pPr>
          </w:p>
        </w:tc>
      </w:tr>
      <w:tr>
        <w:trPr>
          <w:trHeight w:val="511"/>
        </w:trPr>
        <w:tc>
          <w:tcPr>
            <w:tcW w:w="36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Dr. Chih-Hsiang (Thompson) Lin</w:t>
            </w: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5700" w:type="dxa"/>
            <w:vAlign w:val="bottom"/>
            <w:gridSpan w:val="9"/>
          </w:tcPr>
          <w:p>
            <w:pPr>
              <w:spacing w:after="0"/>
              <w:rPr>
                <w:sz w:val="20"/>
                <w:szCs w:val="20"/>
                <w:color w:val="auto"/>
              </w:rPr>
            </w:pPr>
            <w:r>
              <w:rPr>
                <w:rFonts w:ascii="Arial" w:cs="Arial" w:eastAsia="Arial" w:hAnsi="Arial"/>
                <w:sz w:val="16"/>
                <w:szCs w:val="16"/>
                <w:color w:val="auto"/>
              </w:rPr>
              <w:t xml:space="preserve">Dr. Lin’s biography can be found on page </w:t>
            </w:r>
            <w:r>
              <w:rPr>
                <w:rFonts w:ascii="Arial" w:cs="Arial" w:eastAsia="Arial" w:hAnsi="Arial"/>
                <w:sz w:val="16"/>
                <w:szCs w:val="16"/>
                <w:color w:val="0000EE"/>
              </w:rPr>
              <w:t>9</w:t>
            </w:r>
            <w:r>
              <w:rPr>
                <w:rFonts w:ascii="Arial" w:cs="Arial" w:eastAsia="Arial" w:hAnsi="Arial"/>
                <w:sz w:val="16"/>
                <w:szCs w:val="16"/>
                <w:color w:val="auto"/>
              </w:rPr>
              <w:t xml:space="preserve"> of this Proxy Statement with the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96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6060" w:type="dxa"/>
            <w:vAlign w:val="bottom"/>
            <w:gridSpan w:val="11"/>
          </w:tcPr>
          <w:p>
            <w:pPr>
              <w:spacing w:after="0"/>
              <w:rPr>
                <w:sz w:val="20"/>
                <w:szCs w:val="20"/>
                <w:color w:val="auto"/>
              </w:rPr>
            </w:pPr>
            <w:r>
              <w:rPr>
                <w:rFonts w:ascii="Arial" w:cs="Arial" w:eastAsia="Arial" w:hAnsi="Arial"/>
                <w:sz w:val="16"/>
                <w:szCs w:val="16"/>
                <w:color w:val="auto"/>
              </w:rPr>
              <w:t>biographies of the other members of the Board. Biographies for our other executive</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5700" w:type="dxa"/>
            <w:vAlign w:val="bottom"/>
            <w:gridSpan w:val="9"/>
          </w:tcPr>
          <w:p>
            <w:pPr>
              <w:spacing w:after="0"/>
              <w:rPr>
                <w:sz w:val="20"/>
                <w:szCs w:val="20"/>
                <w:color w:val="auto"/>
              </w:rPr>
            </w:pPr>
            <w:r>
              <w:rPr>
                <w:rFonts w:ascii="Arial" w:cs="Arial" w:eastAsia="Arial" w:hAnsi="Arial"/>
                <w:sz w:val="16"/>
                <w:szCs w:val="16"/>
                <w:color w:val="auto"/>
              </w:rPr>
              <w:t>officers, including our other named executive officers, are below.</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172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408"/>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Stefan J. Murry, Ph.D.</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Education</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6060" w:type="dxa"/>
            <w:vAlign w:val="bottom"/>
            <w:gridSpan w:val="11"/>
          </w:tcPr>
          <w:p>
            <w:pPr>
              <w:spacing w:after="0"/>
              <w:rPr>
                <w:sz w:val="20"/>
                <w:szCs w:val="20"/>
                <w:color w:val="auto"/>
              </w:rPr>
            </w:pPr>
            <w:r>
              <w:rPr>
                <w:rFonts w:ascii="Arial" w:cs="Arial" w:eastAsia="Arial" w:hAnsi="Arial"/>
                <w:sz w:val="16"/>
                <w:szCs w:val="16"/>
                <w:color w:val="auto"/>
              </w:rPr>
              <w:t>Dr. Murry has served as our Chief Financial Officer since August 2014 and our Chief</w:t>
            </w:r>
          </w:p>
        </w:tc>
        <w:tc>
          <w:tcPr>
            <w:tcW w:w="2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6"/>
                <w:szCs w:val="16"/>
                <w:color w:val="auto"/>
              </w:rPr>
              <w:t>Dr. Murry received a B.S. and M.S. in</w:t>
            </w:r>
          </w:p>
        </w:tc>
        <w:tc>
          <w:tcPr>
            <w:tcW w:w="20" w:type="dxa"/>
            <w:vAlign w:val="bottom"/>
          </w:tcPr>
          <w:p>
            <w:pPr>
              <w:spacing w:after="0"/>
              <w:rPr>
                <w:sz w:val="18"/>
                <w:szCs w:val="18"/>
                <w:color w:val="auto"/>
              </w:rPr>
            </w:pPr>
          </w:p>
        </w:tc>
      </w:tr>
      <w:tr>
        <w:trPr>
          <w:trHeight w:val="189"/>
        </w:trPr>
        <w:tc>
          <w:tcPr>
            <w:tcW w:w="5700" w:type="dxa"/>
            <w:vAlign w:val="bottom"/>
            <w:gridSpan w:val="9"/>
          </w:tcPr>
          <w:p>
            <w:pPr>
              <w:spacing w:after="0"/>
              <w:rPr>
                <w:sz w:val="20"/>
                <w:szCs w:val="20"/>
                <w:color w:val="auto"/>
              </w:rPr>
            </w:pPr>
            <w:r>
              <w:rPr>
                <w:rFonts w:ascii="Arial" w:cs="Arial" w:eastAsia="Arial" w:hAnsi="Arial"/>
                <w:sz w:val="16"/>
                <w:szCs w:val="16"/>
                <w:color w:val="auto"/>
              </w:rPr>
              <w:t>Strategy Officer since December 2012. Previously, Dr. Murry served as our Vice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3"/>
          </w:tcPr>
          <w:p>
            <w:pPr>
              <w:spacing w:after="0"/>
              <w:rPr>
                <w:sz w:val="20"/>
                <w:szCs w:val="20"/>
                <w:color w:val="auto"/>
              </w:rPr>
            </w:pPr>
            <w:r>
              <w:rPr>
                <w:rFonts w:ascii="Arial" w:cs="Arial" w:eastAsia="Arial" w:hAnsi="Arial"/>
                <w:sz w:val="16"/>
                <w:szCs w:val="16"/>
                <w:color w:val="auto"/>
              </w:rPr>
              <w:t>Physics and a Ph.D. in Electrical</w:t>
            </w:r>
          </w:p>
        </w:tc>
        <w:tc>
          <w:tcPr>
            <w:tcW w:w="20" w:type="dxa"/>
            <w:vAlign w:val="bottom"/>
          </w:tcPr>
          <w:p>
            <w:pPr>
              <w:spacing w:after="0"/>
              <w:rPr>
                <w:sz w:val="16"/>
                <w:szCs w:val="16"/>
                <w:color w:val="auto"/>
              </w:rPr>
            </w:pPr>
          </w:p>
        </w:tc>
      </w:tr>
      <w:tr>
        <w:trPr>
          <w:trHeight w:val="203"/>
        </w:trPr>
        <w:tc>
          <w:tcPr>
            <w:tcW w:w="6060" w:type="dxa"/>
            <w:vAlign w:val="bottom"/>
            <w:gridSpan w:val="11"/>
          </w:tcPr>
          <w:p>
            <w:pPr>
              <w:spacing w:after="0"/>
              <w:rPr>
                <w:sz w:val="20"/>
                <w:szCs w:val="20"/>
                <w:color w:val="auto"/>
              </w:rPr>
            </w:pPr>
            <w:r>
              <w:rPr>
                <w:rFonts w:ascii="Arial" w:cs="Arial" w:eastAsia="Arial" w:hAnsi="Arial"/>
                <w:sz w:val="16"/>
                <w:szCs w:val="16"/>
                <w:color w:val="auto"/>
              </w:rPr>
              <w:t>President of Sales and Marketing from June 2004 until December 2012, our Director</w:t>
            </w:r>
          </w:p>
        </w:tc>
        <w:tc>
          <w:tcPr>
            <w:tcW w:w="220" w:type="dxa"/>
            <w:vAlign w:val="bottom"/>
          </w:tcPr>
          <w:p>
            <w:pPr>
              <w:spacing w:after="0"/>
              <w:rPr>
                <w:sz w:val="17"/>
                <w:szCs w:val="17"/>
                <w:color w:val="auto"/>
              </w:rPr>
            </w:pPr>
          </w:p>
        </w:tc>
        <w:tc>
          <w:tcPr>
            <w:tcW w:w="3100" w:type="dxa"/>
            <w:vAlign w:val="bottom"/>
            <w:gridSpan w:val="3"/>
          </w:tcPr>
          <w:p>
            <w:pPr>
              <w:spacing w:after="0"/>
              <w:rPr>
                <w:sz w:val="20"/>
                <w:szCs w:val="20"/>
                <w:color w:val="auto"/>
              </w:rPr>
            </w:pPr>
            <w:r>
              <w:rPr>
                <w:rFonts w:ascii="Arial" w:cs="Arial" w:eastAsia="Arial" w:hAnsi="Arial"/>
                <w:sz w:val="16"/>
                <w:szCs w:val="16"/>
                <w:color w:val="auto"/>
                <w:w w:val="99"/>
              </w:rPr>
              <w:t>Engineering from the University of Houston.</w:t>
            </w:r>
          </w:p>
        </w:tc>
        <w:tc>
          <w:tcPr>
            <w:tcW w:w="20" w:type="dxa"/>
            <w:vAlign w:val="bottom"/>
          </w:tcPr>
          <w:p>
            <w:pPr>
              <w:spacing w:after="0"/>
              <w:rPr>
                <w:sz w:val="17"/>
                <w:szCs w:val="17"/>
                <w:color w:val="auto"/>
              </w:rPr>
            </w:pPr>
          </w:p>
        </w:tc>
      </w:tr>
      <w:tr>
        <w:trPr>
          <w:trHeight w:val="203"/>
        </w:trPr>
        <w:tc>
          <w:tcPr>
            <w:tcW w:w="6060" w:type="dxa"/>
            <w:vAlign w:val="bottom"/>
            <w:gridSpan w:val="11"/>
          </w:tcPr>
          <w:p>
            <w:pPr>
              <w:spacing w:after="0"/>
              <w:rPr>
                <w:sz w:val="20"/>
                <w:szCs w:val="20"/>
                <w:color w:val="auto"/>
              </w:rPr>
            </w:pPr>
            <w:r>
              <w:rPr>
                <w:rFonts w:ascii="Arial" w:cs="Arial" w:eastAsia="Arial" w:hAnsi="Arial"/>
                <w:sz w:val="16"/>
                <w:szCs w:val="16"/>
                <w:color w:val="auto"/>
              </w:rPr>
              <w:t>of Sales and Marketing from January 2000 to June 2004 and as a Senior Engineer of</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6060" w:type="dxa"/>
            <w:vAlign w:val="bottom"/>
            <w:gridSpan w:val="11"/>
          </w:tcPr>
          <w:p>
            <w:pPr>
              <w:spacing w:after="0"/>
              <w:rPr>
                <w:sz w:val="20"/>
                <w:szCs w:val="20"/>
                <w:color w:val="auto"/>
              </w:rPr>
            </w:pPr>
            <w:r>
              <w:rPr>
                <w:rFonts w:ascii="Arial" w:cs="Arial" w:eastAsia="Arial" w:hAnsi="Arial"/>
                <w:sz w:val="16"/>
                <w:szCs w:val="16"/>
                <w:color w:val="auto"/>
                <w:w w:val="99"/>
              </w:rPr>
              <w:t>Device Packaging from February 1997 to January 2000. He also previously served as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060" w:type="dxa"/>
            <w:vAlign w:val="bottom"/>
            <w:gridSpan w:val="11"/>
          </w:tcPr>
          <w:p>
            <w:pPr>
              <w:spacing w:after="0"/>
              <w:rPr>
                <w:sz w:val="20"/>
                <w:szCs w:val="20"/>
                <w:color w:val="auto"/>
              </w:rPr>
            </w:pPr>
            <w:r>
              <w:rPr>
                <w:rFonts w:ascii="Arial" w:cs="Arial" w:eastAsia="Arial" w:hAnsi="Arial"/>
                <w:sz w:val="16"/>
                <w:szCs w:val="16"/>
                <w:color w:val="auto"/>
              </w:rPr>
              <w:t>Research Associate from 1991 to 1999 and Mission Control Specialist from 1992 to</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gridSpan w:val="11"/>
          </w:tcPr>
          <w:p>
            <w:pPr>
              <w:spacing w:after="0"/>
              <w:rPr>
                <w:sz w:val="20"/>
                <w:szCs w:val="20"/>
                <w:color w:val="auto"/>
              </w:rPr>
            </w:pPr>
            <w:r>
              <w:rPr>
                <w:rFonts w:ascii="Arial" w:cs="Arial" w:eastAsia="Arial" w:hAnsi="Arial"/>
                <w:sz w:val="16"/>
                <w:szCs w:val="16"/>
                <w:color w:val="auto"/>
              </w:rPr>
              <w:t>1997 with the Space Vacuum Epitaxy Center in Houston, Texas. Dr. Murry has been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6060" w:type="dxa"/>
            <w:vAlign w:val="bottom"/>
            <w:gridSpan w:val="11"/>
          </w:tcPr>
          <w:p>
            <w:pPr>
              <w:spacing w:after="0"/>
              <w:rPr>
                <w:sz w:val="20"/>
                <w:szCs w:val="20"/>
                <w:color w:val="auto"/>
              </w:rPr>
            </w:pPr>
            <w:r>
              <w:rPr>
                <w:rFonts w:ascii="Arial" w:cs="Arial" w:eastAsia="Arial" w:hAnsi="Arial"/>
                <w:sz w:val="16"/>
                <w:szCs w:val="16"/>
                <w:color w:val="auto"/>
              </w:rPr>
              <w:t>issued multiple patents in the optoelectronics industry, as well as in various related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3640" w:type="dxa"/>
            <w:vAlign w:val="bottom"/>
            <w:gridSpan w:val="6"/>
          </w:tcPr>
          <w:p>
            <w:pPr>
              <w:spacing w:after="0"/>
              <w:rPr>
                <w:sz w:val="20"/>
                <w:szCs w:val="20"/>
                <w:color w:val="auto"/>
              </w:rPr>
            </w:pPr>
            <w:r>
              <w:rPr>
                <w:rFonts w:ascii="Arial" w:cs="Arial" w:eastAsia="Arial" w:hAnsi="Arial"/>
                <w:sz w:val="16"/>
                <w:szCs w:val="16"/>
                <w:color w:val="auto"/>
              </w:rPr>
              <w:t>and complimentary industries.</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2960" w:type="dxa"/>
            <w:vAlign w:val="bottom"/>
            <w:tcBorders>
              <w:bottom w:val="single" w:sz="8" w:color="auto"/>
            </w:tcBorders>
            <w:gridSpan w:val="4"/>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408"/>
        </w:trPr>
        <w:tc>
          <w:tcPr>
            <w:tcW w:w="36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Hung-Lun (Fred) Chang, Ph.D.</w:t>
            </w: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Education</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5700" w:type="dxa"/>
            <w:vAlign w:val="bottom"/>
            <w:gridSpan w:val="9"/>
          </w:tcPr>
          <w:p>
            <w:pPr>
              <w:spacing w:after="0"/>
              <w:rPr>
                <w:sz w:val="20"/>
                <w:szCs w:val="20"/>
                <w:color w:val="auto"/>
              </w:rPr>
            </w:pPr>
            <w:r>
              <w:rPr>
                <w:rFonts w:ascii="Arial" w:cs="Arial" w:eastAsia="Arial" w:hAnsi="Arial"/>
                <w:sz w:val="16"/>
                <w:szCs w:val="16"/>
                <w:color w:val="auto"/>
              </w:rPr>
              <w:t>Dr. Chang has served as our North America General Manager and Senior Vice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6"/>
                <w:szCs w:val="16"/>
                <w:color w:val="auto"/>
                <w:w w:val="99"/>
              </w:rPr>
              <w:t>Dr. Chang received a B.S. in Electrophysics</w:t>
            </w:r>
          </w:p>
        </w:tc>
        <w:tc>
          <w:tcPr>
            <w:tcW w:w="20" w:type="dxa"/>
            <w:vAlign w:val="bottom"/>
          </w:tcPr>
          <w:p>
            <w:pPr>
              <w:spacing w:after="0"/>
              <w:rPr>
                <w:sz w:val="18"/>
                <w:szCs w:val="18"/>
                <w:color w:val="auto"/>
              </w:rPr>
            </w:pPr>
          </w:p>
        </w:tc>
      </w:tr>
      <w:tr>
        <w:trPr>
          <w:trHeight w:val="189"/>
        </w:trPr>
        <w:tc>
          <w:tcPr>
            <w:tcW w:w="5700" w:type="dxa"/>
            <w:vAlign w:val="bottom"/>
            <w:gridSpan w:val="9"/>
          </w:tcPr>
          <w:p>
            <w:pPr>
              <w:spacing w:after="0"/>
              <w:rPr>
                <w:sz w:val="20"/>
                <w:szCs w:val="20"/>
                <w:color w:val="auto"/>
              </w:rPr>
            </w:pPr>
            <w:r>
              <w:rPr>
                <w:rFonts w:ascii="Arial" w:cs="Arial" w:eastAsia="Arial" w:hAnsi="Arial"/>
                <w:sz w:val="16"/>
                <w:szCs w:val="16"/>
                <w:color w:val="auto"/>
              </w:rPr>
              <w:t>President of Optical Component Business Unit since October 2012. Previously,</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3"/>
          </w:tcPr>
          <w:p>
            <w:pPr>
              <w:spacing w:after="0"/>
              <w:rPr>
                <w:sz w:val="20"/>
                <w:szCs w:val="20"/>
                <w:color w:val="auto"/>
              </w:rPr>
            </w:pPr>
            <w:r>
              <w:rPr>
                <w:rFonts w:ascii="Arial" w:cs="Arial" w:eastAsia="Arial" w:hAnsi="Arial"/>
                <w:sz w:val="16"/>
                <w:szCs w:val="16"/>
                <w:color w:val="auto"/>
              </w:rPr>
              <w:t>and a Ph.D. in Electro-Optical Engineering</w:t>
            </w:r>
          </w:p>
        </w:tc>
        <w:tc>
          <w:tcPr>
            <w:tcW w:w="20" w:type="dxa"/>
            <w:vAlign w:val="bottom"/>
          </w:tcPr>
          <w:p>
            <w:pPr>
              <w:spacing w:after="0"/>
              <w:rPr>
                <w:sz w:val="16"/>
                <w:szCs w:val="16"/>
                <w:color w:val="auto"/>
              </w:rPr>
            </w:pPr>
          </w:p>
        </w:tc>
      </w:tr>
      <w:tr>
        <w:trPr>
          <w:trHeight w:val="203"/>
        </w:trPr>
        <w:tc>
          <w:tcPr>
            <w:tcW w:w="6060" w:type="dxa"/>
            <w:vAlign w:val="bottom"/>
            <w:gridSpan w:val="11"/>
          </w:tcPr>
          <w:p>
            <w:pPr>
              <w:spacing w:after="0"/>
              <w:rPr>
                <w:sz w:val="20"/>
                <w:szCs w:val="20"/>
                <w:color w:val="auto"/>
              </w:rPr>
            </w:pPr>
            <w:r>
              <w:rPr>
                <w:rFonts w:ascii="Arial" w:cs="Arial" w:eastAsia="Arial" w:hAnsi="Arial"/>
                <w:sz w:val="16"/>
                <w:szCs w:val="16"/>
                <w:color w:val="auto"/>
              </w:rPr>
              <w:t>Dr. Chang served as Vice President of our Optical Module Division from March 2004</w:t>
            </w:r>
          </w:p>
        </w:tc>
        <w:tc>
          <w:tcPr>
            <w:tcW w:w="220" w:type="dxa"/>
            <w:vAlign w:val="bottom"/>
          </w:tcPr>
          <w:p>
            <w:pPr>
              <w:spacing w:after="0"/>
              <w:rPr>
                <w:sz w:val="17"/>
                <w:szCs w:val="17"/>
                <w:color w:val="auto"/>
              </w:rPr>
            </w:pPr>
          </w:p>
        </w:tc>
        <w:tc>
          <w:tcPr>
            <w:tcW w:w="3100" w:type="dxa"/>
            <w:vAlign w:val="bottom"/>
            <w:gridSpan w:val="3"/>
          </w:tcPr>
          <w:p>
            <w:pPr>
              <w:spacing w:after="0"/>
              <w:rPr>
                <w:sz w:val="20"/>
                <w:szCs w:val="20"/>
                <w:color w:val="auto"/>
              </w:rPr>
            </w:pPr>
            <w:r>
              <w:rPr>
                <w:rFonts w:ascii="Arial" w:cs="Arial" w:eastAsia="Arial" w:hAnsi="Arial"/>
                <w:sz w:val="16"/>
                <w:szCs w:val="16"/>
                <w:color w:val="auto"/>
              </w:rPr>
              <w:t>from National Chiao Tung University in</w:t>
            </w:r>
          </w:p>
        </w:tc>
        <w:tc>
          <w:tcPr>
            <w:tcW w:w="20" w:type="dxa"/>
            <w:vAlign w:val="bottom"/>
          </w:tcPr>
          <w:p>
            <w:pPr>
              <w:spacing w:after="0"/>
              <w:rPr>
                <w:sz w:val="17"/>
                <w:szCs w:val="17"/>
                <w:color w:val="auto"/>
              </w:rPr>
            </w:pPr>
          </w:p>
        </w:tc>
      </w:tr>
      <w:tr>
        <w:trPr>
          <w:trHeight w:val="203"/>
        </w:trPr>
        <w:tc>
          <w:tcPr>
            <w:tcW w:w="6060" w:type="dxa"/>
            <w:vAlign w:val="bottom"/>
            <w:gridSpan w:val="11"/>
          </w:tcPr>
          <w:p>
            <w:pPr>
              <w:spacing w:after="0"/>
              <w:rPr>
                <w:sz w:val="20"/>
                <w:szCs w:val="20"/>
                <w:color w:val="auto"/>
              </w:rPr>
            </w:pPr>
            <w:r>
              <w:rPr>
                <w:rFonts w:ascii="Arial" w:cs="Arial" w:eastAsia="Arial" w:hAnsi="Arial"/>
                <w:sz w:val="16"/>
                <w:szCs w:val="16"/>
                <w:color w:val="auto"/>
                <w:w w:val="99"/>
              </w:rPr>
              <w:t>until October 2012, our Director of Manufacturing from June 2002 to March 2004, and</w:t>
            </w:r>
          </w:p>
        </w:tc>
        <w:tc>
          <w:tcPr>
            <w:tcW w:w="2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color w:val="auto"/>
              </w:rPr>
              <w:t>Taiwan.</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6060" w:type="dxa"/>
            <w:vAlign w:val="bottom"/>
            <w:gridSpan w:val="11"/>
          </w:tcPr>
          <w:p>
            <w:pPr>
              <w:spacing w:after="0"/>
              <w:rPr>
                <w:sz w:val="20"/>
                <w:szCs w:val="20"/>
                <w:color w:val="auto"/>
              </w:rPr>
            </w:pPr>
            <w:r>
              <w:rPr>
                <w:rFonts w:ascii="Arial" w:cs="Arial" w:eastAsia="Arial" w:hAnsi="Arial"/>
                <w:sz w:val="16"/>
                <w:szCs w:val="16"/>
                <w:color w:val="auto"/>
              </w:rPr>
              <w:t>as our Deputy Packaging Manager from April 2001 to May 2002. Dr. Chang has held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060" w:type="dxa"/>
            <w:vAlign w:val="bottom"/>
            <w:gridSpan w:val="11"/>
          </w:tcPr>
          <w:p>
            <w:pPr>
              <w:spacing w:after="0"/>
              <w:rPr>
                <w:sz w:val="20"/>
                <w:szCs w:val="20"/>
                <w:color w:val="auto"/>
              </w:rPr>
            </w:pPr>
            <w:r>
              <w:rPr>
                <w:rFonts w:ascii="Arial" w:cs="Arial" w:eastAsia="Arial" w:hAnsi="Arial"/>
                <w:sz w:val="16"/>
                <w:szCs w:val="16"/>
                <w:color w:val="auto"/>
              </w:rPr>
              <w:t>numerous positions in the optoelectronics industry throughout his career. His most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5700" w:type="dxa"/>
            <w:vAlign w:val="bottom"/>
            <w:gridSpan w:val="9"/>
          </w:tcPr>
          <w:p>
            <w:pPr>
              <w:spacing w:after="0"/>
              <w:rPr>
                <w:sz w:val="20"/>
                <w:szCs w:val="20"/>
                <w:color w:val="auto"/>
              </w:rPr>
            </w:pPr>
            <w:r>
              <w:rPr>
                <w:rFonts w:ascii="Arial" w:cs="Arial" w:eastAsia="Arial" w:hAnsi="Arial"/>
                <w:sz w:val="16"/>
                <w:szCs w:val="16"/>
                <w:color w:val="auto"/>
              </w:rPr>
              <w:t>recent position prior to joining us was Deputy Manager from 2000 to 2001 of the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ind w:left="660" w:right="3460"/>
        <w:spacing w:after="0" w:line="266" w:lineRule="auto"/>
        <w:rPr>
          <w:sz w:val="20"/>
          <w:szCs w:val="20"/>
          <w:color w:val="auto"/>
        </w:rPr>
      </w:pPr>
      <w:r>
        <w:rPr>
          <w:rFonts w:ascii="Arial" w:cs="Arial" w:eastAsia="Arial" w:hAnsi="Arial"/>
          <w:sz w:val="16"/>
          <w:szCs w:val="16"/>
          <w:color w:val="auto"/>
        </w:rPr>
        <w:t>Optical Active Component Group at Hon-Hai Precision Industry Co., Ltd., which is based in Taiwan. He was also a researcher and project manager of the Optoelectronic Module Technology group at Chunghwa Telecom Co., Ltd. from 1996 to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40640</wp:posOffset>
            </wp:positionV>
            <wp:extent cx="59664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880745</wp:posOffset>
            </wp:positionV>
            <wp:extent cx="334010" cy="162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25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2" w:lineRule="exact"/>
        <w:rPr>
          <w:sz w:val="20"/>
          <w:szCs w:val="20"/>
          <w:color w:val="auto"/>
        </w:rPr>
      </w:pPr>
    </w:p>
    <w:tbl>
      <w:tblPr>
        <w:tblLayout w:type="fixed"/>
        <w:tblInd w:w="660" w:type="dxa"/>
        <w:tblCellMar>
          <w:top w:w="0" w:type="dxa"/>
          <w:left w:w="0" w:type="dxa"/>
          <w:bottom w:w="0" w:type="dxa"/>
          <w:right w:w="0" w:type="dxa"/>
        </w:tblCellMar>
      </w:tblPr>
      <w:tr>
        <w:trPr>
          <w:trHeight w:val="226"/>
        </w:trPr>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Shu-Hua (Joshua) Yeh</w:t>
            </w:r>
          </w:p>
        </w:tc>
        <w:tc>
          <w:tcPr>
            <w:tcW w:w="220" w:type="dxa"/>
            <w:vAlign w:val="bottom"/>
          </w:tcPr>
          <w:p>
            <w:pPr>
              <w:spacing w:after="0"/>
              <w:rPr>
                <w:sz w:val="19"/>
                <w:szCs w:val="19"/>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Education</w:t>
            </w:r>
          </w:p>
        </w:tc>
        <w:tc>
          <w:tcPr>
            <w:tcW w:w="20" w:type="dxa"/>
            <w:vAlign w:val="bottom"/>
          </w:tcPr>
          <w:p>
            <w:pPr>
              <w:spacing w:after="0"/>
              <w:rPr>
                <w:sz w:val="19"/>
                <w:szCs w:val="19"/>
                <w:color w:val="auto"/>
              </w:rPr>
            </w:pPr>
          </w:p>
        </w:tc>
      </w:tr>
      <w:tr>
        <w:trPr>
          <w:trHeight w:val="213"/>
        </w:trPr>
        <w:tc>
          <w:tcPr>
            <w:tcW w:w="6280" w:type="dxa"/>
            <w:vAlign w:val="bottom"/>
            <w:gridSpan w:val="2"/>
          </w:tcPr>
          <w:p>
            <w:pPr>
              <w:spacing w:after="0"/>
              <w:rPr>
                <w:sz w:val="20"/>
                <w:szCs w:val="20"/>
                <w:color w:val="auto"/>
              </w:rPr>
            </w:pPr>
            <w:r>
              <w:rPr>
                <w:rFonts w:ascii="Arial" w:cs="Arial" w:eastAsia="Arial" w:hAnsi="Arial"/>
                <w:sz w:val="16"/>
                <w:szCs w:val="16"/>
                <w:color w:val="auto"/>
              </w:rPr>
              <w:t>Mr. Yeh has served as our Asia General Manager since February 2015 and as Senior</w:t>
            </w:r>
          </w:p>
        </w:tc>
        <w:tc>
          <w:tcPr>
            <w:tcW w:w="3120" w:type="dxa"/>
            <w:vAlign w:val="bottom"/>
            <w:gridSpan w:val="2"/>
          </w:tcPr>
          <w:p>
            <w:pPr>
              <w:spacing w:after="0"/>
              <w:rPr>
                <w:sz w:val="20"/>
                <w:szCs w:val="20"/>
                <w:color w:val="auto"/>
              </w:rPr>
            </w:pPr>
            <w:r>
              <w:rPr>
                <w:rFonts w:ascii="Arial" w:cs="Arial" w:eastAsia="Arial" w:hAnsi="Arial"/>
                <w:sz w:val="16"/>
                <w:szCs w:val="16"/>
                <w:color w:val="auto"/>
              </w:rPr>
              <w:t>Mr. Yeh received a B.S. in Mechanical</w:t>
            </w: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Vice President of our Network Equipment Module Business Unit since November</w:t>
            </w:r>
          </w:p>
        </w:tc>
        <w:tc>
          <w:tcPr>
            <w:tcW w:w="3120" w:type="dxa"/>
            <w:vAlign w:val="bottom"/>
            <w:gridSpan w:val="2"/>
          </w:tcPr>
          <w:p>
            <w:pPr>
              <w:spacing w:after="0"/>
              <w:rPr>
                <w:sz w:val="20"/>
                <w:szCs w:val="20"/>
                <w:color w:val="auto"/>
              </w:rPr>
            </w:pPr>
            <w:r>
              <w:rPr>
                <w:rFonts w:ascii="Arial" w:cs="Arial" w:eastAsia="Arial" w:hAnsi="Arial"/>
                <w:sz w:val="16"/>
                <w:szCs w:val="16"/>
                <w:color w:val="auto"/>
              </w:rPr>
              <w:t>Engineering and a M.S. in Automatic</w:t>
            </w:r>
          </w:p>
        </w:tc>
      </w:tr>
      <w:tr>
        <w:trPr>
          <w:trHeight w:val="203"/>
        </w:trPr>
        <w:tc>
          <w:tcPr>
            <w:tcW w:w="6280" w:type="dxa"/>
            <w:vAlign w:val="bottom"/>
            <w:gridSpan w:val="2"/>
          </w:tcPr>
          <w:p>
            <w:pPr>
              <w:spacing w:after="0"/>
              <w:rPr>
                <w:sz w:val="20"/>
                <w:szCs w:val="20"/>
                <w:color w:val="auto"/>
              </w:rPr>
            </w:pPr>
            <w:r>
              <w:rPr>
                <w:rFonts w:ascii="Arial" w:cs="Arial" w:eastAsia="Arial" w:hAnsi="Arial"/>
                <w:sz w:val="16"/>
                <w:szCs w:val="16"/>
                <w:color w:val="auto"/>
              </w:rPr>
              <w:t>2012. Previously, Mr. Yeh served as our General Manager of our Video Equipment</w:t>
            </w:r>
          </w:p>
        </w:tc>
        <w:tc>
          <w:tcPr>
            <w:tcW w:w="3120" w:type="dxa"/>
            <w:vAlign w:val="bottom"/>
            <w:gridSpan w:val="2"/>
          </w:tcPr>
          <w:p>
            <w:pPr>
              <w:spacing w:after="0"/>
              <w:rPr>
                <w:sz w:val="20"/>
                <w:szCs w:val="20"/>
                <w:color w:val="auto"/>
              </w:rPr>
            </w:pPr>
            <w:r>
              <w:rPr>
                <w:rFonts w:ascii="Arial" w:cs="Arial" w:eastAsia="Arial" w:hAnsi="Arial"/>
                <w:sz w:val="16"/>
                <w:szCs w:val="16"/>
                <w:color w:val="auto"/>
              </w:rPr>
              <w:t>Control Science from National Chung Shing</w:t>
            </w:r>
          </w:p>
        </w:tc>
      </w:tr>
      <w:tr>
        <w:trPr>
          <w:trHeight w:val="203"/>
        </w:trPr>
        <w:tc>
          <w:tcPr>
            <w:tcW w:w="6280" w:type="dxa"/>
            <w:vAlign w:val="bottom"/>
            <w:gridSpan w:val="2"/>
          </w:tcPr>
          <w:p>
            <w:pPr>
              <w:spacing w:after="0"/>
              <w:rPr>
                <w:sz w:val="20"/>
                <w:szCs w:val="20"/>
                <w:color w:val="auto"/>
              </w:rPr>
            </w:pPr>
            <w:r>
              <w:rPr>
                <w:rFonts w:ascii="Arial" w:cs="Arial" w:eastAsia="Arial" w:hAnsi="Arial"/>
                <w:sz w:val="16"/>
                <w:szCs w:val="16"/>
                <w:color w:val="auto"/>
              </w:rPr>
              <w:t>Division of Global Technology Inc., our China subsidiary, since its acquisition by us in</w:t>
            </w:r>
          </w:p>
        </w:tc>
        <w:tc>
          <w:tcPr>
            <w:tcW w:w="3120" w:type="dxa"/>
            <w:vAlign w:val="bottom"/>
            <w:gridSpan w:val="2"/>
          </w:tcPr>
          <w:p>
            <w:pPr>
              <w:spacing w:after="0"/>
              <w:rPr>
                <w:sz w:val="20"/>
                <w:szCs w:val="20"/>
                <w:color w:val="auto"/>
              </w:rPr>
            </w:pPr>
            <w:r>
              <w:rPr>
                <w:rFonts w:ascii="Arial" w:cs="Arial" w:eastAsia="Arial" w:hAnsi="Arial"/>
                <w:sz w:val="16"/>
                <w:szCs w:val="16"/>
                <w:color w:val="auto"/>
              </w:rPr>
              <w:t>University in Taiwan.</w:t>
            </w: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March 2006 and had served as its President and Chief Executive Officer from</w:t>
            </w: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280" w:type="dxa"/>
            <w:vAlign w:val="bottom"/>
            <w:gridSpan w:val="2"/>
          </w:tcPr>
          <w:p>
            <w:pPr>
              <w:spacing w:after="0"/>
              <w:rPr>
                <w:sz w:val="20"/>
                <w:szCs w:val="20"/>
                <w:color w:val="auto"/>
              </w:rPr>
            </w:pPr>
            <w:r>
              <w:rPr>
                <w:rFonts w:ascii="Arial" w:cs="Arial" w:eastAsia="Arial" w:hAnsi="Arial"/>
                <w:sz w:val="16"/>
                <w:szCs w:val="16"/>
                <w:color w:val="auto"/>
              </w:rPr>
              <w:t>April 2002 until the acquisition. From May 1995 to April 2002, Mr. Yeh served as a</w:t>
            </w:r>
          </w:p>
        </w:tc>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6280" w:type="dxa"/>
            <w:vAlign w:val="bottom"/>
            <w:gridSpan w:val="2"/>
          </w:tcPr>
          <w:p>
            <w:pPr>
              <w:spacing w:after="0"/>
              <w:rPr>
                <w:sz w:val="20"/>
                <w:szCs w:val="20"/>
                <w:color w:val="auto"/>
              </w:rPr>
            </w:pPr>
            <w:r>
              <w:rPr>
                <w:rFonts w:ascii="Arial" w:cs="Arial" w:eastAsia="Arial" w:hAnsi="Arial"/>
                <w:sz w:val="16"/>
                <w:szCs w:val="16"/>
                <w:color w:val="auto"/>
              </w:rPr>
              <w:t>Vice President of Sales and Marketing of Twoway CATV Technology Inc.</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60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26"/>
        </w:trPr>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David C. Kuo</w:t>
            </w:r>
          </w:p>
        </w:tc>
        <w:tc>
          <w:tcPr>
            <w:tcW w:w="220" w:type="dxa"/>
            <w:vAlign w:val="bottom"/>
          </w:tcPr>
          <w:p>
            <w:pPr>
              <w:spacing w:after="0"/>
              <w:rPr>
                <w:sz w:val="19"/>
                <w:szCs w:val="19"/>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Education</w:t>
            </w:r>
          </w:p>
        </w:tc>
        <w:tc>
          <w:tcPr>
            <w:tcW w:w="20" w:type="dxa"/>
            <w:vAlign w:val="bottom"/>
          </w:tcPr>
          <w:p>
            <w:pPr>
              <w:spacing w:after="0"/>
              <w:rPr>
                <w:sz w:val="19"/>
                <w:szCs w:val="19"/>
                <w:color w:val="auto"/>
              </w:rPr>
            </w:pPr>
          </w:p>
        </w:tc>
      </w:tr>
      <w:tr>
        <w:trPr>
          <w:trHeight w:val="213"/>
        </w:trPr>
        <w:tc>
          <w:tcPr>
            <w:tcW w:w="6280" w:type="dxa"/>
            <w:vAlign w:val="bottom"/>
            <w:gridSpan w:val="2"/>
          </w:tcPr>
          <w:p>
            <w:pPr>
              <w:spacing w:after="0"/>
              <w:rPr>
                <w:sz w:val="20"/>
                <w:szCs w:val="20"/>
                <w:color w:val="auto"/>
              </w:rPr>
            </w:pPr>
            <w:r>
              <w:rPr>
                <w:rFonts w:ascii="Arial" w:cs="Arial" w:eastAsia="Arial" w:hAnsi="Arial"/>
                <w:sz w:val="16"/>
                <w:szCs w:val="16"/>
                <w:color w:val="auto"/>
              </w:rPr>
              <w:t>Mr. Kuo has served as our Senior Vice President and Chief Legal Officer since</w:t>
            </w:r>
          </w:p>
        </w:tc>
        <w:tc>
          <w:tcPr>
            <w:tcW w:w="3120" w:type="dxa"/>
            <w:vAlign w:val="bottom"/>
            <w:gridSpan w:val="2"/>
          </w:tcPr>
          <w:p>
            <w:pPr>
              <w:spacing w:after="0"/>
              <w:rPr>
                <w:sz w:val="20"/>
                <w:szCs w:val="20"/>
                <w:color w:val="auto"/>
              </w:rPr>
            </w:pPr>
            <w:r>
              <w:rPr>
                <w:rFonts w:ascii="Arial" w:cs="Arial" w:eastAsia="Arial" w:hAnsi="Arial"/>
                <w:sz w:val="16"/>
                <w:szCs w:val="16"/>
                <w:color w:val="auto"/>
              </w:rPr>
              <w:t>Mr. Kuo received a J.D. from South Texas</w:t>
            </w: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May 2023, our Chief Compliance Officer since August 2013 and as our Corporate</w:t>
            </w:r>
          </w:p>
        </w:tc>
        <w:tc>
          <w:tcPr>
            <w:tcW w:w="3120" w:type="dxa"/>
            <w:vAlign w:val="bottom"/>
            <w:gridSpan w:val="2"/>
          </w:tcPr>
          <w:p>
            <w:pPr>
              <w:spacing w:after="0"/>
              <w:rPr>
                <w:sz w:val="20"/>
                <w:szCs w:val="20"/>
                <w:color w:val="auto"/>
              </w:rPr>
            </w:pPr>
            <w:r>
              <w:rPr>
                <w:rFonts w:ascii="Arial" w:cs="Arial" w:eastAsia="Arial" w:hAnsi="Arial"/>
                <w:sz w:val="16"/>
                <w:szCs w:val="16"/>
                <w:color w:val="auto"/>
              </w:rPr>
              <w:t>College of Law and a BBA degree in Real</w:t>
            </w:r>
          </w:p>
        </w:tc>
      </w:tr>
      <w:tr>
        <w:trPr>
          <w:trHeight w:val="203"/>
        </w:trPr>
        <w:tc>
          <w:tcPr>
            <w:tcW w:w="6280" w:type="dxa"/>
            <w:vAlign w:val="bottom"/>
            <w:gridSpan w:val="2"/>
          </w:tcPr>
          <w:p>
            <w:pPr>
              <w:spacing w:after="0"/>
              <w:rPr>
                <w:sz w:val="20"/>
                <w:szCs w:val="20"/>
                <w:color w:val="auto"/>
              </w:rPr>
            </w:pPr>
            <w:r>
              <w:rPr>
                <w:rFonts w:ascii="Arial" w:cs="Arial" w:eastAsia="Arial" w:hAnsi="Arial"/>
                <w:sz w:val="16"/>
                <w:szCs w:val="16"/>
                <w:color w:val="auto"/>
              </w:rPr>
              <w:t>Secretary since November 2012. Previously, Mr. Kuo served as our Vice President</w:t>
            </w:r>
          </w:p>
        </w:tc>
        <w:tc>
          <w:tcPr>
            <w:tcW w:w="3120" w:type="dxa"/>
            <w:vAlign w:val="bottom"/>
            <w:gridSpan w:val="2"/>
          </w:tcPr>
          <w:p>
            <w:pPr>
              <w:spacing w:after="0"/>
              <w:rPr>
                <w:sz w:val="20"/>
                <w:szCs w:val="20"/>
                <w:color w:val="auto"/>
              </w:rPr>
            </w:pPr>
            <w:r>
              <w:rPr>
                <w:rFonts w:ascii="Arial" w:cs="Arial" w:eastAsia="Arial" w:hAnsi="Arial"/>
                <w:sz w:val="16"/>
                <w:szCs w:val="16"/>
                <w:color w:val="auto"/>
              </w:rPr>
              <w:t>Estate from Baylor University.</w:t>
            </w:r>
          </w:p>
        </w:tc>
      </w:tr>
      <w:tr>
        <w:trPr>
          <w:trHeight w:val="203"/>
        </w:trPr>
        <w:tc>
          <w:tcPr>
            <w:tcW w:w="6280" w:type="dxa"/>
            <w:vAlign w:val="bottom"/>
            <w:gridSpan w:val="2"/>
          </w:tcPr>
          <w:p>
            <w:pPr>
              <w:spacing w:after="0"/>
              <w:rPr>
                <w:sz w:val="20"/>
                <w:szCs w:val="20"/>
                <w:color w:val="auto"/>
              </w:rPr>
            </w:pPr>
            <w:r>
              <w:rPr>
                <w:rFonts w:ascii="Arial" w:cs="Arial" w:eastAsia="Arial" w:hAnsi="Arial"/>
                <w:sz w:val="16"/>
                <w:szCs w:val="16"/>
                <w:color w:val="auto"/>
              </w:rPr>
              <w:t>and General Counsel from August 2013 to May 2023, and served as our Assistant</w:t>
            </w:r>
          </w:p>
        </w:tc>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General Counsel from May 2009 until August 2013, and as our Asia Legal Manager</w:t>
            </w: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6280" w:type="dxa"/>
            <w:vAlign w:val="bottom"/>
            <w:gridSpan w:val="2"/>
          </w:tcPr>
          <w:p>
            <w:pPr>
              <w:spacing w:after="0"/>
              <w:rPr>
                <w:sz w:val="20"/>
                <w:szCs w:val="20"/>
                <w:color w:val="auto"/>
              </w:rPr>
            </w:pPr>
            <w:r>
              <w:rPr>
                <w:rFonts w:ascii="Arial" w:cs="Arial" w:eastAsia="Arial" w:hAnsi="Arial"/>
                <w:sz w:val="16"/>
                <w:szCs w:val="16"/>
                <w:color w:val="auto"/>
              </w:rPr>
              <w:t>from January 2011 until August 2013.</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60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188" w:lineRule="exact"/>
        <w:rPr>
          <w:sz w:val="20"/>
          <w:szCs w:val="20"/>
          <w:color w:val="auto"/>
        </w:rPr>
      </w:pPr>
    </w:p>
    <w:p>
      <w:pPr>
        <w:ind w:left="660" w:right="120"/>
        <w:spacing w:after="0" w:line="269" w:lineRule="auto"/>
        <w:rPr>
          <w:sz w:val="20"/>
          <w:szCs w:val="20"/>
          <w:color w:val="auto"/>
        </w:rPr>
      </w:pPr>
      <w:r>
        <w:rPr>
          <w:rFonts w:ascii="Arial" w:cs="Arial" w:eastAsia="Arial" w:hAnsi="Arial"/>
          <w:sz w:val="16"/>
          <w:szCs w:val="16"/>
          <w:color w:val="auto"/>
        </w:rPr>
        <w:t>Our executive officers are elected by, and serve, at the discretion of our Board. There are no family relationships among any of our directors, director nominees, or executive officers. There are, and during the past ten years there have been, no material legal proceedings to which any director, director nominee, or executive officer of the Company, or any associate of any director, director nominee, or executive officer of the Company, is a party adverse to the Company or any of its subsidiaries or has a material interest adverse to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4969510</wp:posOffset>
            </wp:positionV>
            <wp:extent cx="334010" cy="162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26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7886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321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Compensation Discussion and Analysis</w:t>
      </w:r>
    </w:p>
    <w:p>
      <w:pPr>
        <w:spacing w:after="0" w:line="119" w:lineRule="exact"/>
        <w:rPr>
          <w:sz w:val="20"/>
          <w:szCs w:val="20"/>
          <w:color w:val="auto"/>
        </w:rPr>
      </w:pPr>
    </w:p>
    <w:p>
      <w:pPr>
        <w:ind w:left="660" w:right="560"/>
        <w:spacing w:after="0" w:line="304" w:lineRule="auto"/>
        <w:rPr>
          <w:sz w:val="20"/>
          <w:szCs w:val="20"/>
          <w:color w:val="auto"/>
        </w:rPr>
      </w:pPr>
      <w:r>
        <w:rPr>
          <w:rFonts w:ascii="Arial" w:cs="Arial" w:eastAsia="Arial" w:hAnsi="Arial"/>
          <w:sz w:val="16"/>
          <w:szCs w:val="16"/>
          <w:color w:val="auto"/>
        </w:rPr>
        <w:t>This Compensation Discussion and Analysis (“CD&amp;A”) describes the compensation program for our named executive officers (“NEOs”). For 2025, these individuals were:</w:t>
      </w:r>
    </w:p>
    <w:p>
      <w:pPr>
        <w:spacing w:after="0" w:line="114"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360" w:type="dxa"/>
            <w:vAlign w:val="bottom"/>
          </w:tcPr>
          <w:p>
            <w:pPr>
              <w:spacing w:after="0"/>
              <w:rPr>
                <w:sz w:val="20"/>
                <w:szCs w:val="20"/>
                <w:color w:val="auto"/>
              </w:rPr>
            </w:pPr>
            <w:r>
              <w:rPr>
                <w:rFonts w:ascii="Arial" w:cs="Arial" w:eastAsia="Arial" w:hAnsi="Arial"/>
                <w:sz w:val="16"/>
                <w:szCs w:val="16"/>
                <w:b w:val="1"/>
                <w:bCs w:val="1"/>
                <w:color w:val="auto"/>
              </w:rPr>
              <w:t>Chih-Hsiang (Thompson) Lin</w:t>
            </w:r>
          </w:p>
        </w:tc>
        <w:tc>
          <w:tcPr>
            <w:tcW w:w="7040" w:type="dxa"/>
            <w:vAlign w:val="bottom"/>
          </w:tcPr>
          <w:p>
            <w:pPr>
              <w:ind w:left="240"/>
              <w:spacing w:after="0"/>
              <w:rPr>
                <w:sz w:val="20"/>
                <w:szCs w:val="20"/>
                <w:color w:val="auto"/>
              </w:rPr>
            </w:pPr>
            <w:r>
              <w:rPr>
                <w:rFonts w:ascii="Arial" w:cs="Arial" w:eastAsia="Arial" w:hAnsi="Arial"/>
                <w:sz w:val="16"/>
                <w:szCs w:val="16"/>
                <w:color w:val="auto"/>
              </w:rPr>
              <w:t>President and Chief Executive Officer (our “CEO”)</w:t>
            </w:r>
          </w:p>
        </w:tc>
      </w:tr>
      <w:tr>
        <w:trPr>
          <w:trHeight w:val="35"/>
        </w:trPr>
        <w:tc>
          <w:tcPr>
            <w:tcW w:w="2360" w:type="dxa"/>
            <w:vAlign w:val="bottom"/>
            <w:tcBorders>
              <w:bottom w:val="single" w:sz="8" w:color="auto"/>
            </w:tcBorders>
          </w:tcPr>
          <w:p>
            <w:pPr>
              <w:spacing w:after="0"/>
              <w:rPr>
                <w:sz w:val="3"/>
                <w:szCs w:val="3"/>
                <w:color w:val="auto"/>
              </w:rPr>
            </w:pPr>
          </w:p>
        </w:tc>
        <w:tc>
          <w:tcPr>
            <w:tcW w:w="7040" w:type="dxa"/>
            <w:vAlign w:val="bottom"/>
            <w:tcBorders>
              <w:bottom w:val="single" w:sz="8" w:color="auto"/>
            </w:tcBorders>
          </w:tcPr>
          <w:p>
            <w:pPr>
              <w:spacing w:after="0"/>
              <w:rPr>
                <w:sz w:val="3"/>
                <w:szCs w:val="3"/>
                <w:color w:val="auto"/>
              </w:rPr>
            </w:pPr>
          </w:p>
        </w:tc>
      </w:tr>
      <w:tr>
        <w:trPr>
          <w:trHeight w:val="269"/>
        </w:trPr>
        <w:tc>
          <w:tcPr>
            <w:tcW w:w="2360" w:type="dxa"/>
            <w:vAlign w:val="bottom"/>
          </w:tcPr>
          <w:p>
            <w:pPr>
              <w:spacing w:after="0"/>
              <w:rPr>
                <w:sz w:val="20"/>
                <w:szCs w:val="20"/>
                <w:color w:val="auto"/>
              </w:rPr>
            </w:pPr>
            <w:r>
              <w:rPr>
                <w:rFonts w:ascii="Arial" w:cs="Arial" w:eastAsia="Arial" w:hAnsi="Arial"/>
                <w:sz w:val="16"/>
                <w:szCs w:val="16"/>
                <w:b w:val="1"/>
                <w:bCs w:val="1"/>
                <w:color w:val="auto"/>
              </w:rPr>
              <w:t>Stefan J. Murry</w:t>
            </w:r>
          </w:p>
        </w:tc>
        <w:tc>
          <w:tcPr>
            <w:tcW w:w="7040" w:type="dxa"/>
            <w:vAlign w:val="bottom"/>
          </w:tcPr>
          <w:p>
            <w:pPr>
              <w:ind w:left="240"/>
              <w:spacing w:after="0"/>
              <w:rPr>
                <w:sz w:val="20"/>
                <w:szCs w:val="20"/>
                <w:color w:val="auto"/>
              </w:rPr>
            </w:pPr>
            <w:r>
              <w:rPr>
                <w:rFonts w:ascii="Arial" w:cs="Arial" w:eastAsia="Arial" w:hAnsi="Arial"/>
                <w:sz w:val="16"/>
                <w:szCs w:val="16"/>
                <w:color w:val="auto"/>
              </w:rPr>
              <w:t>Chief Financial Officer and Chief Strategy Officer (our “CFO”)</w:t>
            </w:r>
          </w:p>
        </w:tc>
      </w:tr>
      <w:tr>
        <w:trPr>
          <w:trHeight w:val="34"/>
        </w:trPr>
        <w:tc>
          <w:tcPr>
            <w:tcW w:w="2360" w:type="dxa"/>
            <w:vAlign w:val="bottom"/>
            <w:tcBorders>
              <w:bottom w:val="single" w:sz="8" w:color="auto"/>
            </w:tcBorders>
          </w:tcPr>
          <w:p>
            <w:pPr>
              <w:spacing w:after="0"/>
              <w:rPr>
                <w:sz w:val="3"/>
                <w:szCs w:val="3"/>
                <w:color w:val="auto"/>
              </w:rPr>
            </w:pPr>
          </w:p>
        </w:tc>
        <w:tc>
          <w:tcPr>
            <w:tcW w:w="7040" w:type="dxa"/>
            <w:vAlign w:val="bottom"/>
            <w:tcBorders>
              <w:bottom w:val="single" w:sz="8" w:color="auto"/>
            </w:tcBorders>
          </w:tcPr>
          <w:p>
            <w:pPr>
              <w:spacing w:after="0"/>
              <w:rPr>
                <w:sz w:val="3"/>
                <w:szCs w:val="3"/>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6"/>
                <w:szCs w:val="16"/>
                <w:b w:val="1"/>
                <w:bCs w:val="1"/>
                <w:color w:val="auto"/>
              </w:rPr>
              <w:t>Hung-Lun (Fred) Chang</w:t>
            </w:r>
          </w:p>
        </w:tc>
        <w:tc>
          <w:tcPr>
            <w:tcW w:w="7040" w:type="dxa"/>
            <w:vAlign w:val="bottom"/>
          </w:tcPr>
          <w:p>
            <w:pPr>
              <w:ind w:left="240"/>
              <w:spacing w:after="0"/>
              <w:rPr>
                <w:sz w:val="20"/>
                <w:szCs w:val="20"/>
                <w:color w:val="auto"/>
              </w:rPr>
            </w:pPr>
            <w:r>
              <w:rPr>
                <w:rFonts w:ascii="Arial" w:cs="Arial" w:eastAsia="Arial" w:hAnsi="Arial"/>
                <w:sz w:val="16"/>
                <w:szCs w:val="16"/>
                <w:color w:val="auto"/>
              </w:rPr>
              <w:t>Senior Vice President and North America General Manager</w:t>
            </w:r>
          </w:p>
        </w:tc>
      </w:tr>
      <w:tr>
        <w:trPr>
          <w:trHeight w:val="34"/>
        </w:trPr>
        <w:tc>
          <w:tcPr>
            <w:tcW w:w="2360" w:type="dxa"/>
            <w:vAlign w:val="bottom"/>
            <w:tcBorders>
              <w:bottom w:val="single" w:sz="8" w:color="auto"/>
            </w:tcBorders>
          </w:tcPr>
          <w:p>
            <w:pPr>
              <w:spacing w:after="0"/>
              <w:rPr>
                <w:sz w:val="3"/>
                <w:szCs w:val="3"/>
                <w:color w:val="auto"/>
              </w:rPr>
            </w:pPr>
          </w:p>
        </w:tc>
        <w:tc>
          <w:tcPr>
            <w:tcW w:w="7040" w:type="dxa"/>
            <w:vAlign w:val="bottom"/>
            <w:tcBorders>
              <w:bottom w:val="single" w:sz="8" w:color="auto"/>
            </w:tcBorders>
          </w:tcPr>
          <w:p>
            <w:pPr>
              <w:spacing w:after="0"/>
              <w:rPr>
                <w:sz w:val="3"/>
                <w:szCs w:val="3"/>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6"/>
                <w:szCs w:val="16"/>
                <w:b w:val="1"/>
                <w:bCs w:val="1"/>
                <w:color w:val="auto"/>
              </w:rPr>
              <w:t>Shu-Hua (Joshua) Yeh</w:t>
            </w:r>
          </w:p>
        </w:tc>
        <w:tc>
          <w:tcPr>
            <w:tcW w:w="7040" w:type="dxa"/>
            <w:vAlign w:val="bottom"/>
          </w:tcPr>
          <w:p>
            <w:pPr>
              <w:ind w:left="240"/>
              <w:spacing w:after="0"/>
              <w:rPr>
                <w:sz w:val="20"/>
                <w:szCs w:val="20"/>
                <w:color w:val="auto"/>
              </w:rPr>
            </w:pPr>
            <w:r>
              <w:rPr>
                <w:rFonts w:ascii="Arial" w:cs="Arial" w:eastAsia="Arial" w:hAnsi="Arial"/>
                <w:sz w:val="16"/>
                <w:szCs w:val="16"/>
                <w:color w:val="auto"/>
              </w:rPr>
              <w:t>Senior Vice President and Asia General Manager</w:t>
            </w:r>
          </w:p>
        </w:tc>
      </w:tr>
      <w:tr>
        <w:trPr>
          <w:trHeight w:val="34"/>
        </w:trPr>
        <w:tc>
          <w:tcPr>
            <w:tcW w:w="2360" w:type="dxa"/>
            <w:vAlign w:val="bottom"/>
            <w:tcBorders>
              <w:bottom w:val="single" w:sz="8" w:color="auto"/>
            </w:tcBorders>
          </w:tcPr>
          <w:p>
            <w:pPr>
              <w:spacing w:after="0"/>
              <w:rPr>
                <w:sz w:val="3"/>
                <w:szCs w:val="3"/>
                <w:color w:val="auto"/>
              </w:rPr>
            </w:pPr>
          </w:p>
        </w:tc>
        <w:tc>
          <w:tcPr>
            <w:tcW w:w="7040" w:type="dxa"/>
            <w:vAlign w:val="bottom"/>
            <w:tcBorders>
              <w:bottom w:val="single" w:sz="8" w:color="auto"/>
            </w:tcBorders>
          </w:tcPr>
          <w:p>
            <w:pPr>
              <w:spacing w:after="0"/>
              <w:rPr>
                <w:sz w:val="3"/>
                <w:szCs w:val="3"/>
                <w:color w:val="auto"/>
              </w:rPr>
            </w:pPr>
          </w:p>
        </w:tc>
      </w:tr>
      <w:tr>
        <w:trPr>
          <w:trHeight w:val="269"/>
        </w:trPr>
        <w:tc>
          <w:tcPr>
            <w:tcW w:w="2360" w:type="dxa"/>
            <w:vAlign w:val="bottom"/>
          </w:tcPr>
          <w:p>
            <w:pPr>
              <w:spacing w:after="0"/>
              <w:rPr>
                <w:sz w:val="20"/>
                <w:szCs w:val="20"/>
                <w:color w:val="auto"/>
              </w:rPr>
            </w:pPr>
            <w:r>
              <w:rPr>
                <w:rFonts w:ascii="Arial" w:cs="Arial" w:eastAsia="Arial" w:hAnsi="Arial"/>
                <w:sz w:val="16"/>
                <w:szCs w:val="16"/>
                <w:b w:val="1"/>
                <w:bCs w:val="1"/>
                <w:color w:val="auto"/>
              </w:rPr>
              <w:t>David C. Kuo</w:t>
            </w:r>
          </w:p>
        </w:tc>
        <w:tc>
          <w:tcPr>
            <w:tcW w:w="7040" w:type="dxa"/>
            <w:vAlign w:val="bottom"/>
          </w:tcPr>
          <w:p>
            <w:pPr>
              <w:ind w:left="240"/>
              <w:spacing w:after="0"/>
              <w:rPr>
                <w:sz w:val="20"/>
                <w:szCs w:val="20"/>
                <w:color w:val="auto"/>
              </w:rPr>
            </w:pPr>
            <w:r>
              <w:rPr>
                <w:rFonts w:ascii="Arial" w:cs="Arial" w:eastAsia="Arial" w:hAnsi="Arial"/>
                <w:sz w:val="16"/>
                <w:szCs w:val="16"/>
                <w:color w:val="auto"/>
              </w:rPr>
              <w:t>Senior Vice President, Chief Legal Officer, Chief Compliance Officer, and Corporate Secretary</w:t>
            </w:r>
          </w:p>
        </w:tc>
      </w:tr>
      <w:tr>
        <w:trPr>
          <w:trHeight w:val="35"/>
        </w:trPr>
        <w:tc>
          <w:tcPr>
            <w:tcW w:w="2360" w:type="dxa"/>
            <w:vAlign w:val="bottom"/>
            <w:tcBorders>
              <w:bottom w:val="single" w:sz="8" w:color="auto"/>
            </w:tcBorders>
          </w:tcPr>
          <w:p>
            <w:pPr>
              <w:spacing w:after="0"/>
              <w:rPr>
                <w:sz w:val="3"/>
                <w:szCs w:val="3"/>
                <w:color w:val="auto"/>
              </w:rPr>
            </w:pPr>
          </w:p>
        </w:tc>
        <w:tc>
          <w:tcPr>
            <w:tcW w:w="7040" w:type="dxa"/>
            <w:vAlign w:val="bottom"/>
            <w:tcBorders>
              <w:bottom w:val="single" w:sz="8" w:color="auto"/>
            </w:tcBorders>
          </w:tcPr>
          <w:p>
            <w:pPr>
              <w:spacing w:after="0"/>
              <w:rPr>
                <w:sz w:val="3"/>
                <w:szCs w:val="3"/>
                <w:color w:val="auto"/>
              </w:rPr>
            </w:pPr>
          </w:p>
        </w:tc>
      </w:tr>
    </w:tbl>
    <w:p>
      <w:pPr>
        <w:spacing w:after="0" w:line="202" w:lineRule="exact"/>
        <w:rPr>
          <w:sz w:val="20"/>
          <w:szCs w:val="20"/>
          <w:color w:val="auto"/>
        </w:rPr>
      </w:pPr>
    </w:p>
    <w:p>
      <w:pPr>
        <w:ind w:left="660"/>
        <w:spacing w:after="0" w:line="275" w:lineRule="auto"/>
        <w:rPr>
          <w:sz w:val="20"/>
          <w:szCs w:val="20"/>
          <w:color w:val="auto"/>
        </w:rPr>
      </w:pPr>
      <w:r>
        <w:rPr>
          <w:rFonts w:ascii="Arial" w:cs="Arial" w:eastAsia="Arial" w:hAnsi="Arial"/>
          <w:sz w:val="16"/>
          <w:szCs w:val="16"/>
          <w:color w:val="auto"/>
        </w:rPr>
        <w:t>This CD&amp;A provides an overview of our executive compensation philosophy and objectives and describes the decisions made regarding the material elements of our executive compensation program during 2025. To provide a performance viewpoint, the CD&amp;A also summarizes most recent revenue and total stockholder return (“TSR”) performance.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Company Performance</w:t>
      </w:r>
    </w:p>
    <w:p>
      <w:pPr>
        <w:spacing w:after="0" w:line="112"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The compensation committee considers Company performance when determining compensation actions. 2025 was an exceptionally strong year in terms of revenue growth and stockholder value creation, and set the foundation for future growth. The chart below summarizes our five-year revenue growth and TSR compared to the 2025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65405</wp:posOffset>
            </wp:positionV>
            <wp:extent cx="5212080" cy="31286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2080" cy="312864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4086225</wp:posOffset>
            </wp:positionV>
            <wp:extent cx="334010" cy="162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27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Key Aspects of 2025 Executive Compensation: Strong Emphasis on Performance</w:t>
      </w:r>
    </w:p>
    <w:p>
      <w:pPr>
        <w:spacing w:after="0" w:line="126" w:lineRule="exact"/>
        <w:rPr>
          <w:sz w:val="20"/>
          <w:szCs w:val="20"/>
          <w:color w:val="auto"/>
        </w:rPr>
      </w:pPr>
    </w:p>
    <w:p>
      <w:pPr>
        <w:ind w:left="660" w:right="80"/>
        <w:spacing w:after="0" w:line="256" w:lineRule="auto"/>
        <w:rPr>
          <w:sz w:val="20"/>
          <w:szCs w:val="20"/>
          <w:color w:val="auto"/>
        </w:rPr>
      </w:pPr>
      <w:r>
        <w:rPr>
          <w:rFonts w:ascii="Arial" w:cs="Arial" w:eastAsia="Arial" w:hAnsi="Arial"/>
          <w:sz w:val="16"/>
          <w:szCs w:val="16"/>
          <w:color w:val="auto"/>
        </w:rPr>
        <w:t>Majority of CEO Total Compensation is Performance-Based and Other NEO Total Compensation is Variable-Based. As shown in the table below, approximately 90% of our CEO’s 2025 regular annual total target compensation was variable and at-risk, with about 51% being performance-based. Similarly, about 83% of our other NEOs’ annual target compensation was variable, with about 48% being performance-based. These proportions enhance the strong link between pay and performance for our CEO and other NEOs and align the interests of Company leadership with those of the Company and its stockholders.</w:t>
      </w:r>
    </w:p>
    <w:p>
      <w:pPr>
        <w:spacing w:after="0" w:line="72"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The table below illustrates the mix of fixed base salary, annual incentive, and long-term target incentive compensation we provided to our CEO in 2025, and the high proportion that is variable and at-risk.</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2025 CEO Target Total Direct Compensation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4834BA"/>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46355</wp:posOffset>
            </wp:positionV>
            <wp:extent cx="5966460" cy="15087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646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544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5"/>
              </w:rPr>
              <w:t>2025</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Target</w:t>
            </w:r>
          </w:p>
        </w:tc>
        <w:tc>
          <w:tcPr>
            <w:tcW w:w="2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3"/>
              </w:rPr>
              <w:t>Target</w:t>
            </w: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2025</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5"/>
              </w:rPr>
              <w:t>Long-Term</w:t>
            </w:r>
          </w:p>
        </w:tc>
        <w:tc>
          <w:tcPr>
            <w:tcW w:w="200" w:type="dxa"/>
            <w:vAlign w:val="bottom"/>
          </w:tcPr>
          <w:p>
            <w:pPr>
              <w:spacing w:after="0"/>
              <w:rPr>
                <w:sz w:val="15"/>
                <w:szCs w:val="15"/>
                <w:color w:val="auto"/>
              </w:rPr>
            </w:pPr>
          </w:p>
        </w:tc>
        <w:tc>
          <w:tcPr>
            <w:tcW w:w="8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5"/>
              </w:rPr>
              <w:t>Long-Term</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Base</w:t>
            </w:r>
          </w:p>
        </w:tc>
        <w:tc>
          <w:tcPr>
            <w:tcW w:w="260" w:type="dxa"/>
            <w:vAlign w:val="bottom"/>
          </w:tcPr>
          <w:p>
            <w:pPr>
              <w:spacing w:after="0"/>
              <w:rPr>
                <w:sz w:val="15"/>
                <w:szCs w:val="15"/>
                <w:color w:val="auto"/>
              </w:rPr>
            </w:pPr>
          </w:p>
        </w:tc>
        <w:tc>
          <w:tcPr>
            <w:tcW w:w="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Annual</w:t>
            </w:r>
          </w:p>
        </w:tc>
        <w:tc>
          <w:tcPr>
            <w:tcW w:w="24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6"/>
              </w:rPr>
              <w:t>Incentive:</w:t>
            </w:r>
          </w:p>
        </w:tc>
        <w:tc>
          <w:tcPr>
            <w:tcW w:w="20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6"/>
              </w:rPr>
              <w:t>Incentive:</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5"/>
              </w:rPr>
              <w:t>Salary</w:t>
            </w:r>
          </w:p>
        </w:tc>
        <w:tc>
          <w:tcPr>
            <w:tcW w:w="1120" w:type="dxa"/>
            <w:vAlign w:val="bottom"/>
            <w:tcBorders>
              <w:bottom w:val="single" w:sz="8" w:color="auto"/>
            </w:tcBorders>
            <w:gridSpan w:val="3"/>
          </w:tcPr>
          <w:p>
            <w:pPr>
              <w:ind w:left="60"/>
              <w:spacing w:after="0" w:line="269" w:lineRule="exact"/>
              <w:rPr>
                <w:sz w:val="20"/>
                <w:szCs w:val="20"/>
                <w:color w:val="auto"/>
              </w:rPr>
            </w:pPr>
            <w:r>
              <w:rPr>
                <w:rFonts w:ascii="Arial" w:cs="Arial" w:eastAsia="Arial" w:hAnsi="Arial"/>
                <w:sz w:val="31"/>
                <w:szCs w:val="31"/>
                <w:b w:val="1"/>
                <w:bCs w:val="1"/>
                <w:color w:val="auto"/>
                <w:vertAlign w:val="subscript"/>
              </w:rPr>
              <w:t>​ ​</w:t>
            </w:r>
            <w:r>
              <w:rPr>
                <w:rFonts w:ascii="Arial" w:cs="Arial" w:eastAsia="Arial" w:hAnsi="Arial"/>
                <w:sz w:val="16"/>
                <w:szCs w:val="16"/>
                <w:b w:val="1"/>
                <w:bCs w:val="1"/>
                <w:color w:val="auto"/>
              </w:rPr>
              <w:t xml:space="preserve"> Incentive </w:t>
            </w:r>
            <w:r>
              <w:rPr>
                <w:rFonts w:ascii="Arial" w:cs="Arial" w:eastAsia="Arial" w:hAnsi="Arial"/>
                <w:sz w:val="31"/>
                <w:szCs w:val="31"/>
                <w:b w:val="1"/>
                <w:bCs w:val="1"/>
                <w:color w:val="auto"/>
                <w:vertAlign w:val="subscript"/>
              </w:rPr>
              <w:t>​ ​</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PSUs</w:t>
            </w:r>
          </w:p>
        </w:tc>
        <w:tc>
          <w:tcPr>
            <w:tcW w:w="1040" w:type="dxa"/>
            <w:vAlign w:val="bottom"/>
            <w:tcBorders>
              <w:bottom w:val="single" w:sz="8" w:color="auto"/>
            </w:tcBorders>
            <w:gridSpan w:val="2"/>
          </w:tcPr>
          <w:p>
            <w:pPr>
              <w:ind w:left="40"/>
              <w:spacing w:after="0" w:line="269" w:lineRule="exact"/>
              <w:rPr>
                <w:sz w:val="20"/>
                <w:szCs w:val="20"/>
                <w:color w:val="auto"/>
              </w:rPr>
            </w:pPr>
            <w:r>
              <w:rPr>
                <w:rFonts w:ascii="Arial" w:cs="Arial" w:eastAsia="Arial" w:hAnsi="Arial"/>
                <w:sz w:val="31"/>
                <w:szCs w:val="31"/>
                <w:b w:val="1"/>
                <w:bCs w:val="1"/>
                <w:color w:val="auto"/>
                <w:vertAlign w:val="subscript"/>
              </w:rPr>
              <w:t>​ ​</w:t>
            </w:r>
            <w:r>
              <w:rPr>
                <w:rFonts w:ascii="Arial" w:cs="Arial" w:eastAsia="Arial" w:hAnsi="Arial"/>
                <w:sz w:val="16"/>
                <w:szCs w:val="16"/>
                <w:b w:val="1"/>
                <w:bCs w:val="1"/>
                <w:color w:val="auto"/>
              </w:rPr>
              <w:t xml:space="preserve">   RSUs</w:t>
            </w:r>
          </w:p>
        </w:tc>
        <w:tc>
          <w:tcPr>
            <w:tcW w:w="940" w:type="dxa"/>
            <w:vAlign w:val="bottom"/>
            <w:tcBorders>
              <w:bottom w:val="single" w:sz="8" w:color="auto"/>
            </w:tcBorders>
            <w:gridSpan w:val="2"/>
          </w:tcPr>
          <w:p>
            <w:pPr>
              <w:ind w:left="40"/>
              <w:spacing w:after="0" w:line="269" w:lineRule="exact"/>
              <w:rPr>
                <w:sz w:val="20"/>
                <w:szCs w:val="20"/>
                <w:color w:val="auto"/>
              </w:rPr>
            </w:pPr>
            <w:r>
              <w:rPr>
                <w:rFonts w:ascii="Arial" w:cs="Arial" w:eastAsia="Arial" w:hAnsi="Arial"/>
                <w:sz w:val="31"/>
                <w:szCs w:val="31"/>
                <w:b w:val="1"/>
                <w:bCs w:val="1"/>
                <w:color w:val="auto"/>
                <w:vertAlign w:val="subscript"/>
              </w:rPr>
              <w:t>​ ​</w:t>
            </w:r>
            <w:r>
              <w:rPr>
                <w:rFonts w:ascii="Arial" w:cs="Arial" w:eastAsia="Arial" w:hAnsi="Arial"/>
                <w:sz w:val="16"/>
                <w:szCs w:val="16"/>
                <w:b w:val="1"/>
                <w:bCs w:val="1"/>
                <w:color w:val="auto"/>
              </w:rPr>
              <w:t xml:space="preserve">  Total</w:t>
            </w:r>
          </w:p>
        </w:tc>
        <w:tc>
          <w:tcPr>
            <w:tcW w:w="0" w:type="dxa"/>
            <w:vAlign w:val="bottom"/>
          </w:tcPr>
          <w:p>
            <w:pPr>
              <w:spacing w:after="0"/>
              <w:rPr>
                <w:sz w:val="1"/>
                <w:szCs w:val="1"/>
                <w:color w:val="auto"/>
              </w:rPr>
            </w:pPr>
          </w:p>
        </w:tc>
      </w:tr>
      <w:tr>
        <w:trPr>
          <w:trHeight w:val="269"/>
        </w:trPr>
        <w:tc>
          <w:tcPr>
            <w:tcW w:w="68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w:t>
            </w:r>
          </w:p>
        </w:tc>
        <w:tc>
          <w:tcPr>
            <w:tcW w:w="2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 ​</w:t>
            </w: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w:t>
            </w:r>
          </w:p>
        </w:tc>
        <w:tc>
          <w:tcPr>
            <w:tcW w:w="6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jc w:val="right"/>
        <w:spacing w:after="0" w:line="223" w:lineRule="auto"/>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770,369 </w:t>
      </w:r>
      <w:r>
        <w:rPr>
          <w:rFonts w:ascii="Arial" w:cs="Arial" w:eastAsia="Arial" w:hAnsi="Arial"/>
          <w:sz w:val="32"/>
          <w:szCs w:val="32"/>
          <w:color w:val="auto"/>
          <w:vertAlign w:val="subscript"/>
        </w:rPr>
        <w:t>​ ​ ​</w:t>
      </w:r>
      <w:r>
        <w:rPr>
          <w:rFonts w:ascii="Arial" w:cs="Arial" w:eastAsia="Arial" w:hAnsi="Arial"/>
          <w:sz w:val="16"/>
          <w:szCs w:val="16"/>
          <w:color w:val="auto"/>
        </w:rPr>
        <w:t xml:space="preserve">962,961 </w:t>
      </w:r>
      <w:r>
        <w:rPr>
          <w:rFonts w:ascii="Arial" w:cs="Arial" w:eastAsia="Arial" w:hAnsi="Arial"/>
          <w:sz w:val="32"/>
          <w:szCs w:val="32"/>
          <w:color w:val="auto"/>
          <w:vertAlign w:val="subscript"/>
        </w:rPr>
        <w:t>​​ ​ ​</w:t>
      </w:r>
      <w:r>
        <w:rPr>
          <w:rFonts w:ascii="Arial" w:cs="Arial" w:eastAsia="Arial" w:hAnsi="Arial"/>
          <w:sz w:val="16"/>
          <w:szCs w:val="16"/>
          <w:color w:val="auto"/>
        </w:rPr>
        <w:t xml:space="preserve">2,850,000 </w:t>
      </w:r>
      <w:r>
        <w:rPr>
          <w:rFonts w:ascii="Arial" w:cs="Arial" w:eastAsia="Arial" w:hAnsi="Arial"/>
          <w:sz w:val="32"/>
          <w:szCs w:val="32"/>
          <w:color w:val="auto"/>
          <w:vertAlign w:val="subscript"/>
        </w:rPr>
        <w:t>​​ ​ ​</w:t>
      </w:r>
      <w:r>
        <w:rPr>
          <w:rFonts w:ascii="Arial" w:cs="Arial" w:eastAsia="Arial" w:hAnsi="Arial"/>
          <w:sz w:val="16"/>
          <w:szCs w:val="16"/>
          <w:color w:val="auto"/>
        </w:rPr>
        <w:t xml:space="preserve">2,850,000 </w:t>
      </w:r>
      <w:r>
        <w:rPr>
          <w:rFonts w:ascii="Arial" w:cs="Arial" w:eastAsia="Arial" w:hAnsi="Arial"/>
          <w:sz w:val="32"/>
          <w:szCs w:val="32"/>
          <w:color w:val="auto"/>
          <w:vertAlign w:val="subscript"/>
        </w:rPr>
        <w:t>​​ ​​</w:t>
      </w:r>
      <w:r>
        <w:rPr>
          <w:rFonts w:ascii="Arial" w:cs="Arial" w:eastAsia="Arial" w:hAnsi="Arial"/>
          <w:sz w:val="16"/>
          <w:szCs w:val="16"/>
          <w:color w:val="auto"/>
        </w:rPr>
        <w:t>7,433,330</w:t>
      </w:r>
    </w:p>
    <w:p>
      <w:pPr>
        <w:sectPr>
          <w:pgSz w:w="11900" w:h="16838" w:orient="portrait"/>
          <w:cols w:equalWidth="0" w:num="1">
            <w:col w:w="10060"/>
          </w:cols>
          <w:pgMar w:left="580" w:top="97" w:right="1259" w:bottom="1440" w:gutter="0" w:footer="0" w:header="0"/>
        </w:sect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Long 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28632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07" w:lineRule="exact"/>
        <w:rPr>
          <w:sz w:val="20"/>
          <w:szCs w:val="20"/>
          <w:color w:val="auto"/>
        </w:rPr>
      </w:pPr>
    </w:p>
    <w:p>
      <w:pPr>
        <w:ind w:left="660" w:right="380"/>
        <w:spacing w:after="0" w:line="282" w:lineRule="auto"/>
        <w:rPr>
          <w:sz w:val="20"/>
          <w:szCs w:val="20"/>
          <w:color w:val="auto"/>
        </w:rPr>
      </w:pPr>
      <w:r>
        <w:rPr>
          <w:rFonts w:ascii="Arial" w:cs="Arial" w:eastAsia="Arial" w:hAnsi="Arial"/>
          <w:sz w:val="15"/>
          <w:szCs w:val="15"/>
          <w:b w:val="1"/>
          <w:bCs w:val="1"/>
          <w:color w:val="auto"/>
        </w:rPr>
        <w:t xml:space="preserve">50% of CEO and Other NEO Long-Term Incentive Compensation is Performance-Based: Rigorous, Pre-Set Three-Year Financial Goals. </w:t>
      </w:r>
      <w:r>
        <w:rPr>
          <w:rFonts w:ascii="Arial" w:cs="Arial" w:eastAsia="Arial" w:hAnsi="Arial"/>
          <w:sz w:val="15"/>
          <w:szCs w:val="15"/>
          <w:color w:val="auto"/>
        </w:rPr>
        <w:t>50% of our CEO’s and other</w:t>
      </w:r>
    </w:p>
    <w:p>
      <w:pPr>
        <w:spacing w:after="0" w:line="2" w:lineRule="exact"/>
        <w:rPr>
          <w:sz w:val="20"/>
          <w:szCs w:val="20"/>
          <w:color w:val="auto"/>
        </w:rPr>
      </w:pPr>
    </w:p>
    <w:p>
      <w:pPr>
        <w:ind w:left="660"/>
        <w:spacing w:after="0" w:line="261" w:lineRule="auto"/>
        <w:rPr>
          <w:sz w:val="20"/>
          <w:szCs w:val="20"/>
          <w:color w:val="auto"/>
        </w:rPr>
      </w:pPr>
      <w:r>
        <w:rPr>
          <w:rFonts w:ascii="Arial" w:cs="Arial" w:eastAsia="Arial" w:hAnsi="Arial"/>
          <w:sz w:val="16"/>
          <w:szCs w:val="16"/>
          <w:color w:val="auto"/>
        </w:rPr>
        <w:t>NEOs’ target long-term incentive annual equity grant was in the form of performance-based restricted stock units (“PSUs”). The PSUs are based 50% on a relative TSR goal and 50% on the attainment of a stock price hurdle, both measured over a three-year performance period. The threshold levels of performance that must be met before any PSUs are earned are rigorous and challenging.</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 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wp:posOffset>
            </wp:positionV>
            <wp:extent cx="28632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0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b w:val="1"/>
          <w:bCs w:val="1"/>
          <w:color w:val="auto"/>
        </w:rPr>
        <w:t xml:space="preserve">Short-Term Annual Cash Incentive: Rigorous, Pre-Set Annual Operational Goals. </w:t>
      </w:r>
      <w:r>
        <w:rPr>
          <w:rFonts w:ascii="Arial" w:cs="Arial" w:eastAsia="Arial" w:hAnsi="Arial"/>
          <w:sz w:val="16"/>
          <w:szCs w:val="16"/>
          <w:color w:val="auto"/>
        </w:rPr>
        <w:t>At the beginning of 2025, we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annual cash incentive plan targets for achieving certain operational milestones (“2025 Targets”) as outlined below. We believe the 2025 Targets were rigorous, aggressive, and challenging, attainable only by demonstrated commitment and strong performance by the management team. The 2025 Targets took into account the relevant opportunities and risks we were facing.</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Target 1 “Revenue” (25%​ Weighting). </w:t>
      </w:r>
      <w:r>
        <w:rPr>
          <w:rFonts w:ascii="Arial" w:cs="Arial" w:eastAsia="Arial" w:hAnsi="Arial"/>
          <w:sz w:val="16"/>
          <w:szCs w:val="16"/>
          <w:color w:val="auto"/>
        </w:rPr>
        <w:t>The 2025 Revenue</w:t>
      </w:r>
    </w:p>
    <w:p>
      <w:pPr>
        <w:spacing w:after="0" w:line="35" w:lineRule="exact"/>
        <w:rPr>
          <w:sz w:val="20"/>
          <w:szCs w:val="20"/>
          <w:color w:val="auto"/>
        </w:rPr>
      </w:pPr>
    </w:p>
    <w:p>
      <w:pPr>
        <w:sectPr>
          <w:pgSz w:w="11900" w:h="16838" w:orient="portrait"/>
          <w:cols w:equalWidth="0" w:num="2">
            <w:col w:w="5140" w:space="380"/>
            <w:col w:w="4540"/>
          </w:cols>
          <w:pgMar w:left="580" w:top="97" w:right="1259" w:bottom="1440" w:gutter="0" w:footer="0" w:header="0"/>
          <w:type w:val="continuous"/>
        </w:sectPr>
      </w:pPr>
    </w:p>
    <w:p>
      <w:pPr>
        <w:ind w:left="660"/>
        <w:spacing w:after="0" w:line="258" w:lineRule="auto"/>
        <w:rPr>
          <w:sz w:val="20"/>
          <w:szCs w:val="20"/>
          <w:color w:val="auto"/>
        </w:rPr>
      </w:pPr>
      <w:r>
        <w:rPr>
          <w:rFonts w:ascii="Arial" w:cs="Arial" w:eastAsia="Arial" w:hAnsi="Arial"/>
          <w:sz w:val="16"/>
          <w:szCs w:val="16"/>
          <w:color w:val="auto"/>
        </w:rPr>
        <w:t>The compensation committee views the inclusion of a metric that includes relative TSR as critical because it ties executive officer compensation with the creation of stockholder value and aligns the interests of executive officers with those of the Company and its stockholders. By measuring our stock performance relative to peers, it mitigates the impact of macroeconomic factors, both positive and negative, that affect the industry and/or stock price performance and are beyond the control of management. Additionally, it provides rewards that are more directly aligned with performance through different economic cycles. The compensation committee believes this is particularly effective when coupled with an absolute TSR metric, which directly reflects the experience of the Company’s stockholders.</w:t>
      </w:r>
    </w:p>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Arial" w:cs="Arial" w:eastAsia="Arial" w:hAnsi="Arial"/>
          <w:sz w:val="16"/>
          <w:szCs w:val="16"/>
          <w:color w:val="auto"/>
        </w:rPr>
        <w:t>target was $375,000,000, a 50% increase from 2024 actual revenue. In 2025, the Company’s revenue was $455.7 million, exceeding target under Target 1, earning the maximum payout for this Target 1 bonus.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Target 2 “Non-GAAP Operating Income/Operating Loss”</w:t>
      </w:r>
    </w:p>
    <w:p>
      <w:pPr>
        <w:spacing w:after="0" w:line="35"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b w:val="1"/>
          <w:bCs w:val="1"/>
          <w:color w:val="auto"/>
        </w:rPr>
        <w:t xml:space="preserve">(25% Weighting). </w:t>
      </w:r>
      <w:r>
        <w:rPr>
          <w:rFonts w:ascii="Arial" w:cs="Arial" w:eastAsia="Arial" w:hAnsi="Arial"/>
          <w:sz w:val="15"/>
          <w:szCs w:val="15"/>
          <w:color w:val="auto"/>
        </w:rPr>
        <w:t>Non-GAAP Operating Income/Operating Loss</w:t>
      </w:r>
      <w:r>
        <w:rPr>
          <w:rFonts w:ascii="Arial" w:cs="Arial" w:eastAsia="Arial" w:hAnsi="Arial"/>
          <w:sz w:val="15"/>
          <w:szCs w:val="15"/>
          <w:b w:val="1"/>
          <w:bCs w:val="1"/>
          <w:color w:val="auto"/>
        </w:rPr>
        <w:t xml:space="preserve"> </w:t>
      </w:r>
      <w:r>
        <w:rPr>
          <w:rFonts w:ascii="Arial" w:cs="Arial" w:eastAsia="Arial" w:hAnsi="Arial"/>
          <w:sz w:val="15"/>
          <w:szCs w:val="15"/>
          <w:color w:val="auto"/>
        </w:rPr>
        <w:t>is our GAAP operating income (loss) as defined under generally accepted accounting principles, excluding share-based compensation expense, expenses associated with discontinued products, non-cash expenses associated with discontinued products, amortization expense, and non-recurring expenses. The 2025 Non-GAAP Operating Income/​Operating Loss target was Non-GAAP Operating Income/​Operating Loss of $0, or breakeven. In 2025, the Company’s performance was between</w:t>
      </w:r>
    </w:p>
    <w:p>
      <w:pPr>
        <w:spacing w:after="0" w:line="6" w:lineRule="exact"/>
        <w:rPr>
          <w:sz w:val="20"/>
          <w:szCs w:val="20"/>
          <w:color w:val="auto"/>
        </w:rPr>
      </w:pPr>
    </w:p>
    <w:p>
      <w:pPr>
        <w:sectPr>
          <w:pgSz w:w="11900" w:h="16838" w:orient="portrait"/>
          <w:cols w:equalWidth="0" w:num="2">
            <w:col w:w="5160" w:space="360"/>
            <w:col w:w="4540"/>
          </w:cols>
          <w:pgMar w:left="580" w:top="97" w:right="1259" w:bottom="1440" w:gutter="0" w:footer="0" w:header="0"/>
          <w:type w:val="continuous"/>
        </w:sectPr>
      </w:pPr>
    </w:p>
    <w:p>
      <w:pPr>
        <w:ind w:left="660" w:right="80"/>
        <w:spacing w:after="0" w:line="266" w:lineRule="auto"/>
        <w:rPr>
          <w:sz w:val="20"/>
          <w:szCs w:val="20"/>
          <w:color w:val="auto"/>
        </w:rPr>
      </w:pPr>
      <w:r>
        <w:rPr>
          <w:rFonts w:ascii="Arial" w:cs="Arial" w:eastAsia="Arial" w:hAnsi="Arial"/>
          <w:sz w:val="16"/>
          <w:szCs w:val="16"/>
          <w:color w:val="auto"/>
        </w:rPr>
        <w:t>The other 50% of our CEO’s long-term incentive equity grant was in the form of restricted stock units (“RSUs”), which drives longer-term retention, and provides some value even during periods of market or stock price underperformance.</w:t>
      </w:r>
    </w:p>
    <w:p>
      <w:pPr>
        <w:spacing w:after="0" w:line="63" w:lineRule="exact"/>
        <w:rPr>
          <w:sz w:val="20"/>
          <w:szCs w:val="20"/>
          <w:color w:val="auto"/>
        </w:rPr>
      </w:pPr>
    </w:p>
    <w:p>
      <w:pPr>
        <w:ind w:left="660"/>
        <w:spacing w:after="0" w:line="271" w:lineRule="auto"/>
        <w:rPr>
          <w:sz w:val="20"/>
          <w:szCs w:val="20"/>
          <w:color w:val="auto"/>
        </w:rPr>
      </w:pPr>
      <w:r>
        <w:rPr>
          <w:rFonts w:ascii="Arial" w:cs="Arial" w:eastAsia="Arial" w:hAnsi="Arial"/>
          <w:sz w:val="16"/>
          <w:szCs w:val="16"/>
          <w:color w:val="auto"/>
        </w:rPr>
        <w:t>The proportion of total compensation that was variable and at-risk and the other performance-based metrics further enhanced the link between pay and performance for the CEO and NEOs in 2025 and strengthened the alignment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235585</wp:posOffset>
            </wp:positionV>
            <wp:extent cx="33401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70" w:lineRule="auto"/>
        <w:rPr>
          <w:sz w:val="20"/>
          <w:szCs w:val="20"/>
          <w:color w:val="auto"/>
        </w:rPr>
      </w:pPr>
      <w:r>
        <w:rPr>
          <w:rFonts w:ascii="Arial" w:cs="Arial" w:eastAsia="Arial" w:hAnsi="Arial"/>
          <w:sz w:val="16"/>
          <w:szCs w:val="16"/>
          <w:color w:val="auto"/>
        </w:rPr>
        <w:t>the minimum and reduced levels, earning a percentage of this Target 2 bonus.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Target 3 “Design Win” (50%​ Weighting). </w:t>
      </w:r>
      <w:r>
        <w:rPr>
          <w:rFonts w:ascii="Arial" w:cs="Arial" w:eastAsia="Arial" w:hAnsi="Arial"/>
          <w:sz w:val="16"/>
          <w:szCs w:val="16"/>
          <w:color w:val="auto"/>
        </w:rPr>
        <w:t>The Company’s</w:t>
      </w:r>
    </w:p>
    <w:p>
      <w:pPr>
        <w:spacing w:after="0" w:line="3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success and growth is dependent on the ability to sell new products and obtain significant market share from design wins. “Design Win” is defined as the successful completion of the evaluation stage, where our customer has tested our product, verified that our product meets substantially all of</w:t>
      </w:r>
    </w:p>
    <w:p>
      <w:pPr>
        <w:spacing w:after="0" w:line="207" w:lineRule="exact"/>
        <w:rPr>
          <w:sz w:val="20"/>
          <w:szCs w:val="20"/>
          <w:color w:val="auto"/>
        </w:rPr>
      </w:pPr>
    </w:p>
    <w:p>
      <w:pPr>
        <w:sectPr>
          <w:pgSz w:w="11900" w:h="16838" w:orient="portrait"/>
          <w:cols w:equalWidth="0" w:num="2">
            <w:col w:w="5140" w:space="380"/>
            <w:col w:w="4540"/>
          </w:cols>
          <w:pgMar w:left="580" w:top="97" w:right="1259" w:bottom="1440" w:gutter="0" w:footer="0" w:header="0"/>
          <w:type w:val="continuous"/>
        </w:sectPr>
      </w:pPr>
    </w:p>
    <w:p>
      <w:pPr>
        <w:spacing w:after="0" w:line="202"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28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2"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Long Term Incentive</w:t>
            </w:r>
          </w:p>
        </w:tc>
        <w:tc>
          <w:tcPr>
            <w:tcW w:w="4520" w:type="dxa"/>
            <w:vAlign w:val="bottom"/>
          </w:tcPr>
          <w:p>
            <w:pPr>
              <w:spacing w:after="0"/>
              <w:rPr>
                <w:sz w:val="20"/>
                <w:szCs w:val="20"/>
                <w:color w:val="auto"/>
              </w:rPr>
            </w:pPr>
            <w:r>
              <w:rPr>
                <w:rFonts w:ascii="Arial" w:cs="Arial" w:eastAsia="Arial" w:hAnsi="Arial"/>
                <w:sz w:val="16"/>
                <w:szCs w:val="16"/>
                <w:b w:val="1"/>
                <w:bCs w:val="1"/>
                <w:color w:val="auto"/>
              </w:rPr>
              <w:t>Short Term Incentive</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6"/>
                <w:szCs w:val="16"/>
                <w:color w:val="auto"/>
              </w:rPr>
              <w:t>interests of the executive officers with those of our</w:t>
            </w:r>
          </w:p>
        </w:tc>
        <w:tc>
          <w:tcPr>
            <w:tcW w:w="4520" w:type="dxa"/>
            <w:vAlign w:val="bottom"/>
          </w:tcPr>
          <w:p>
            <w:pPr>
              <w:spacing w:after="0"/>
              <w:rPr>
                <w:sz w:val="20"/>
                <w:szCs w:val="20"/>
                <w:color w:val="auto"/>
              </w:rPr>
            </w:pPr>
            <w:r>
              <w:rPr>
                <w:rFonts w:ascii="Arial" w:cs="Arial" w:eastAsia="Arial" w:hAnsi="Arial"/>
                <w:sz w:val="16"/>
                <w:szCs w:val="16"/>
                <w:color w:val="auto"/>
              </w:rPr>
              <w:t>their requirements and has informed us that they intend to</w:t>
            </w:r>
          </w:p>
        </w:tc>
      </w:tr>
      <w:tr>
        <w:trPr>
          <w:trHeight w:val="189"/>
        </w:trPr>
        <w:tc>
          <w:tcPr>
            <w:tcW w:w="4860" w:type="dxa"/>
            <w:vAlign w:val="bottom"/>
            <w:gridSpan w:val="2"/>
          </w:tcPr>
          <w:p>
            <w:pPr>
              <w:spacing w:after="0"/>
              <w:rPr>
                <w:sz w:val="20"/>
                <w:szCs w:val="20"/>
                <w:color w:val="auto"/>
              </w:rPr>
            </w:pPr>
            <w:r>
              <w:rPr>
                <w:rFonts w:ascii="Arial" w:cs="Arial" w:eastAsia="Arial" w:hAnsi="Arial"/>
                <w:sz w:val="16"/>
                <w:szCs w:val="16"/>
                <w:color w:val="auto"/>
              </w:rPr>
              <w:t>stockholders.</w:t>
            </w:r>
          </w:p>
        </w:tc>
        <w:tc>
          <w:tcPr>
            <w:tcW w:w="4520" w:type="dxa"/>
            <w:vAlign w:val="bottom"/>
          </w:tcPr>
          <w:p>
            <w:pPr>
              <w:spacing w:after="0"/>
              <w:rPr>
                <w:sz w:val="20"/>
                <w:szCs w:val="20"/>
                <w:color w:val="auto"/>
              </w:rPr>
            </w:pPr>
            <w:r>
              <w:rPr>
                <w:rFonts w:ascii="Arial" w:cs="Arial" w:eastAsia="Arial" w:hAnsi="Arial"/>
                <w:sz w:val="16"/>
                <w:szCs w:val="16"/>
                <w:color w:val="auto"/>
              </w:rPr>
              <w:t>purchase the product from us. The Design Win target was to</w:t>
            </w:r>
          </w:p>
        </w:tc>
      </w:tr>
      <w:tr>
        <w:trPr>
          <w:trHeight w:val="203"/>
        </w:trPr>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complete two Design Wins in 2025. In 2025, the Company</w:t>
            </w:r>
          </w:p>
        </w:tc>
      </w:tr>
      <w:tr>
        <w:trPr>
          <w:trHeight w:val="203"/>
        </w:trPr>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exceeded this target by obtaining three Design Wins under</w:t>
            </w:r>
          </w:p>
        </w:tc>
      </w:tr>
      <w:tr>
        <w:trPr>
          <w:trHeight w:val="215"/>
        </w:trPr>
        <w:tc>
          <w:tcPr>
            <w:tcW w:w="4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Target 3, earning the maximum payout for Target 3.</w:t>
            </w:r>
          </w:p>
        </w:tc>
      </w:tr>
    </w:tbl>
    <w:p>
      <w:pPr>
        <w:spacing w:after="0" w:line="244" w:lineRule="exact"/>
        <w:rPr>
          <w:sz w:val="20"/>
          <w:szCs w:val="20"/>
          <w:color w:val="auto"/>
        </w:rPr>
      </w:pPr>
    </w:p>
    <w:p>
      <w:pPr>
        <w:ind w:left="660" w:right="280"/>
        <w:spacing w:after="0" w:line="275" w:lineRule="auto"/>
        <w:rPr>
          <w:sz w:val="20"/>
          <w:szCs w:val="20"/>
          <w:color w:val="auto"/>
        </w:rPr>
      </w:pPr>
      <w:r>
        <w:rPr>
          <w:rFonts w:ascii="Arial" w:cs="Arial" w:eastAsia="Arial" w:hAnsi="Arial"/>
          <w:sz w:val="16"/>
          <w:szCs w:val="16"/>
          <w:color w:val="auto"/>
        </w:rPr>
        <w:t>The compensation committee determined that the Company’s aggregate achievement under the three 2025 Targets for the short-term annual cash incentive plan was 104.79%. Additional details are provided below under the heading “2025 Annual Cash Bonuses.”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Objectives of our Compensation Program</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designed our executive compensation program to achieve the following primary objectives:</w:t>
      </w:r>
    </w:p>
    <w:p>
      <w:pPr>
        <w:spacing w:after="0" w:line="113" w:lineRule="exact"/>
        <w:rPr>
          <w:sz w:val="20"/>
          <w:szCs w:val="20"/>
          <w:color w:val="auto"/>
        </w:rPr>
      </w:pPr>
    </w:p>
    <w:p>
      <w:pPr>
        <w:ind w:left="660" w:right="140"/>
        <w:spacing w:after="0" w:line="304" w:lineRule="auto"/>
        <w:rPr>
          <w:sz w:val="20"/>
          <w:szCs w:val="20"/>
          <w:color w:val="auto"/>
        </w:rPr>
      </w:pPr>
      <w:r>
        <w:rPr>
          <w:rFonts w:ascii="Arial" w:cs="Arial" w:eastAsia="Arial" w:hAnsi="Arial"/>
          <w:sz w:val="16"/>
          <w:szCs w:val="16"/>
          <w:b w:val="1"/>
          <w:bCs w:val="1"/>
          <w:color w:val="auto"/>
        </w:rPr>
        <w:t xml:space="preserve">Management Development and Continuity. </w:t>
      </w:r>
      <w:r>
        <w:rPr>
          <w:rFonts w:ascii="Arial" w:cs="Arial" w:eastAsia="Arial" w:hAnsi="Arial"/>
          <w:sz w:val="16"/>
          <w:szCs w:val="16"/>
          <w:color w:val="auto"/>
        </w:rPr>
        <w:t>Provide compensation and benefit levels that will attract, retain, motivate, and reward a</w:t>
      </w:r>
      <w:r>
        <w:rPr>
          <w:rFonts w:ascii="Arial" w:cs="Arial" w:eastAsia="Arial" w:hAnsi="Arial"/>
          <w:sz w:val="16"/>
          <w:szCs w:val="16"/>
          <w:b w:val="1"/>
          <w:bCs w:val="1"/>
          <w:color w:val="auto"/>
        </w:rPr>
        <w:t xml:space="preserve"> </w:t>
      </w:r>
      <w:r>
        <w:rPr>
          <w:rFonts w:ascii="Arial" w:cs="Arial" w:eastAsia="Arial" w:hAnsi="Arial"/>
          <w:sz w:val="16"/>
          <w:szCs w:val="16"/>
          <w:color w:val="auto"/>
        </w:rPr>
        <w:t>highly talented team of executive officers within the context of responsible cost management;</w:t>
      </w:r>
    </w:p>
    <w:p>
      <w:pPr>
        <w:spacing w:after="0" w:line="47" w:lineRule="exact"/>
        <w:rPr>
          <w:sz w:val="20"/>
          <w:szCs w:val="20"/>
          <w:color w:val="auto"/>
        </w:rPr>
      </w:pPr>
    </w:p>
    <w:p>
      <w:pPr>
        <w:ind w:left="660" w:right="800"/>
        <w:spacing w:after="0" w:line="286" w:lineRule="auto"/>
        <w:rPr>
          <w:sz w:val="20"/>
          <w:szCs w:val="20"/>
          <w:color w:val="auto"/>
        </w:rPr>
      </w:pPr>
      <w:r>
        <w:rPr>
          <w:rFonts w:ascii="Arial" w:cs="Arial" w:eastAsia="Arial" w:hAnsi="Arial"/>
          <w:sz w:val="16"/>
          <w:szCs w:val="16"/>
          <w:b w:val="1"/>
          <w:bCs w:val="1"/>
          <w:color w:val="auto"/>
        </w:rPr>
        <w:t xml:space="preserve">Pay-for-Performance. </w:t>
      </w:r>
      <w:r>
        <w:rPr>
          <w:rFonts w:ascii="Arial" w:cs="Arial" w:eastAsia="Arial" w:hAnsi="Arial"/>
          <w:sz w:val="16"/>
          <w:szCs w:val="16"/>
          <w:color w:val="auto"/>
        </w:rPr>
        <w:t>Establish a direct link between our financial and operational results and strategic objectives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our executive officers; and</w:t>
      </w:r>
    </w:p>
    <w:p>
      <w:pPr>
        <w:spacing w:after="0" w:line="61" w:lineRule="exact"/>
        <w:rPr>
          <w:sz w:val="20"/>
          <w:szCs w:val="20"/>
          <w:color w:val="auto"/>
        </w:rPr>
      </w:pPr>
    </w:p>
    <w:p>
      <w:pPr>
        <w:ind w:left="660" w:right="20"/>
        <w:spacing w:after="0" w:line="275" w:lineRule="auto"/>
        <w:rPr>
          <w:sz w:val="20"/>
          <w:szCs w:val="20"/>
          <w:color w:val="auto"/>
        </w:rPr>
      </w:pPr>
      <w:r>
        <w:rPr>
          <w:rFonts w:ascii="Arial" w:cs="Arial" w:eastAsia="Arial" w:hAnsi="Arial"/>
          <w:sz w:val="16"/>
          <w:szCs w:val="16"/>
          <w:b w:val="1"/>
          <w:bCs w:val="1"/>
          <w:color w:val="auto"/>
        </w:rPr>
        <w:t xml:space="preserve">Long-Term Focus on Stockholder Value. </w:t>
      </w:r>
      <w:r>
        <w:rPr>
          <w:rFonts w:ascii="Arial" w:cs="Arial" w:eastAsia="Arial" w:hAnsi="Arial"/>
          <w:sz w:val="16"/>
          <w:szCs w:val="16"/>
          <w:color w:val="auto"/>
        </w:rPr>
        <w:t>Align the interests and objectives of our executive officers with those of our stockholders by</w:t>
      </w:r>
      <w:r>
        <w:rPr>
          <w:rFonts w:ascii="Arial" w:cs="Arial" w:eastAsia="Arial" w:hAnsi="Arial"/>
          <w:sz w:val="16"/>
          <w:szCs w:val="16"/>
          <w:b w:val="1"/>
          <w:bCs w:val="1"/>
          <w:color w:val="auto"/>
        </w:rPr>
        <w:t xml:space="preserve"> </w:t>
      </w:r>
      <w:r>
        <w:rPr>
          <w:rFonts w:ascii="Arial" w:cs="Arial" w:eastAsia="Arial" w:hAnsi="Arial"/>
          <w:sz w:val="16"/>
          <w:szCs w:val="16"/>
          <w:color w:val="auto"/>
        </w:rPr>
        <w:t>linking the long-term incentive compensation opportunities to stockholder value creation and their cash incentives to our annual performance.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2025 Compensation Program Overview</w:t>
      </w:r>
    </w:p>
    <w:p>
      <w:pPr>
        <w:spacing w:after="0" w:line="126" w:lineRule="exact"/>
        <w:rPr>
          <w:sz w:val="20"/>
          <w:szCs w:val="20"/>
          <w:color w:val="auto"/>
        </w:rPr>
      </w:pPr>
    </w:p>
    <w:p>
      <w:pPr>
        <w:ind w:left="660" w:right="200"/>
        <w:spacing w:after="0" w:line="286" w:lineRule="auto"/>
        <w:rPr>
          <w:sz w:val="20"/>
          <w:szCs w:val="20"/>
          <w:color w:val="auto"/>
        </w:rPr>
      </w:pPr>
      <w:r>
        <w:rPr>
          <w:rFonts w:ascii="Arial" w:cs="Arial" w:eastAsia="Arial" w:hAnsi="Arial"/>
          <w:sz w:val="16"/>
          <w:szCs w:val="16"/>
          <w:color w:val="auto"/>
        </w:rPr>
        <w:t>The compensation committee took the following key actions with respect to the compensation of our NEOs for 2025, mindful of the need to balance rigorous pay-for-performance with the need to retain our critical talent:</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Compensation Element</w:t>
            </w:r>
          </w:p>
        </w:tc>
        <w:tc>
          <w:tcPr>
            <w:tcW w:w="880" w:type="dxa"/>
            <w:vAlign w:val="bottom"/>
          </w:tcPr>
          <w:p>
            <w:pPr>
              <w:spacing w:after="0"/>
              <w:rPr>
                <w:sz w:val="19"/>
                <w:szCs w:val="19"/>
                <w:color w:val="auto"/>
              </w:rPr>
            </w:pPr>
          </w:p>
        </w:tc>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Weighting</w:t>
            </w:r>
          </w:p>
        </w:tc>
        <w:tc>
          <w:tcPr>
            <w:tcW w:w="2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6"/>
                <w:szCs w:val="16"/>
                <w:b w:val="1"/>
                <w:bCs w:val="1"/>
                <w:color w:val="auto"/>
              </w:rPr>
              <w:t>Details</w:t>
            </w:r>
          </w:p>
        </w:tc>
        <w:tc>
          <w:tcPr>
            <w:tcW w:w="0" w:type="dxa"/>
            <w:vAlign w:val="bottom"/>
          </w:tcPr>
          <w:p>
            <w:pPr>
              <w:spacing w:after="0"/>
              <w:rPr>
                <w:sz w:val="1"/>
                <w:szCs w:val="1"/>
                <w:color w:val="auto"/>
              </w:rPr>
            </w:pPr>
          </w:p>
        </w:tc>
      </w:tr>
      <w:tr>
        <w:trPr>
          <w:trHeight w:val="48"/>
        </w:trPr>
        <w:tc>
          <w:tcPr>
            <w:tcW w:w="1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Base Salary</w:t>
            </w:r>
          </w:p>
        </w:tc>
        <w:tc>
          <w:tcPr>
            <w:tcW w:w="880" w:type="dxa"/>
            <w:vAlign w:val="bottom"/>
          </w:tcPr>
          <w:p>
            <w:pPr>
              <w:ind w:left="500"/>
              <w:spacing w:after="0"/>
              <w:rPr>
                <w:sz w:val="20"/>
                <w:szCs w:val="20"/>
                <w:color w:val="auto"/>
              </w:rPr>
            </w:pPr>
            <w:r>
              <w:rPr>
                <w:rFonts w:ascii="Arial" w:cs="Arial" w:eastAsia="Arial" w:hAnsi="Arial"/>
                <w:sz w:val="16"/>
                <w:szCs w:val="16"/>
                <w:b w:val="1"/>
                <w:bCs w:val="1"/>
                <w:color w:val="auto"/>
              </w:rPr>
              <w:t>CEO</w:t>
            </w:r>
          </w:p>
        </w:tc>
        <w:tc>
          <w:tcPr>
            <w:tcW w:w="1720" w:type="dxa"/>
            <w:vAlign w:val="bottom"/>
          </w:tcPr>
          <w:p>
            <w:pPr>
              <w:ind w:left="860"/>
              <w:spacing w:after="0"/>
              <w:rPr>
                <w:sz w:val="20"/>
                <w:szCs w:val="20"/>
                <w:color w:val="auto"/>
              </w:rPr>
            </w:pPr>
            <w:r>
              <w:rPr>
                <w:rFonts w:ascii="Arial" w:cs="Arial" w:eastAsia="Arial" w:hAnsi="Arial"/>
                <w:sz w:val="16"/>
                <w:szCs w:val="16"/>
                <w:b w:val="1"/>
                <w:bCs w:val="1"/>
                <w:color w:val="auto"/>
              </w:rPr>
              <w:t>NEOs</w:t>
            </w:r>
          </w:p>
        </w:tc>
        <w:tc>
          <w:tcPr>
            <w:tcW w:w="2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Following the annual pay study of the compensation of</w:t>
            </w:r>
          </w:p>
        </w:tc>
        <w:tc>
          <w:tcPr>
            <w:tcW w:w="0" w:type="dxa"/>
            <w:vAlign w:val="bottom"/>
          </w:tcPr>
          <w:p>
            <w:pPr>
              <w:spacing w:after="0"/>
              <w:rPr>
                <w:sz w:val="1"/>
                <w:szCs w:val="1"/>
                <w:color w:val="auto"/>
              </w:rPr>
            </w:pPr>
          </w:p>
        </w:tc>
      </w:tr>
      <w:tr>
        <w:trPr>
          <w:trHeight w:val="95"/>
        </w:trPr>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4420" w:type="dxa"/>
            <w:vAlign w:val="bottom"/>
            <w:vMerge w:val="restart"/>
          </w:tcPr>
          <w:p>
            <w:pPr>
              <w:spacing w:after="0"/>
              <w:rPr>
                <w:sz w:val="20"/>
                <w:szCs w:val="20"/>
                <w:color w:val="auto"/>
              </w:rPr>
            </w:pPr>
            <w:r>
              <w:rPr>
                <w:rFonts w:ascii="Arial" w:cs="Arial" w:eastAsia="Arial" w:hAnsi="Arial"/>
                <w:sz w:val="16"/>
                <w:szCs w:val="16"/>
                <w:color w:val="auto"/>
              </w:rPr>
              <w:t>executive officers in comparable positions at the companies in</w:t>
            </w:r>
          </w:p>
        </w:tc>
        <w:tc>
          <w:tcPr>
            <w:tcW w:w="0" w:type="dxa"/>
            <w:vAlign w:val="bottom"/>
          </w:tcPr>
          <w:p>
            <w:pPr>
              <w:spacing w:after="0"/>
              <w:rPr>
                <w:sz w:val="1"/>
                <w:szCs w:val="1"/>
                <w:color w:val="auto"/>
              </w:rPr>
            </w:pPr>
          </w:p>
        </w:tc>
      </w:tr>
      <w:tr>
        <w:trPr>
          <w:trHeight w:val="87"/>
        </w:trPr>
        <w:tc>
          <w:tcPr>
            <w:tcW w:w="1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our peer group, which showed that the base salaries of our</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executive officers were positioned below the median of the</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peer group, the Committee approved annual base salary</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increases in a range between 16% to 22% (which percentage,</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w w:val="99"/>
              </w:rPr>
              <w:t>solely with respect to Mr. Yeh, is calculated based on his base</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w w:val="99"/>
              </w:rPr>
              <w:t>salary as denominated in NTD (New Taiwan dollars) and RMB</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(Chinese Yuan Renminbi) on the date the increase was</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approved).</w:t>
            </w:r>
          </w:p>
        </w:tc>
        <w:tc>
          <w:tcPr>
            <w:tcW w:w="0" w:type="dxa"/>
            <w:vAlign w:val="bottom"/>
          </w:tcPr>
          <w:p>
            <w:pPr>
              <w:spacing w:after="0"/>
              <w:rPr>
                <w:sz w:val="1"/>
                <w:szCs w:val="1"/>
                <w:color w:val="auto"/>
              </w:rPr>
            </w:pPr>
          </w:p>
        </w:tc>
      </w:tr>
      <w:tr>
        <w:trPr>
          <w:trHeight w:val="83"/>
        </w:trPr>
        <w:tc>
          <w:tcPr>
            <w:tcW w:w="19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Annual Cash Bonuses</w:t>
            </w: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Effective for 2025, the compensation committee increased</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target bonus opportunities for named executive officers by 20</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to 25 percentage points to more closely align bonus</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opportunities with the competitive market based on the</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updated peer group. In calibrating the 2025 bonus program,</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the compensation committee established three goals tied to</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w w:val="99"/>
              </w:rPr>
              <w:t>critical business objectives that were rigorous, aggressive, and</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challenging. Achievement of these targets was deemed most</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critical for 2025 by the Board.</w:t>
            </w:r>
          </w:p>
        </w:tc>
        <w:tc>
          <w:tcPr>
            <w:tcW w:w="0" w:type="dxa"/>
            <w:vAlign w:val="bottom"/>
          </w:tcPr>
          <w:p>
            <w:pPr>
              <w:spacing w:after="0"/>
              <w:rPr>
                <w:sz w:val="1"/>
                <w:szCs w:val="1"/>
                <w:color w:val="auto"/>
              </w:rPr>
            </w:pPr>
          </w:p>
        </w:tc>
      </w:tr>
      <w:tr>
        <w:trPr>
          <w:trHeight w:val="43"/>
        </w:trPr>
        <w:tc>
          <w:tcPr>
            <w:tcW w:w="1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Long-Term Equity</w:t>
            </w: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6"/>
                <w:szCs w:val="16"/>
                <w:color w:val="auto"/>
                <w:w w:val="99"/>
              </w:rPr>
              <w:t>Established performance-based and time-based equity grants.</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Incentive Compensation</w:t>
            </w: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The performance-based awards have a minimum, reduced,</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target and maximum award levels for each of our executive</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officers based on a dollar value with performance goals based</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w w:val="99"/>
              </w:rPr>
              <w:t>on the attainment of a stock price hurdle and relative TSR over</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a three-year period compared to the Company’s peer group.</w:t>
            </w:r>
          </w:p>
        </w:tc>
        <w:tc>
          <w:tcPr>
            <w:tcW w:w="0" w:type="dxa"/>
            <w:vAlign w:val="bottom"/>
          </w:tcPr>
          <w:p>
            <w:pPr>
              <w:spacing w:after="0"/>
              <w:rPr>
                <w:sz w:val="1"/>
                <w:szCs w:val="1"/>
                <w:color w:val="auto"/>
              </w:rPr>
            </w:pPr>
          </w:p>
        </w:tc>
      </w:tr>
      <w:tr>
        <w:trPr>
          <w:trHeight w:val="83"/>
        </w:trPr>
        <w:tc>
          <w:tcPr>
            <w:tcW w:w="19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-3188335</wp:posOffset>
            </wp:positionV>
            <wp:extent cx="1337310" cy="522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37310" cy="52260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-2047875</wp:posOffset>
            </wp:positionV>
            <wp:extent cx="1337310" cy="514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37310" cy="51435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-813435</wp:posOffset>
            </wp:positionV>
            <wp:extent cx="1337310" cy="514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37310" cy="51435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608965</wp:posOffset>
            </wp:positionV>
            <wp:extent cx="334010" cy="162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29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compensation committee set the total target pay mix set for our CEO and our other NEOs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106680</wp:posOffset>
            </wp:positionV>
            <wp:extent cx="4629150" cy="1405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62915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Say-on-Pay Vote and Stockholder Engagement on Compensation</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-86360</wp:posOffset>
            </wp:positionV>
            <wp:extent cx="5966460" cy="814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6460" cy="814705"/>
                    </a:xfrm>
                    <a:prstGeom prst="rect">
                      <a:avLst/>
                    </a:prstGeom>
                    <a:noFill/>
                  </pic:spPr>
                </pic:pic>
              </a:graphicData>
            </a:graphic>
          </wp:anchor>
        </w:drawing>
      </w:r>
    </w:p>
    <w:p>
      <w:pPr>
        <w:ind w:left="2240" w:right="220"/>
        <w:spacing w:after="0" w:line="264" w:lineRule="auto"/>
        <w:rPr>
          <w:sz w:val="20"/>
          <w:szCs w:val="20"/>
          <w:color w:val="auto"/>
        </w:rPr>
      </w:pPr>
      <w:r>
        <w:rPr>
          <w:rFonts w:ascii="Arial" w:cs="Arial" w:eastAsia="Arial" w:hAnsi="Arial"/>
          <w:sz w:val="16"/>
          <w:szCs w:val="16"/>
          <w:color w:val="auto"/>
        </w:rPr>
        <w:t>Our non-binding say-on-pay resolution received 97.45% approval at our 2025 annual meeting of stockholders (the “2025 Annual Meeting”). The compensation committee interpreted stockholder approval of the executive compensation program at such a high level as indicating that a substantial majority of stockholders viewed the Company’s executive compensation program, plan design and governance as continuing to be well aligned with stockholder interests, their investor experience and business outcomes.</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Elements of 2025 Compensation Program</w:t>
      </w:r>
    </w:p>
    <w:p>
      <w:pPr>
        <w:spacing w:after="0" w:line="126" w:lineRule="exact"/>
        <w:rPr>
          <w:sz w:val="20"/>
          <w:szCs w:val="20"/>
          <w:color w:val="auto"/>
        </w:rPr>
      </w:pPr>
    </w:p>
    <w:p>
      <w:pPr>
        <w:ind w:left="660" w:right="240"/>
        <w:spacing w:after="0" w:line="271" w:lineRule="auto"/>
        <w:rPr>
          <w:sz w:val="20"/>
          <w:szCs w:val="20"/>
          <w:color w:val="auto"/>
        </w:rPr>
      </w:pPr>
      <w:r>
        <w:rPr>
          <w:rFonts w:ascii="Arial" w:cs="Arial" w:eastAsia="Arial" w:hAnsi="Arial"/>
          <w:sz w:val="16"/>
          <w:szCs w:val="16"/>
          <w:color w:val="auto"/>
        </w:rPr>
        <w:t>We structure the annual compensation of our NEOs using three principal elements: base salary, annual performance-based cash bonus opportunities, and equity incentive compensation, including time-based and performance-based equity opportunities. The compensation committee retains the flexibility to change the proportions as between these elements each year, to allow us to take into account the varying importance of our primary compensation objectives based on facts and circumstances each year.</w:t>
      </w:r>
    </w:p>
    <w:p>
      <w:pPr>
        <w:spacing w:after="0" w:line="141"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Element</w:t>
            </w:r>
          </w:p>
        </w:tc>
        <w:tc>
          <w:tcPr>
            <w:tcW w:w="17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Fixed or Variable</w:t>
            </w:r>
          </w:p>
        </w:tc>
        <w:tc>
          <w:tcPr>
            <w:tcW w:w="5500" w:type="dxa"/>
            <w:vAlign w:val="bottom"/>
          </w:tcPr>
          <w:p>
            <w:pPr>
              <w:spacing w:after="0"/>
              <w:rPr>
                <w:sz w:val="20"/>
                <w:szCs w:val="20"/>
                <w:color w:val="auto"/>
              </w:rPr>
            </w:pPr>
            <w:r>
              <w:rPr>
                <w:rFonts w:ascii="Arial" w:cs="Arial" w:eastAsia="Arial" w:hAnsi="Arial"/>
                <w:sz w:val="16"/>
                <w:szCs w:val="16"/>
                <w:b w:val="1"/>
                <w:bCs w:val="1"/>
                <w:color w:val="auto"/>
              </w:rPr>
              <w:t>Purpose</w:t>
            </w:r>
          </w:p>
        </w:tc>
      </w:tr>
      <w:tr>
        <w:trPr>
          <w:trHeight w:val="48"/>
        </w:trPr>
        <w:tc>
          <w:tcPr>
            <w:tcW w:w="1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r>
      <w:tr>
        <w:trPr>
          <w:trHeight w:val="249"/>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Base Salary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rPr>
              <w:t>Fixed</w:t>
            </w:r>
          </w:p>
        </w:tc>
        <w:tc>
          <w:tcPr>
            <w:tcW w:w="5500" w:type="dxa"/>
            <w:vAlign w:val="bottom"/>
          </w:tcPr>
          <w:p>
            <w:pPr>
              <w:spacing w:after="0"/>
              <w:rPr>
                <w:sz w:val="20"/>
                <w:szCs w:val="20"/>
                <w:color w:val="auto"/>
              </w:rPr>
            </w:pPr>
            <w:r>
              <w:rPr>
                <w:rFonts w:ascii="Arial" w:cs="Arial" w:eastAsia="Arial" w:hAnsi="Arial"/>
                <w:sz w:val="16"/>
                <w:szCs w:val="16"/>
                <w:color w:val="auto"/>
              </w:rPr>
              <w:t>To attract and retain executives by offering fixed compensation that is</w:t>
            </w: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competitive with market opportunities and that recognizes each executive’s</w:t>
            </w:r>
          </w:p>
        </w:tc>
      </w:tr>
      <w:tr>
        <w:trPr>
          <w:trHeight w:val="215"/>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position, role, responsibility, and experience.</w:t>
            </w:r>
          </w:p>
        </w:tc>
      </w:tr>
      <w:tr>
        <w:trPr>
          <w:trHeight w:val="69"/>
        </w:trPr>
        <w:tc>
          <w:tcPr>
            <w:tcW w:w="19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500" w:type="dxa"/>
            <w:vAlign w:val="bottom"/>
            <w:tcBorders>
              <w:bottom w:val="single" w:sz="8" w:color="auto"/>
            </w:tcBorders>
          </w:tcPr>
          <w:p>
            <w:pPr>
              <w:spacing w:after="0"/>
              <w:rPr>
                <w:sz w:val="6"/>
                <w:szCs w:val="6"/>
                <w:color w:val="auto"/>
              </w:rPr>
            </w:pPr>
          </w:p>
        </w:tc>
      </w:tr>
      <w:tr>
        <w:trPr>
          <w:trHeight w:val="249"/>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Annual Cash Bonus</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Variable</w:t>
            </w:r>
          </w:p>
        </w:tc>
        <w:tc>
          <w:tcPr>
            <w:tcW w:w="5500" w:type="dxa"/>
            <w:vAlign w:val="bottom"/>
          </w:tcPr>
          <w:p>
            <w:pPr>
              <w:spacing w:after="0"/>
              <w:rPr>
                <w:sz w:val="20"/>
                <w:szCs w:val="20"/>
                <w:color w:val="auto"/>
              </w:rPr>
            </w:pPr>
            <w:r>
              <w:rPr>
                <w:rFonts w:ascii="Arial" w:cs="Arial" w:eastAsia="Arial" w:hAnsi="Arial"/>
                <w:sz w:val="16"/>
                <w:szCs w:val="16"/>
                <w:color w:val="auto"/>
              </w:rPr>
              <w:t>To align and reward our executive officers for achievement of our corporate</w:t>
            </w:r>
          </w:p>
        </w:tc>
      </w:tr>
      <w:tr>
        <w:trPr>
          <w:trHeight w:val="215"/>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objectives, and to recognize outstanding individual contributions.</w:t>
            </w:r>
          </w:p>
        </w:tc>
      </w:tr>
      <w:tr>
        <w:trPr>
          <w:trHeight w:val="56"/>
        </w:trPr>
        <w:tc>
          <w:tcPr>
            <w:tcW w:w="1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r>
      <w:tr>
        <w:trPr>
          <w:trHeight w:val="249"/>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Long-Term Equity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Variable</w:t>
            </w:r>
          </w:p>
        </w:tc>
        <w:tc>
          <w:tcPr>
            <w:tcW w:w="5500" w:type="dxa"/>
            <w:vAlign w:val="bottom"/>
          </w:tcPr>
          <w:p>
            <w:pPr>
              <w:spacing w:after="0"/>
              <w:rPr>
                <w:sz w:val="20"/>
                <w:szCs w:val="20"/>
                <w:color w:val="auto"/>
              </w:rPr>
            </w:pPr>
            <w:r>
              <w:rPr>
                <w:rFonts w:ascii="Arial" w:cs="Arial" w:eastAsia="Arial" w:hAnsi="Arial"/>
                <w:sz w:val="16"/>
                <w:szCs w:val="16"/>
                <w:color w:val="auto"/>
              </w:rPr>
              <w:t>To align executives’ interests with the long-term interests of stockholders</w:t>
            </w:r>
          </w:p>
        </w:tc>
      </w:tr>
      <w:tr>
        <w:trPr>
          <w:trHeight w:val="189"/>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Incentive Compensation</w:t>
            </w: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through equity-based compensation with performance-based and time-based</w:t>
            </w: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vesting periods, and to promote the long-term retention of our executives and</w:t>
            </w:r>
          </w:p>
        </w:tc>
      </w:tr>
      <w:tr>
        <w:trPr>
          <w:trHeight w:val="215"/>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key management personnel.</w:t>
            </w:r>
          </w:p>
        </w:tc>
      </w:tr>
      <w:tr>
        <w:trPr>
          <w:trHeight w:val="97"/>
        </w:trPr>
        <w:tc>
          <w:tcPr>
            <w:tcW w:w="1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50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2451735</wp:posOffset>
            </wp:positionV>
            <wp:extent cx="33401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20"/>
        <w:spacing w:after="0"/>
        <w:tabs>
          <w:tab w:leader="none" w:pos="1400" w:val="left"/>
        </w:tabs>
        <w:rPr>
          <w:sz w:val="20"/>
          <w:szCs w:val="20"/>
          <w:color w:val="auto"/>
        </w:rPr>
      </w:pPr>
      <w:r>
        <w:rPr>
          <w:rFonts w:ascii="Arial" w:cs="Arial" w:eastAsia="Arial" w:hAnsi="Arial"/>
          <w:sz w:val="14"/>
          <w:szCs w:val="14"/>
          <w:color w:val="auto"/>
        </w:rPr>
        <w:t>»  30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Executive Compensation Policies and Practices</w:t>
      </w:r>
    </w:p>
    <w:p>
      <w:pPr>
        <w:spacing w:after="0" w:line="126" w:lineRule="exact"/>
        <w:rPr>
          <w:sz w:val="20"/>
          <w:szCs w:val="20"/>
          <w:color w:val="auto"/>
        </w:rPr>
      </w:pPr>
    </w:p>
    <w:p>
      <w:pPr>
        <w:ind w:left="660" w:right="500"/>
        <w:spacing w:after="0" w:line="286" w:lineRule="auto"/>
        <w:rPr>
          <w:sz w:val="20"/>
          <w:szCs w:val="20"/>
          <w:color w:val="auto"/>
        </w:rPr>
      </w:pPr>
      <w:r>
        <w:rPr>
          <w:rFonts w:ascii="Arial" w:cs="Arial" w:eastAsia="Arial" w:hAnsi="Arial"/>
          <w:sz w:val="16"/>
          <w:szCs w:val="16"/>
          <w:color w:val="auto"/>
        </w:rPr>
        <w:t>Our compensation committee reviews risk mitigation and governance matters, which includes maintaining the following current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73660</wp:posOffset>
            </wp:positionV>
            <wp:extent cx="5966460" cy="46634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6460" cy="4663440"/>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p>
      <w:pPr>
        <w:spacing w:after="0" w:line="16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FFFFFF"/>
        </w:rPr>
        <w:t>WHAT WE DO</w:t>
      </w:r>
    </w:p>
    <w:p>
      <w:pPr>
        <w:spacing w:after="0" w:line="135" w:lineRule="exact"/>
        <w:rPr>
          <w:sz w:val="20"/>
          <w:szCs w:val="20"/>
          <w:color w:val="auto"/>
        </w:rPr>
      </w:pPr>
    </w:p>
    <w:p>
      <w:pPr>
        <w:ind w:left="1240" w:right="1060"/>
        <w:spacing w:after="0" w:line="294" w:lineRule="auto"/>
        <w:rPr>
          <w:sz w:val="20"/>
          <w:szCs w:val="20"/>
          <w:color w:val="auto"/>
        </w:rPr>
      </w:pPr>
      <w:r>
        <w:rPr>
          <w:rFonts w:ascii="Arial" w:cs="Arial" w:eastAsia="Arial" w:hAnsi="Arial"/>
          <w:sz w:val="15"/>
          <w:szCs w:val="15"/>
          <w:color w:val="auto"/>
        </w:rPr>
        <w:t>Maintain an Independent Compensation Committee. The compensation committee consists solely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-393065</wp:posOffset>
            </wp:positionV>
            <wp:extent cx="197485" cy="1968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-393065</wp:posOffset>
            </wp:positionV>
            <wp:extent cx="197485" cy="196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r>
    </w:p>
    <w:p>
      <w:pPr>
        <w:ind w:left="1240" w:right="580" w:hanging="46"/>
        <w:spacing w:after="0" w:line="237"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Retain an Independent Compensation Advisor. The compensation committee engages its own compensation advisor to provide information and analysis regarding our executive and equity incentive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-622300</wp:posOffset>
            </wp:positionV>
            <wp:extent cx="197485" cy="1968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-622300</wp:posOffset>
            </wp:positionV>
            <wp:extent cx="197485" cy="1968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r>
    </w:p>
    <w:p>
      <w:pPr>
        <w:spacing w:after="0" w:line="10" w:lineRule="exact"/>
        <w:rPr>
          <w:sz w:val="20"/>
          <w:szCs w:val="20"/>
          <w:color w:val="auto"/>
        </w:rPr>
      </w:pPr>
    </w:p>
    <w:p>
      <w:pPr>
        <w:ind w:left="1240" w:right="500" w:hanging="46"/>
        <w:spacing w:after="0" w:line="247"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Annual Executive Compensation Risk Assessment. The compensation committee annually reviews our compensation programs and compensation-related risks to ensure that our compensation programs do not encourage excessive or inappropriate risk-taking and that the level of risk that they do encourage is not reasonably likely to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-1132840</wp:posOffset>
            </wp:positionV>
            <wp:extent cx="197485" cy="1974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-1132840</wp:posOffset>
            </wp:positionV>
            <wp:extent cx="197485" cy="1974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7485"/>
                    </a:xfrm>
                    <a:prstGeom prst="rect">
                      <a:avLst/>
                    </a:prstGeom>
                    <a:noFill/>
                  </pic:spPr>
                </pic:pic>
              </a:graphicData>
            </a:graphic>
          </wp:anchor>
        </w:drawing>
      </w:r>
    </w:p>
    <w:p>
      <w:pPr>
        <w:spacing w:after="0" w:line="233" w:lineRule="exact"/>
        <w:rPr>
          <w:sz w:val="20"/>
          <w:szCs w:val="20"/>
          <w:color w:val="auto"/>
        </w:rPr>
      </w:pPr>
    </w:p>
    <w:p>
      <w:pPr>
        <w:ind w:left="1240" w:right="500" w:hanging="46"/>
        <w:spacing w:after="0" w:line="263" w:lineRule="auto"/>
        <w:rPr>
          <w:sz w:val="20"/>
          <w:szCs w:val="20"/>
          <w:color w:val="auto"/>
        </w:rPr>
      </w:pPr>
      <w:r>
        <w:rPr>
          <w:rFonts w:ascii="Arial" w:cs="Arial" w:eastAsia="Arial" w:hAnsi="Arial"/>
          <w:sz w:val="16"/>
          <w:szCs w:val="16"/>
          <w:color w:val="auto"/>
        </w:rPr>
        <w:t>​Meaningful Amount of Compensation At-Risk. Our executive compensation program is designed so that a significant portion of compensation is “at risk” based on our performance to align the interests of our executive officers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-741680</wp:posOffset>
            </wp:positionV>
            <wp:extent cx="197485" cy="1968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-741680</wp:posOffset>
            </wp:positionV>
            <wp:extent cx="197485" cy="1968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r>
    </w:p>
    <w:p>
      <w:pPr>
        <w:ind w:left="1240" w:right="500" w:hanging="46"/>
        <w:spacing w:after="0" w:line="232"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Succession Planning. We review the risks associated with our key executive officer positions to ensure adequate succession plans are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-502920</wp:posOffset>
            </wp:positionV>
            <wp:extent cx="197485" cy="1968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-502920</wp:posOffset>
            </wp:positionV>
            <wp:extent cx="197485" cy="1968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r>
    </w:p>
    <w:p>
      <w:pPr>
        <w:spacing w:after="0" w:line="105" w:lineRule="exact"/>
        <w:rPr>
          <w:sz w:val="20"/>
          <w:szCs w:val="20"/>
          <w:color w:val="auto"/>
        </w:rPr>
      </w:pPr>
    </w:p>
    <w:p>
      <w:pPr>
        <w:ind w:left="1240" w:right="540"/>
        <w:spacing w:after="0" w:line="295" w:lineRule="auto"/>
        <w:rPr>
          <w:sz w:val="20"/>
          <w:szCs w:val="20"/>
          <w:color w:val="auto"/>
        </w:rPr>
      </w:pPr>
      <w:r>
        <w:rPr>
          <w:rFonts w:ascii="Arial" w:cs="Arial" w:eastAsia="Arial" w:hAnsi="Arial"/>
          <w:sz w:val="15"/>
          <w:szCs w:val="15"/>
          <w:color w:val="auto"/>
        </w:rPr>
        <w:t>Clawback Policy and Stock Ownership Guidelines. We have a clawback policy and stock ownership guidelines for our executive officers to align their interest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-528955</wp:posOffset>
            </wp:positionV>
            <wp:extent cx="197485" cy="1968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000000"/>
                        </a:clrFrom>
                        <a:clrTo>
                          <a:srgbClr val="000000">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-528955</wp:posOffset>
            </wp:positionV>
            <wp:extent cx="197485" cy="1968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2710815</wp:posOffset>
            </wp:positionV>
            <wp:extent cx="334010" cy="162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135" w:lineRule="exact"/>
        <w:rPr>
          <w:sz w:val="20"/>
          <w:szCs w:val="20"/>
          <w:color w:val="auto"/>
        </w:rPr>
      </w:pPr>
    </w:p>
    <w:p>
      <w:pPr>
        <w:ind w:left="420" w:right="160"/>
        <w:spacing w:after="0" w:line="275" w:lineRule="auto"/>
        <w:rPr>
          <w:sz w:val="20"/>
          <w:szCs w:val="20"/>
          <w:color w:val="auto"/>
        </w:rPr>
      </w:pPr>
      <w:r>
        <w:rPr>
          <w:rFonts w:ascii="Arial" w:cs="Arial" w:eastAsia="Arial" w:hAnsi="Arial"/>
          <w:sz w:val="16"/>
          <w:szCs w:val="16"/>
          <w:color w:val="auto"/>
        </w:rPr>
        <w:t>No Generous Perquisites. We provide only limited perquisites or personal benefits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-391795</wp:posOffset>
            </wp:positionV>
            <wp:extent cx="180340"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000000"/>
                        </a:clrFrom>
                        <a:clrTo>
                          <a:srgbClr val="000000">
                            <a:alpha val="0"/>
                          </a:srgbClr>
                        </a:clrTo>
                      </a:clrChange>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-391795</wp:posOffset>
            </wp:positionV>
            <wp:extent cx="180340" cy="179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286"/>
        </w:trPr>
        <w:tc>
          <w:tcPr>
            <w:tcW w:w="3700" w:type="dxa"/>
            <w:vAlign w:val="bottom"/>
          </w:tcPr>
          <w:p>
            <w:pPr>
              <w:spacing w:after="0" w:line="286"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No Exclusive Executive Retirement Plans. We do</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03"/>
        </w:trPr>
        <w:tc>
          <w:tcPr>
            <w:tcW w:w="3700" w:type="dxa"/>
            <w:vAlign w:val="bottom"/>
          </w:tcPr>
          <w:p>
            <w:pPr>
              <w:ind w:left="140"/>
              <w:spacing w:after="0"/>
              <w:rPr>
                <w:sz w:val="20"/>
                <w:szCs w:val="20"/>
                <w:color w:val="auto"/>
              </w:rPr>
            </w:pPr>
            <w:r>
              <w:rPr>
                <w:rFonts w:ascii="Arial" w:cs="Arial" w:eastAsia="Arial" w:hAnsi="Arial"/>
                <w:sz w:val="16"/>
                <w:szCs w:val="16"/>
                <w:color w:val="auto"/>
              </w:rPr>
              <w:t>not offer defined benefit pension arrangements</w:t>
            </w:r>
          </w:p>
        </w:tc>
        <w:tc>
          <w:tcPr>
            <w:tcW w:w="120" w:type="dxa"/>
            <w:vAlign w:val="bottom"/>
          </w:tcPr>
          <w:p>
            <w:pPr>
              <w:spacing w:after="0"/>
              <w:rPr>
                <w:sz w:val="17"/>
                <w:szCs w:val="17"/>
                <w:color w:val="auto"/>
              </w:rPr>
            </w:pPr>
          </w:p>
        </w:tc>
      </w:tr>
      <w:tr>
        <w:trPr>
          <w:trHeight w:val="203"/>
        </w:trPr>
        <w:tc>
          <w:tcPr>
            <w:tcW w:w="3700" w:type="dxa"/>
            <w:vAlign w:val="bottom"/>
          </w:tcPr>
          <w:p>
            <w:pPr>
              <w:ind w:left="140"/>
              <w:spacing w:after="0"/>
              <w:rPr>
                <w:sz w:val="20"/>
                <w:szCs w:val="20"/>
                <w:color w:val="auto"/>
              </w:rPr>
            </w:pPr>
            <w:r>
              <w:rPr>
                <w:rFonts w:ascii="Arial" w:cs="Arial" w:eastAsia="Arial" w:hAnsi="Arial"/>
                <w:sz w:val="16"/>
                <w:szCs w:val="16"/>
                <w:color w:val="auto"/>
              </w:rPr>
              <w:t>and we do not provide retirement plans to our</w:t>
            </w:r>
          </w:p>
        </w:tc>
        <w:tc>
          <w:tcPr>
            <w:tcW w:w="120" w:type="dxa"/>
            <w:vAlign w:val="bottom"/>
          </w:tcPr>
          <w:p>
            <w:pPr>
              <w:spacing w:after="0"/>
              <w:rPr>
                <w:sz w:val="17"/>
                <w:szCs w:val="17"/>
                <w:color w:val="auto"/>
              </w:rPr>
            </w:pPr>
          </w:p>
        </w:tc>
      </w:tr>
      <w:tr>
        <w:trPr>
          <w:trHeight w:val="189"/>
        </w:trPr>
        <w:tc>
          <w:tcPr>
            <w:tcW w:w="3700" w:type="dxa"/>
            <w:vAlign w:val="bottom"/>
          </w:tcPr>
          <w:p>
            <w:pPr>
              <w:ind w:left="140"/>
              <w:spacing w:after="0"/>
              <w:rPr>
                <w:sz w:val="20"/>
                <w:szCs w:val="20"/>
                <w:color w:val="auto"/>
              </w:rPr>
            </w:pPr>
            <w:r>
              <w:rPr>
                <w:rFonts w:ascii="Arial" w:cs="Arial" w:eastAsia="Arial" w:hAnsi="Arial"/>
                <w:sz w:val="16"/>
                <w:szCs w:val="16"/>
                <w:color w:val="auto"/>
              </w:rPr>
              <w:t>executive officers that are different from or in</w:t>
            </w:r>
          </w:p>
        </w:tc>
        <w:tc>
          <w:tcPr>
            <w:tcW w:w="120" w:type="dxa"/>
            <w:vAlign w:val="bottom"/>
          </w:tcPr>
          <w:p>
            <w:pPr>
              <w:spacing w:after="0"/>
              <w:rPr>
                <w:sz w:val="16"/>
                <w:szCs w:val="16"/>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addition to those offered to our other employees.</w:t>
            </w:r>
          </w:p>
        </w:tc>
        <w:tc>
          <w:tcPr>
            <w:tcW w:w="120" w:type="dxa"/>
            <w:vAlign w:val="bottom"/>
          </w:tcPr>
          <w:p>
            <w:pPr>
              <w:spacing w:after="0"/>
              <w:rPr>
                <w:sz w:val="18"/>
                <w:szCs w:val="18"/>
                <w:color w:val="auto"/>
              </w:rPr>
            </w:pPr>
          </w:p>
        </w:tc>
      </w:tr>
      <w:tr>
        <w:trPr>
          <w:trHeight w:val="312"/>
        </w:trPr>
        <w:tc>
          <w:tcPr>
            <w:tcW w:w="3700" w:type="dxa"/>
            <w:vAlign w:val="bottom"/>
          </w:tcPr>
          <w:p>
            <w:pPr>
              <w:spacing w:after="0" w:line="312"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No Special Health or Welfare Benefits. Our</w:t>
            </w:r>
          </w:p>
        </w:tc>
        <w:tc>
          <w:tcPr>
            <w:tcW w:w="12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03"/>
        </w:trPr>
        <w:tc>
          <w:tcPr>
            <w:tcW w:w="3700" w:type="dxa"/>
            <w:vAlign w:val="bottom"/>
          </w:tcPr>
          <w:p>
            <w:pPr>
              <w:ind w:left="140"/>
              <w:spacing w:after="0"/>
              <w:rPr>
                <w:sz w:val="20"/>
                <w:szCs w:val="20"/>
                <w:color w:val="auto"/>
              </w:rPr>
            </w:pPr>
            <w:r>
              <w:rPr>
                <w:rFonts w:ascii="Arial" w:cs="Arial" w:eastAsia="Arial" w:hAnsi="Arial"/>
                <w:sz w:val="16"/>
                <w:szCs w:val="16"/>
                <w:color w:val="auto"/>
              </w:rPr>
              <w:t>executive officers participate in broad-based</w:t>
            </w:r>
          </w:p>
        </w:tc>
        <w:tc>
          <w:tcPr>
            <w:tcW w:w="120" w:type="dxa"/>
            <w:vAlign w:val="bottom"/>
          </w:tcPr>
          <w:p>
            <w:pPr>
              <w:spacing w:after="0"/>
              <w:rPr>
                <w:sz w:val="17"/>
                <w:szCs w:val="17"/>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Company-sponsored health and welfare benefits</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-1086485</wp:posOffset>
            </wp:positionV>
            <wp:extent cx="180340" cy="179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000000"/>
                        </a:clrFrom>
                        <a:clrTo>
                          <a:srgbClr val="000000">
                            <a:alpha val="0"/>
                          </a:srgbClr>
                        </a:clrTo>
                      </a:clrChange>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-1086485</wp:posOffset>
            </wp:positionV>
            <wp:extent cx="18034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-375285</wp:posOffset>
            </wp:positionV>
            <wp:extent cx="180340"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000000"/>
                        </a:clrFrom>
                        <a:clrTo>
                          <a:srgbClr val="000000">
                            <a:alpha val="0"/>
                          </a:srgbClr>
                        </a:clrTo>
                      </a:clrChange>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-375285</wp:posOffset>
            </wp:positionV>
            <wp:extent cx="180340" cy="179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ind w:left="420" w:right="120"/>
        <w:spacing w:after="0" w:line="256" w:lineRule="auto"/>
        <w:rPr>
          <w:sz w:val="20"/>
          <w:szCs w:val="20"/>
          <w:color w:val="auto"/>
        </w:rPr>
      </w:pPr>
      <w:r>
        <w:rPr>
          <w:rFonts w:ascii="Arial" w:cs="Arial" w:eastAsia="Arial" w:hAnsi="Arial"/>
          <w:sz w:val="16"/>
          <w:szCs w:val="16"/>
          <w:color w:val="auto"/>
        </w:rPr>
        <w:t>programs on the same basis as our other full-time, salaried employees.</w:t>
      </w:r>
    </w:p>
    <w:p>
      <w:pPr>
        <w:ind w:left="420" w:hanging="141"/>
        <w:spacing w:after="0" w:line="189" w:lineRule="auto"/>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No Hedging or Pledging of our Equity Securities.</w:t>
      </w:r>
      <w:r>
        <w:rPr>
          <w:sz w:val="20"/>
          <w:szCs w:val="20"/>
          <w:color w:val="auto"/>
        </w:rPr>
        <w:t xml:space="preserve"> </w:t>
      </w:r>
      <w:r>
        <w:rPr>
          <w:rFonts w:ascii="Arial" w:cs="Arial" w:eastAsia="Arial" w:hAnsi="Arial"/>
          <w:sz w:val="30"/>
          <w:szCs w:val="30"/>
          <w:color w:val="auto"/>
          <w:vertAlign w:val="superscript"/>
        </w:rPr>
        <w:t>​ Our insider trading policy prohibits our executive officers, members of the Board and other employees from hedging or pledging our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-620395</wp:posOffset>
            </wp:positionV>
            <wp:extent cx="180340" cy="179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000000"/>
                        </a:clrFrom>
                        <a:clrTo>
                          <a:srgbClr val="000000">
                            <a:alpha val="0"/>
                          </a:srgbClr>
                        </a:clrTo>
                      </a:clrChange>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-620395</wp:posOffset>
            </wp:positionV>
            <wp:extent cx="18034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ind w:left="420" w:hanging="141"/>
        <w:spacing w:after="0" w:line="232" w:lineRule="auto"/>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No Dividends or Dividend Equivalents Payable on </w:t>
      </w:r>
      <w:r>
        <w:rPr>
          <w:rFonts w:ascii="Arial" w:cs="Arial" w:eastAsia="Arial" w:hAnsi="Arial"/>
          <w:sz w:val="32"/>
          <w:szCs w:val="32"/>
          <w:color w:val="auto"/>
          <w:vertAlign w:val="superscript"/>
        </w:rPr>
        <w:t>​</w:t>
      </w:r>
      <w:r>
        <w:rPr>
          <w:rFonts w:ascii="Arial" w:cs="Arial" w:eastAsia="Arial" w:hAnsi="Arial"/>
          <w:sz w:val="16"/>
          <w:szCs w:val="16"/>
          <w:color w:val="auto"/>
        </w:rPr>
        <w:t xml:space="preserve"> Unvested Equity Awards. We do not pay dividends or dividend equivalents on unvested RSUs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-502920</wp:posOffset>
            </wp:positionV>
            <wp:extent cx="180340" cy="1797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000000"/>
                        </a:clrFrom>
                        <a:clrTo>
                          <a:srgbClr val="000000">
                            <a:alpha val="0"/>
                          </a:srgbClr>
                        </a:clrTo>
                      </a:clrChange>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-502920</wp:posOffset>
            </wp:positionV>
            <wp:extent cx="180340"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p>
    <w:p>
      <w:pPr>
        <w:spacing w:after="0" w:line="1876" w:lineRule="exact"/>
        <w:rPr>
          <w:sz w:val="20"/>
          <w:szCs w:val="20"/>
          <w:color w:val="auto"/>
        </w:rPr>
      </w:pPr>
    </w:p>
    <w:p>
      <w:pPr>
        <w:sectPr>
          <w:pgSz w:w="11900" w:h="16838" w:orient="portrait"/>
          <w:cols w:equalWidth="0" w:num="2">
            <w:col w:w="5260" w:space="720"/>
            <w:col w:w="4100"/>
          </w:cols>
          <w:pgMar w:left="580" w:top="97"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31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Governance of Executive Compensation Program</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Role of the Compensation Committee</w:t>
      </w:r>
    </w:p>
    <w:p>
      <w:pPr>
        <w:spacing w:after="0" w:line="113" w:lineRule="exact"/>
        <w:rPr>
          <w:sz w:val="20"/>
          <w:szCs w:val="20"/>
          <w:color w:val="auto"/>
        </w:rPr>
      </w:pPr>
    </w:p>
    <w:p>
      <w:pPr>
        <w:ind w:left="660"/>
        <w:spacing w:after="0" w:line="271" w:lineRule="auto"/>
        <w:rPr>
          <w:sz w:val="20"/>
          <w:szCs w:val="20"/>
          <w:color w:val="auto"/>
        </w:rPr>
      </w:pPr>
      <w:r>
        <w:rPr>
          <w:rFonts w:ascii="Arial" w:cs="Arial" w:eastAsia="Arial" w:hAnsi="Arial"/>
          <w:sz w:val="16"/>
          <w:szCs w:val="16"/>
          <w:color w:val="auto"/>
        </w:rPr>
        <w:t>The compensation committee has the primary responsibility of developing, implementing, and overseeing our executive and incentive compensation policies and programs. While the compensation committee reports its decisions to and takes into account the feedback of the Board, the compensation committee generally makes the final decisions regarding the compensation of our Chief Executive Officer and NEOs.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Compensation-Setting Process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compensation committee determines the target total direct compensation opportunities for our executive officers, including our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NEOs. In any given year, the compensation committee considers some or all of the following factors: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factors provide a framework, with no single factor being determinative in setting pay levels.</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323"/>
        </w:trPr>
        <w:tc>
          <w:tcPr>
            <w:tcW w:w="120" w:type="dxa"/>
            <w:vAlign w:val="bottom"/>
          </w:tcPr>
          <w:p>
            <w:pPr>
              <w:spacing w:after="0"/>
              <w:rPr>
                <w:sz w:val="20"/>
                <w:szCs w:val="20"/>
                <w:color w:val="auto"/>
              </w:rPr>
            </w:pPr>
            <w:r>
              <w:rPr>
                <w:rFonts w:ascii="Arial" w:cs="Arial" w:eastAsia="Arial" w:hAnsi="Arial"/>
                <w:sz w:val="9"/>
                <w:szCs w:val="9"/>
                <w:color w:val="auto"/>
              </w:rPr>
              <w:t>●</w:t>
            </w: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the financial and operational objectives established by the</w:t>
            </w:r>
          </w:p>
        </w:tc>
        <w:tc>
          <w:tcPr>
            <w:tcW w:w="240" w:type="dxa"/>
            <w:vAlign w:val="bottom"/>
          </w:tcPr>
          <w:p>
            <w:pPr>
              <w:ind w:left="140"/>
              <w:spacing w:after="0"/>
              <w:rPr>
                <w:sz w:val="20"/>
                <w:szCs w:val="20"/>
                <w:color w:val="auto"/>
              </w:rPr>
            </w:pPr>
            <w:r>
              <w:rPr>
                <w:rFonts w:ascii="Arial" w:cs="Arial" w:eastAsia="Arial" w:hAnsi="Arial"/>
                <w:sz w:val="9"/>
                <w:szCs w:val="9"/>
                <w:color w:val="auto"/>
              </w:rPr>
              <w:t>●</w:t>
            </w:r>
          </w:p>
        </w:tc>
        <w:tc>
          <w:tcPr>
            <w:tcW w:w="4440" w:type="dxa"/>
            <w:vAlign w:val="bottom"/>
          </w:tcPr>
          <w:p>
            <w:pPr>
              <w:ind w:left="60"/>
              <w:spacing w:after="0"/>
              <w:rPr>
                <w:sz w:val="20"/>
                <w:szCs w:val="20"/>
                <w:color w:val="auto"/>
              </w:rPr>
            </w:pPr>
            <w:r>
              <w:rPr>
                <w:rFonts w:ascii="Arial" w:cs="Arial" w:eastAsia="Arial" w:hAnsi="Arial"/>
                <w:sz w:val="16"/>
                <w:szCs w:val="16"/>
                <w:color w:val="auto"/>
              </w:rPr>
              <w:t>the annual performance review for each executive officer,</w:t>
            </w:r>
          </w:p>
        </w:tc>
      </w:tr>
      <w:tr>
        <w:trPr>
          <w:trHeight w:val="203"/>
        </w:trPr>
        <w:tc>
          <w:tcPr>
            <w:tcW w:w="120" w:type="dxa"/>
            <w:vAlign w:val="bottom"/>
          </w:tcPr>
          <w:p>
            <w:pPr>
              <w:spacing w:after="0"/>
              <w:rPr>
                <w:sz w:val="17"/>
                <w:szCs w:val="17"/>
                <w:color w:val="auto"/>
              </w:rPr>
            </w:pP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Board for the year at issue;</w:t>
            </w:r>
          </w:p>
        </w:tc>
        <w:tc>
          <w:tcPr>
            <w:tcW w:w="240" w:type="dxa"/>
            <w:vAlign w:val="bottom"/>
          </w:tcPr>
          <w:p>
            <w:pPr>
              <w:spacing w:after="0"/>
              <w:rPr>
                <w:sz w:val="17"/>
                <w:szCs w:val="17"/>
                <w:color w:val="auto"/>
              </w:rPr>
            </w:pPr>
          </w:p>
        </w:tc>
        <w:tc>
          <w:tcPr>
            <w:tcW w:w="4440" w:type="dxa"/>
            <w:vAlign w:val="bottom"/>
          </w:tcPr>
          <w:p>
            <w:pPr>
              <w:ind w:left="60"/>
              <w:spacing w:after="0"/>
              <w:rPr>
                <w:sz w:val="20"/>
                <w:szCs w:val="20"/>
                <w:color w:val="auto"/>
              </w:rPr>
            </w:pPr>
            <w:r>
              <w:rPr>
                <w:rFonts w:ascii="Arial" w:cs="Arial" w:eastAsia="Arial" w:hAnsi="Arial"/>
                <w:sz w:val="16"/>
                <w:szCs w:val="16"/>
                <w:color w:val="auto"/>
              </w:rPr>
              <w:t>including contributions to our overall performance,</w:t>
            </w:r>
          </w:p>
        </w:tc>
      </w:tr>
      <w:tr>
        <w:trPr>
          <w:trHeight w:val="189"/>
        </w:trPr>
        <w:tc>
          <w:tcPr>
            <w:tcW w:w="120" w:type="dxa"/>
            <w:vAlign w:val="bottom"/>
          </w:tcPr>
          <w:p>
            <w:pPr>
              <w:spacing w:after="0"/>
              <w:rPr>
                <w:sz w:val="16"/>
                <w:szCs w:val="16"/>
                <w:color w:val="auto"/>
              </w:rPr>
            </w:pPr>
          </w:p>
        </w:tc>
        <w:tc>
          <w:tcPr>
            <w:tcW w:w="46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tcPr>
          <w:p>
            <w:pPr>
              <w:ind w:left="60"/>
              <w:spacing w:after="0"/>
              <w:rPr>
                <w:sz w:val="20"/>
                <w:szCs w:val="20"/>
                <w:color w:val="auto"/>
              </w:rPr>
            </w:pPr>
            <w:r>
              <w:rPr>
                <w:rFonts w:ascii="Arial" w:cs="Arial" w:eastAsia="Arial" w:hAnsi="Arial"/>
                <w:sz w:val="16"/>
                <w:szCs w:val="16"/>
                <w:color w:val="auto"/>
              </w:rPr>
              <w:t>demonstrated leadership and significant individual</w:t>
            </w:r>
          </w:p>
        </w:tc>
      </w:tr>
      <w:tr>
        <w:trPr>
          <w:trHeight w:val="215"/>
        </w:trPr>
        <w:tc>
          <w:tcPr>
            <w:tcW w:w="120" w:type="dxa"/>
            <w:vAlign w:val="bottom"/>
          </w:tcPr>
          <w:p>
            <w:pPr>
              <w:spacing w:after="0"/>
              <w:rPr>
                <w:sz w:val="18"/>
                <w:szCs w:val="18"/>
                <w:color w:val="auto"/>
              </w:rPr>
            </w:pPr>
          </w:p>
        </w:tc>
        <w:tc>
          <w:tcPr>
            <w:tcW w:w="46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Arial" w:cs="Arial" w:eastAsia="Arial" w:hAnsi="Arial"/>
                <w:sz w:val="16"/>
                <w:szCs w:val="16"/>
                <w:color w:val="auto"/>
              </w:rPr>
              <w:t>achievements;</w:t>
            </w:r>
          </w:p>
        </w:tc>
      </w:tr>
      <w:tr>
        <w:trPr>
          <w:trHeight w:val="56"/>
        </w:trPr>
        <w:tc>
          <w:tcPr>
            <w:tcW w:w="120" w:type="dxa"/>
            <w:vAlign w:val="bottom"/>
            <w:tcBorders>
              <w:bottom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263"/>
        </w:trPr>
        <w:tc>
          <w:tcPr>
            <w:tcW w:w="120" w:type="dxa"/>
            <w:vAlign w:val="bottom"/>
          </w:tcPr>
          <w:p>
            <w:pPr>
              <w:spacing w:after="0"/>
              <w:rPr>
                <w:sz w:val="20"/>
                <w:szCs w:val="20"/>
                <w:color w:val="auto"/>
              </w:rPr>
            </w:pPr>
            <w:r>
              <w:rPr>
                <w:rFonts w:ascii="Arial" w:cs="Arial" w:eastAsia="Arial" w:hAnsi="Arial"/>
                <w:sz w:val="9"/>
                <w:szCs w:val="9"/>
                <w:color w:val="auto"/>
              </w:rPr>
              <w:t>●</w:t>
            </w: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the anticipated role that officer will play in the coming year in</w:t>
            </w:r>
          </w:p>
        </w:tc>
        <w:tc>
          <w:tcPr>
            <w:tcW w:w="240" w:type="dxa"/>
            <w:vAlign w:val="bottom"/>
          </w:tcPr>
          <w:p>
            <w:pPr>
              <w:ind w:left="140"/>
              <w:spacing w:after="0"/>
              <w:rPr>
                <w:sz w:val="20"/>
                <w:szCs w:val="20"/>
                <w:color w:val="auto"/>
              </w:rPr>
            </w:pPr>
            <w:r>
              <w:rPr>
                <w:rFonts w:ascii="Arial" w:cs="Arial" w:eastAsia="Arial" w:hAnsi="Arial"/>
                <w:sz w:val="9"/>
                <w:szCs w:val="9"/>
                <w:color w:val="auto"/>
              </w:rPr>
              <w:t>●</w:t>
            </w:r>
          </w:p>
        </w:tc>
        <w:tc>
          <w:tcPr>
            <w:tcW w:w="4440" w:type="dxa"/>
            <w:vAlign w:val="bottom"/>
          </w:tcPr>
          <w:p>
            <w:pPr>
              <w:ind w:left="60"/>
              <w:spacing w:after="0"/>
              <w:rPr>
                <w:sz w:val="20"/>
                <w:szCs w:val="20"/>
                <w:color w:val="auto"/>
              </w:rPr>
            </w:pPr>
            <w:r>
              <w:rPr>
                <w:rFonts w:ascii="Arial" w:cs="Arial" w:eastAsia="Arial" w:hAnsi="Arial"/>
                <w:sz w:val="16"/>
                <w:szCs w:val="16"/>
                <w:color w:val="auto"/>
              </w:rPr>
              <w:t>our financial performance relative to our peers;</w:t>
            </w:r>
          </w:p>
        </w:tc>
      </w:tr>
      <w:tr>
        <w:trPr>
          <w:trHeight w:val="203"/>
        </w:trPr>
        <w:tc>
          <w:tcPr>
            <w:tcW w:w="120" w:type="dxa"/>
            <w:vAlign w:val="bottom"/>
          </w:tcPr>
          <w:p>
            <w:pPr>
              <w:spacing w:after="0"/>
              <w:rPr>
                <w:sz w:val="17"/>
                <w:szCs w:val="17"/>
                <w:color w:val="auto"/>
              </w:rPr>
            </w:pP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achieving those objectives and the cost and difficulty of</w:t>
            </w:r>
          </w:p>
        </w:tc>
        <w:tc>
          <w:tcPr>
            <w:tcW w:w="24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215"/>
        </w:trPr>
        <w:tc>
          <w:tcPr>
            <w:tcW w:w="120" w:type="dxa"/>
            <w:vAlign w:val="bottom"/>
          </w:tcPr>
          <w:p>
            <w:pPr>
              <w:spacing w:after="0"/>
              <w:rPr>
                <w:sz w:val="18"/>
                <w:szCs w:val="18"/>
                <w:color w:val="auto"/>
              </w:rPr>
            </w:pP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replacing that individual;</w:t>
            </w:r>
          </w:p>
        </w:tc>
        <w:tc>
          <w:tcPr>
            <w:tcW w:w="24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43"/>
        </w:trPr>
        <w:tc>
          <w:tcPr>
            <w:tcW w:w="120" w:type="dxa"/>
            <w:vAlign w:val="bottom"/>
            <w:tcBorders>
              <w:bottom w:val="single" w:sz="8" w:color="auto"/>
            </w:tcBorders>
          </w:tcPr>
          <w:p>
            <w:pPr>
              <w:spacing w:after="0"/>
              <w:rPr>
                <w:sz w:val="3"/>
                <w:szCs w:val="3"/>
                <w:color w:val="auto"/>
              </w:rPr>
            </w:pPr>
          </w:p>
        </w:tc>
        <w:tc>
          <w:tcPr>
            <w:tcW w:w="460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r>
      <w:tr>
        <w:trPr>
          <w:trHeight w:val="263"/>
        </w:trPr>
        <w:tc>
          <w:tcPr>
            <w:tcW w:w="120" w:type="dxa"/>
            <w:vAlign w:val="bottom"/>
          </w:tcPr>
          <w:p>
            <w:pPr>
              <w:spacing w:after="0"/>
              <w:rPr>
                <w:sz w:val="20"/>
                <w:szCs w:val="20"/>
                <w:color w:val="auto"/>
              </w:rPr>
            </w:pPr>
            <w:r>
              <w:rPr>
                <w:rFonts w:ascii="Arial" w:cs="Arial" w:eastAsia="Arial" w:hAnsi="Arial"/>
                <w:sz w:val="9"/>
                <w:szCs w:val="9"/>
                <w:color w:val="auto"/>
              </w:rPr>
              <w:t>●</w:t>
            </w: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internal pay equity among our executive officers;</w:t>
            </w:r>
          </w:p>
        </w:tc>
        <w:tc>
          <w:tcPr>
            <w:tcW w:w="240" w:type="dxa"/>
            <w:vAlign w:val="bottom"/>
          </w:tcPr>
          <w:p>
            <w:pPr>
              <w:ind w:left="140"/>
              <w:spacing w:after="0"/>
              <w:rPr>
                <w:sz w:val="20"/>
                <w:szCs w:val="20"/>
                <w:color w:val="auto"/>
              </w:rPr>
            </w:pPr>
            <w:r>
              <w:rPr>
                <w:rFonts w:ascii="Arial" w:cs="Arial" w:eastAsia="Arial" w:hAnsi="Arial"/>
                <w:sz w:val="9"/>
                <w:szCs w:val="9"/>
                <w:color w:val="auto"/>
              </w:rPr>
              <w:t>●</w:t>
            </w:r>
          </w:p>
        </w:tc>
        <w:tc>
          <w:tcPr>
            <w:tcW w:w="4440" w:type="dxa"/>
            <w:vAlign w:val="bottom"/>
          </w:tcPr>
          <w:p>
            <w:pPr>
              <w:ind w:left="60"/>
              <w:spacing w:after="0"/>
              <w:rPr>
                <w:sz w:val="20"/>
                <w:szCs w:val="20"/>
                <w:color w:val="auto"/>
              </w:rPr>
            </w:pPr>
            <w:r>
              <w:rPr>
                <w:rFonts w:ascii="Arial" w:cs="Arial" w:eastAsia="Arial" w:hAnsi="Arial"/>
                <w:sz w:val="16"/>
                <w:szCs w:val="16"/>
                <w:color w:val="auto"/>
              </w:rPr>
              <w:t>the compensation practices of our compensation peer group</w:t>
            </w:r>
          </w:p>
        </w:tc>
      </w:tr>
      <w:tr>
        <w:trPr>
          <w:trHeight w:val="203"/>
        </w:trPr>
        <w:tc>
          <w:tcPr>
            <w:tcW w:w="120" w:type="dxa"/>
            <w:vAlign w:val="bottom"/>
          </w:tcPr>
          <w:p>
            <w:pPr>
              <w:spacing w:after="0"/>
              <w:rPr>
                <w:sz w:val="17"/>
                <w:szCs w:val="17"/>
                <w:color w:val="auto"/>
              </w:rPr>
            </w:pPr>
          </w:p>
        </w:tc>
        <w:tc>
          <w:tcPr>
            <w:tcW w:w="46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440" w:type="dxa"/>
            <w:vAlign w:val="bottom"/>
          </w:tcPr>
          <w:p>
            <w:pPr>
              <w:ind w:left="60"/>
              <w:spacing w:after="0"/>
              <w:rPr>
                <w:sz w:val="20"/>
                <w:szCs w:val="20"/>
                <w:color w:val="auto"/>
              </w:rPr>
            </w:pPr>
            <w:r>
              <w:rPr>
                <w:rFonts w:ascii="Arial" w:cs="Arial" w:eastAsia="Arial" w:hAnsi="Arial"/>
                <w:sz w:val="16"/>
                <w:szCs w:val="16"/>
                <w:color w:val="auto"/>
              </w:rPr>
              <w:t>and the positioning of each executive officer’s compensation</w:t>
            </w:r>
          </w:p>
        </w:tc>
      </w:tr>
      <w:tr>
        <w:trPr>
          <w:trHeight w:val="215"/>
        </w:trPr>
        <w:tc>
          <w:tcPr>
            <w:tcW w:w="120" w:type="dxa"/>
            <w:vAlign w:val="bottom"/>
          </w:tcPr>
          <w:p>
            <w:pPr>
              <w:spacing w:after="0"/>
              <w:rPr>
                <w:sz w:val="18"/>
                <w:szCs w:val="18"/>
                <w:color w:val="auto"/>
              </w:rPr>
            </w:pPr>
          </w:p>
        </w:tc>
        <w:tc>
          <w:tcPr>
            <w:tcW w:w="46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Arial" w:cs="Arial" w:eastAsia="Arial" w:hAnsi="Arial"/>
                <w:sz w:val="16"/>
                <w:szCs w:val="16"/>
                <w:color w:val="auto"/>
              </w:rPr>
              <w:t>as compared to our peer group; and</w:t>
            </w:r>
          </w:p>
        </w:tc>
      </w:tr>
      <w:tr>
        <w:trPr>
          <w:trHeight w:val="43"/>
        </w:trPr>
        <w:tc>
          <w:tcPr>
            <w:tcW w:w="120" w:type="dxa"/>
            <w:vAlign w:val="bottom"/>
            <w:tcBorders>
              <w:bottom w:val="single" w:sz="8" w:color="auto"/>
            </w:tcBorders>
          </w:tcPr>
          <w:p>
            <w:pPr>
              <w:spacing w:after="0"/>
              <w:rPr>
                <w:sz w:val="3"/>
                <w:szCs w:val="3"/>
                <w:color w:val="auto"/>
              </w:rPr>
            </w:pPr>
          </w:p>
        </w:tc>
        <w:tc>
          <w:tcPr>
            <w:tcW w:w="460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r>
      <w:tr>
        <w:trPr>
          <w:trHeight w:val="263"/>
        </w:trPr>
        <w:tc>
          <w:tcPr>
            <w:tcW w:w="120" w:type="dxa"/>
            <w:vAlign w:val="bottom"/>
          </w:tcPr>
          <w:p>
            <w:pPr>
              <w:spacing w:after="0"/>
              <w:rPr>
                <w:sz w:val="20"/>
                <w:szCs w:val="20"/>
                <w:color w:val="auto"/>
              </w:rPr>
            </w:pPr>
            <w:r>
              <w:rPr>
                <w:rFonts w:ascii="Arial" w:cs="Arial" w:eastAsia="Arial" w:hAnsi="Arial"/>
                <w:sz w:val="9"/>
                <w:szCs w:val="9"/>
                <w:color w:val="auto"/>
              </w:rPr>
              <w:t>●</w:t>
            </w: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each individual executive officer’s skills, experience,</w:t>
            </w:r>
          </w:p>
        </w:tc>
        <w:tc>
          <w:tcPr>
            <w:tcW w:w="240" w:type="dxa"/>
            <w:vAlign w:val="bottom"/>
          </w:tcPr>
          <w:p>
            <w:pPr>
              <w:ind w:left="140"/>
              <w:spacing w:after="0"/>
              <w:rPr>
                <w:sz w:val="20"/>
                <w:szCs w:val="20"/>
                <w:color w:val="auto"/>
              </w:rPr>
            </w:pPr>
            <w:r>
              <w:rPr>
                <w:rFonts w:ascii="Arial" w:cs="Arial" w:eastAsia="Arial" w:hAnsi="Arial"/>
                <w:sz w:val="9"/>
                <w:szCs w:val="9"/>
                <w:color w:val="auto"/>
              </w:rPr>
              <w:t>●</w:t>
            </w:r>
          </w:p>
        </w:tc>
        <w:tc>
          <w:tcPr>
            <w:tcW w:w="4440" w:type="dxa"/>
            <w:vAlign w:val="bottom"/>
          </w:tcPr>
          <w:p>
            <w:pPr>
              <w:ind w:left="60"/>
              <w:spacing w:after="0"/>
              <w:rPr>
                <w:sz w:val="20"/>
                <w:szCs w:val="20"/>
                <w:color w:val="auto"/>
              </w:rPr>
            </w:pPr>
            <w:r>
              <w:rPr>
                <w:rFonts w:ascii="Arial" w:cs="Arial" w:eastAsia="Arial" w:hAnsi="Arial"/>
                <w:sz w:val="16"/>
                <w:szCs w:val="16"/>
                <w:color w:val="auto"/>
              </w:rPr>
              <w:t>the recommendations provided by our CEO with respect to</w:t>
            </w:r>
          </w:p>
        </w:tc>
      </w:tr>
      <w:tr>
        <w:trPr>
          <w:trHeight w:val="203"/>
        </w:trPr>
        <w:tc>
          <w:tcPr>
            <w:tcW w:w="120" w:type="dxa"/>
            <w:vAlign w:val="bottom"/>
          </w:tcPr>
          <w:p>
            <w:pPr>
              <w:spacing w:after="0"/>
              <w:rPr>
                <w:sz w:val="17"/>
                <w:szCs w:val="17"/>
                <w:color w:val="auto"/>
              </w:rPr>
            </w:pP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qualifications, and role relative to other similarly situated</w:t>
            </w:r>
          </w:p>
        </w:tc>
        <w:tc>
          <w:tcPr>
            <w:tcW w:w="240" w:type="dxa"/>
            <w:vAlign w:val="bottom"/>
          </w:tcPr>
          <w:p>
            <w:pPr>
              <w:spacing w:after="0"/>
              <w:rPr>
                <w:sz w:val="17"/>
                <w:szCs w:val="17"/>
                <w:color w:val="auto"/>
              </w:rPr>
            </w:pPr>
          </w:p>
        </w:tc>
        <w:tc>
          <w:tcPr>
            <w:tcW w:w="4440" w:type="dxa"/>
            <w:vAlign w:val="bottom"/>
          </w:tcPr>
          <w:p>
            <w:pPr>
              <w:ind w:left="60"/>
              <w:spacing w:after="0"/>
              <w:rPr>
                <w:sz w:val="20"/>
                <w:szCs w:val="20"/>
                <w:color w:val="auto"/>
              </w:rPr>
            </w:pPr>
            <w:r>
              <w:rPr>
                <w:rFonts w:ascii="Arial" w:cs="Arial" w:eastAsia="Arial" w:hAnsi="Arial"/>
                <w:sz w:val="16"/>
                <w:szCs w:val="16"/>
                <w:color w:val="auto"/>
              </w:rPr>
              <w:t>the compensation of our other executive officers.</w:t>
            </w:r>
          </w:p>
        </w:tc>
      </w:tr>
      <w:tr>
        <w:trPr>
          <w:trHeight w:val="215"/>
        </w:trPr>
        <w:tc>
          <w:tcPr>
            <w:tcW w:w="120" w:type="dxa"/>
            <w:vAlign w:val="bottom"/>
          </w:tcPr>
          <w:p>
            <w:pPr>
              <w:spacing w:after="0"/>
              <w:rPr>
                <w:sz w:val="18"/>
                <w:szCs w:val="18"/>
                <w:color w:val="auto"/>
              </w:rPr>
            </w:pP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executives at the companies in our compensation peer group;</w:t>
            </w:r>
          </w:p>
        </w:tc>
        <w:tc>
          <w:tcPr>
            <w:tcW w:w="24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56"/>
        </w:trPr>
        <w:tc>
          <w:tcPr>
            <w:tcW w:w="120" w:type="dxa"/>
            <w:vAlign w:val="bottom"/>
          </w:tcPr>
          <w:p>
            <w:pPr>
              <w:spacing w:after="0"/>
              <w:rPr>
                <w:sz w:val="4"/>
                <w:szCs w:val="4"/>
                <w:color w:val="auto"/>
              </w:rPr>
            </w:pPr>
          </w:p>
        </w:tc>
        <w:tc>
          <w:tcPr>
            <w:tcW w:w="460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440" w:type="dxa"/>
            <w:vAlign w:val="bottom"/>
          </w:tcPr>
          <w:p>
            <w:pPr>
              <w:spacing w:after="0"/>
              <w:rPr>
                <w:sz w:val="4"/>
                <w:szCs w:val="4"/>
                <w:color w:val="auto"/>
              </w:rPr>
            </w:pPr>
          </w:p>
        </w:tc>
      </w:tr>
    </w:tbl>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Role of Our Officers</w:t>
      </w:r>
    </w:p>
    <w:p>
      <w:pPr>
        <w:spacing w:after="0" w:line="126" w:lineRule="exact"/>
        <w:rPr>
          <w:sz w:val="20"/>
          <w:szCs w:val="20"/>
          <w:color w:val="auto"/>
        </w:rPr>
      </w:pPr>
    </w:p>
    <w:p>
      <w:pPr>
        <w:ind w:left="660"/>
        <w:spacing w:after="0" w:line="262" w:lineRule="auto"/>
        <w:rPr>
          <w:sz w:val="20"/>
          <w:szCs w:val="20"/>
          <w:color w:val="auto"/>
        </w:rPr>
      </w:pPr>
      <w:r>
        <w:rPr>
          <w:rFonts w:ascii="Arial" w:cs="Arial" w:eastAsia="Arial" w:hAnsi="Arial"/>
          <w:sz w:val="16"/>
          <w:szCs w:val="16"/>
          <w:color w:val="auto"/>
        </w:rPr>
        <w:t>The compensation committee relies on the observations and information provided by our executive officers. Our Chief Executive Officer provides evaluations of the performance of the other executive officers and makes recommendations regarding changes to executive officer compensation (other than for himself), the broader Company-wide cash incentive plan, and budgets for equity awards. Our Chief Financial Officer provides information and recommendations regarding our annual corporate operating budget and the related performance goals for our equity and cash incentive programs. Our in-house legal team, including our Chief Legal Officer, provides additional guidance as requested by the compensation committee. Finally, the benefits committee, consisting of members of our human resources, legal, and accounting departments, provides guidance to the compensation committee on broad-based health, welfare and retirement benefit plans and proposed changes to those plans. Our officers recuse themselves from discussions and recommendations regarding their own compensation.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Role of Compensation Consultant</w:t>
      </w:r>
    </w:p>
    <w:p>
      <w:pPr>
        <w:spacing w:after="0" w:line="112" w:lineRule="exact"/>
        <w:rPr>
          <w:sz w:val="20"/>
          <w:szCs w:val="20"/>
          <w:color w:val="auto"/>
        </w:rPr>
      </w:pPr>
    </w:p>
    <w:p>
      <w:pPr>
        <w:ind w:left="660"/>
        <w:spacing w:after="0" w:line="268" w:lineRule="auto"/>
        <w:rPr>
          <w:sz w:val="20"/>
          <w:szCs w:val="20"/>
          <w:color w:val="auto"/>
        </w:rPr>
      </w:pPr>
      <w:r>
        <w:rPr>
          <w:rFonts w:ascii="Arial" w:cs="Arial" w:eastAsia="Arial" w:hAnsi="Arial"/>
          <w:sz w:val="16"/>
          <w:szCs w:val="16"/>
          <w:color w:val="auto"/>
        </w:rPr>
        <w:t>The compensation committee retained Aon to assist with establishing an updated peer group for 2025 and to perform a pay study for executive officer and director compensation. Aon reported directly to the compensation committee and to the compensation committee chair. While Aon coordinated with our management for data collection, including for obtaining the job descriptions for our executive officers, Aon did not provide any other compensation related services to us. The compensation committee evaluated Aon’s independence pursuant to the listing standards of Nasdaq and the relevant SEC rules and determined Aon was independent and that no conflict of interest arose as a result of the work performed by Aon.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1429385</wp:posOffset>
            </wp:positionV>
            <wp:extent cx="334010" cy="162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32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Competitive Positioning</w:t>
      </w:r>
    </w:p>
    <w:p>
      <w:pPr>
        <w:spacing w:after="0" w:line="126" w:lineRule="exact"/>
        <w:rPr>
          <w:sz w:val="20"/>
          <w:szCs w:val="20"/>
          <w:color w:val="auto"/>
        </w:rPr>
      </w:pPr>
    </w:p>
    <w:p>
      <w:pPr>
        <w:jc w:val="both"/>
        <w:ind w:left="660" w:right="120"/>
        <w:spacing w:after="0" w:line="275" w:lineRule="auto"/>
        <w:rPr>
          <w:sz w:val="20"/>
          <w:szCs w:val="20"/>
          <w:color w:val="auto"/>
        </w:rPr>
      </w:pPr>
      <w:r>
        <w:rPr>
          <w:rFonts w:ascii="Arial" w:cs="Arial" w:eastAsia="Arial" w:hAnsi="Arial"/>
          <w:sz w:val="16"/>
          <w:szCs w:val="16"/>
          <w:color w:val="auto"/>
        </w:rPr>
        <w:t>For purposes of comparing the compensation of our NEOs against the competitive market, the compensation committee periodically reviews and considers the compensation levels and practices of a group of peer companies. This compensation peer group consists of companies within the industry with a similar size profile in terms of revenue and market capitalization.</w:t>
      </w:r>
    </w:p>
    <w:p>
      <w:pPr>
        <w:spacing w:after="0" w:line="70" w:lineRule="exact"/>
        <w:rPr>
          <w:sz w:val="20"/>
          <w:szCs w:val="20"/>
          <w:color w:val="auto"/>
        </w:rPr>
      </w:pPr>
    </w:p>
    <w:p>
      <w:pPr>
        <w:jc w:val="both"/>
        <w:ind w:left="660" w:right="80"/>
        <w:spacing w:after="0" w:line="271" w:lineRule="auto"/>
        <w:rPr>
          <w:sz w:val="20"/>
          <w:szCs w:val="20"/>
          <w:color w:val="auto"/>
        </w:rPr>
      </w:pPr>
      <w:r>
        <w:rPr>
          <w:rFonts w:ascii="Arial" w:cs="Arial" w:eastAsia="Arial" w:hAnsi="Arial"/>
          <w:sz w:val="16"/>
          <w:szCs w:val="16"/>
          <w:color w:val="auto"/>
        </w:rPr>
        <w:t>For 2025, the compensation committee assessed the appropriateness of the peer group to ensure it was aligned with the Company’s profile. Due to a significant increase in the Company’s valuation, as well as increases in revenues and headcount, the compensation committee approved changes to the peer group from the one used in connection with decisions about 2024 executive compensation. The following criteria were used to establish the 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73025</wp:posOffset>
            </wp:positionV>
            <wp:extent cx="59664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INDUSTRY</w:t>
      </w:r>
    </w:p>
    <w:p>
      <w:pPr>
        <w:spacing w:after="0" w:line="194" w:lineRule="exact"/>
        <w:rPr>
          <w:sz w:val="20"/>
          <w:szCs w:val="20"/>
          <w:color w:val="auto"/>
        </w:rPr>
      </w:pPr>
    </w:p>
    <w:p>
      <w:pPr>
        <w:ind w:left="660" w:right="360"/>
        <w:spacing w:after="0" w:line="304" w:lineRule="auto"/>
        <w:rPr>
          <w:sz w:val="20"/>
          <w:szCs w:val="20"/>
          <w:color w:val="auto"/>
        </w:rPr>
      </w:pPr>
      <w:r>
        <w:rPr>
          <w:rFonts w:ascii="Arial" w:cs="Arial" w:eastAsia="Arial" w:hAnsi="Arial"/>
          <w:sz w:val="16"/>
          <w:szCs w:val="16"/>
          <w:color w:val="auto"/>
        </w:rPr>
        <w:t>Focus on companies within the communications equipment industry and other similar technology hardware companies, including semiconductors and systems software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4445</wp:posOffset>
            </wp:positionV>
            <wp:extent cx="59664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ind w:left="660"/>
        <w:spacing w:after="0"/>
        <w:tabs>
          <w:tab w:leader="none" w:pos="4320" w:val="left"/>
        </w:tabs>
        <w:rPr>
          <w:sz w:val="20"/>
          <w:szCs w:val="20"/>
          <w:color w:val="auto"/>
        </w:rPr>
      </w:pPr>
      <w:r>
        <w:rPr>
          <w:rFonts w:ascii="Arial" w:cs="Arial" w:eastAsia="Arial" w:hAnsi="Arial"/>
          <w:sz w:val="32"/>
          <w:szCs w:val="32"/>
          <w:b w:val="1"/>
          <w:bCs w:val="1"/>
          <w:color w:val="auto"/>
          <w:vertAlign w:val="superscript"/>
        </w:rPr>
        <w:t>MARKET CAPITALIZATION</w:t>
      </w:r>
      <w:r>
        <w:rPr>
          <w:sz w:val="20"/>
          <w:szCs w:val="20"/>
          <w:color w:val="auto"/>
        </w:rPr>
        <w:tab/>
      </w:r>
      <w:r>
        <w:rPr>
          <w:rFonts w:ascii="Arial" w:cs="Arial" w:eastAsia="Arial" w:hAnsi="Arial"/>
          <w:sz w:val="15"/>
          <w:szCs w:val="15"/>
          <w:color w:val="auto"/>
        </w:rPr>
        <w:t>Focus on companies with market capitalizations of $650 million to $4.0 billion</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-612775</wp:posOffset>
            </wp:positionV>
            <wp:extent cx="1800225" cy="3771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800225" cy="3771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106680</wp:posOffset>
            </wp:positionV>
            <wp:extent cx="1808480" cy="3689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8084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113665</wp:posOffset>
            </wp:positionV>
            <wp:extent cx="1851660" cy="4457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85166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60"/>
        <w:spacing w:after="0" w:line="264" w:lineRule="auto"/>
        <w:rPr>
          <w:sz w:val="20"/>
          <w:szCs w:val="20"/>
          <w:color w:val="auto"/>
        </w:rPr>
      </w:pPr>
      <w:r>
        <w:rPr>
          <w:rFonts w:ascii="Arial" w:cs="Arial" w:eastAsia="Arial" w:hAnsi="Arial"/>
          <w:sz w:val="16"/>
          <w:szCs w:val="16"/>
          <w:color w:val="auto"/>
        </w:rPr>
        <w:t>based on the Company’s market capitalization of approximately $1.6 billion at the time; represented a range of approximately 0.4x to 2.5x the average of the Company’s 30-day average and spot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93345</wp:posOffset>
            </wp:positionV>
            <wp:extent cx="59664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Focus on companies with revenues of $280 million to $1.75 billion based on the Company’s 2024 actual and 2025 revenue projections; represented a range of approximately 0.4x to 2.5x 2025 revenue projections;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147320</wp:posOffset>
            </wp:positionV>
            <wp:extent cx="59664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Focus on companies with headcounts of 1,350 employees to 8,400 employees based on the Company’s year-end 2024 and projected 2025 headcounts; represented a range of approximately 0.4x to 2.5x the average of 2024 actual headcount and 2025 headcount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132715</wp:posOffset>
            </wp:positionV>
            <wp:extent cx="59664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5760"/>
          </w:cols>
          <w:pgMar w:left="580" w:top="97" w:right="1219" w:bottom="1440" w:gutter="0" w:footer="0" w:header="0"/>
          <w:type w:val="continuous"/>
        </w:sectPr>
      </w:pPr>
    </w:p>
    <w:p>
      <w:pPr>
        <w:spacing w:after="0" w:line="332" w:lineRule="exact"/>
        <w:rPr>
          <w:sz w:val="20"/>
          <w:szCs w:val="20"/>
          <w:color w:val="auto"/>
        </w:rPr>
      </w:pPr>
    </w:p>
    <w:p>
      <w:pPr>
        <w:ind w:left="660" w:right="180"/>
        <w:spacing w:after="0" w:line="271" w:lineRule="auto"/>
        <w:rPr>
          <w:sz w:val="20"/>
          <w:szCs w:val="20"/>
          <w:color w:val="auto"/>
        </w:rPr>
      </w:pPr>
      <w:r>
        <w:rPr>
          <w:rFonts w:ascii="Arial" w:cs="Arial" w:eastAsia="Arial" w:hAnsi="Arial"/>
          <w:sz w:val="16"/>
          <w:szCs w:val="16"/>
          <w:color w:val="auto"/>
        </w:rPr>
        <w:t>Accordingly, the compensation committee established the following compensation peer group for 2025 to assist with the determination of compensation for our executive officers (the “2025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29845</wp:posOffset>
            </wp:positionV>
            <wp:extent cx="27432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94"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A10 Networks, Inc.</w:t>
      </w:r>
      <w:r>
        <w:rPr>
          <w:sz w:val="20"/>
          <w:szCs w:val="20"/>
          <w:color w:val="auto"/>
        </w:rPr>
        <w:tab/>
      </w:r>
      <w:r>
        <w:rPr>
          <w:rFonts w:ascii="Arial" w:cs="Arial" w:eastAsia="Arial" w:hAnsi="Arial"/>
          <w:sz w:val="15"/>
          <w:szCs w:val="15"/>
          <w:b w:val="1"/>
          <w:bCs w:val="1"/>
          <w:color w:val="auto"/>
        </w:rPr>
        <w:t>Harmonic Inc.</w:t>
      </w:r>
    </w:p>
    <w:p>
      <w:pPr>
        <w:spacing w:after="0" w:line="35"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ACM Research, Inc.</w:t>
      </w:r>
      <w:r>
        <w:rPr>
          <w:sz w:val="20"/>
          <w:szCs w:val="20"/>
          <w:color w:val="auto"/>
        </w:rPr>
        <w:tab/>
      </w:r>
      <w:r>
        <w:rPr>
          <w:rFonts w:ascii="Arial" w:cs="Arial" w:eastAsia="Arial" w:hAnsi="Arial"/>
          <w:sz w:val="15"/>
          <w:szCs w:val="15"/>
          <w:b w:val="1"/>
          <w:bCs w:val="1"/>
          <w:color w:val="auto"/>
        </w:rPr>
        <w:t>Infinera Corporation</w:t>
      </w:r>
    </w:p>
    <w:p>
      <w:pPr>
        <w:spacing w:after="0" w:line="5"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ADTRAN, Inc.</w:t>
      </w:r>
      <w:r>
        <w:rPr>
          <w:sz w:val="20"/>
          <w:szCs w:val="20"/>
          <w:color w:val="auto"/>
        </w:rPr>
        <w:tab/>
      </w:r>
      <w:r>
        <w:rPr>
          <w:rFonts w:ascii="Arial" w:cs="Arial" w:eastAsia="Arial" w:hAnsi="Arial"/>
          <w:sz w:val="14"/>
          <w:szCs w:val="14"/>
          <w:b w:val="1"/>
          <w:bCs w:val="1"/>
          <w:color w:val="auto"/>
        </w:rPr>
        <w:t>MaxLinear, Inc.</w:t>
      </w:r>
    </w:p>
    <w:p>
      <w:pPr>
        <w:spacing w:after="0" w:line="19"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Allegro MicroSystems, Inc</w:t>
      </w:r>
      <w:r>
        <w:rPr>
          <w:sz w:val="20"/>
          <w:szCs w:val="20"/>
          <w:color w:val="auto"/>
        </w:rPr>
        <w:tab/>
      </w:r>
      <w:r>
        <w:rPr>
          <w:rFonts w:ascii="Arial" w:cs="Arial" w:eastAsia="Arial" w:hAnsi="Arial"/>
          <w:sz w:val="15"/>
          <w:szCs w:val="15"/>
          <w:b w:val="1"/>
          <w:bCs w:val="1"/>
          <w:color w:val="auto"/>
        </w:rPr>
        <w:t>NETGEAR, Inc.</w:t>
      </w:r>
    </w:p>
    <w:p>
      <w:pPr>
        <w:spacing w:after="0" w:line="19"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Alpha and Omega</w:t>
      </w:r>
      <w:r>
        <w:rPr>
          <w:sz w:val="20"/>
          <w:szCs w:val="20"/>
          <w:color w:val="auto"/>
        </w:rPr>
        <w:tab/>
      </w:r>
      <w:r>
        <w:rPr>
          <w:rFonts w:ascii="Arial" w:cs="Arial" w:eastAsia="Arial" w:hAnsi="Arial"/>
          <w:sz w:val="15"/>
          <w:szCs w:val="15"/>
          <w:b w:val="1"/>
          <w:bCs w:val="1"/>
          <w:color w:val="auto"/>
        </w:rPr>
        <w:t>NetScout Systems, Inc.</w:t>
      </w:r>
    </w:p>
    <w:p>
      <w:pPr>
        <w:spacing w:after="0" w:line="5"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Semiconductor Limited</w:t>
      </w:r>
      <w:r>
        <w:rPr>
          <w:sz w:val="20"/>
          <w:szCs w:val="20"/>
          <w:color w:val="auto"/>
        </w:rPr>
        <w:tab/>
      </w:r>
      <w:r>
        <w:rPr>
          <w:rFonts w:ascii="Arial" w:cs="Arial" w:eastAsia="Arial" w:hAnsi="Arial"/>
          <w:sz w:val="15"/>
          <w:szCs w:val="15"/>
          <w:b w:val="1"/>
          <w:bCs w:val="1"/>
          <w:color w:val="auto"/>
        </w:rPr>
        <w:t>Photronics, Inc.</w:t>
      </w:r>
    </w:p>
    <w:p>
      <w:pPr>
        <w:spacing w:after="0" w:line="19"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Calix, Inc.</w:t>
      </w:r>
      <w:r>
        <w:rPr>
          <w:sz w:val="20"/>
          <w:szCs w:val="20"/>
          <w:color w:val="auto"/>
        </w:rPr>
        <w:tab/>
      </w:r>
      <w:r>
        <w:rPr>
          <w:rFonts w:ascii="Arial" w:cs="Arial" w:eastAsia="Arial" w:hAnsi="Arial"/>
          <w:sz w:val="15"/>
          <w:szCs w:val="15"/>
          <w:b w:val="1"/>
          <w:bCs w:val="1"/>
          <w:color w:val="auto"/>
        </w:rPr>
        <w:t>Ribbon Communications,</w:t>
      </w:r>
    </w:p>
    <w:p>
      <w:pPr>
        <w:spacing w:after="0" w:line="5"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Cohu, Inc.</w:t>
      </w:r>
      <w:r>
        <w:rPr>
          <w:sz w:val="20"/>
          <w:szCs w:val="20"/>
          <w:color w:val="auto"/>
        </w:rPr>
        <w:tab/>
      </w:r>
      <w:r>
        <w:rPr>
          <w:rFonts w:ascii="Arial" w:cs="Arial" w:eastAsia="Arial" w:hAnsi="Arial"/>
          <w:sz w:val="15"/>
          <w:szCs w:val="15"/>
          <w:b w:val="1"/>
          <w:bCs w:val="1"/>
          <w:color w:val="auto"/>
        </w:rPr>
        <w:t>Inc.</w:t>
      </w:r>
    </w:p>
    <w:p>
      <w:pPr>
        <w:spacing w:after="0" w:line="19"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Digi International Inc.</w:t>
      </w:r>
      <w:r>
        <w:rPr>
          <w:sz w:val="20"/>
          <w:szCs w:val="20"/>
          <w:color w:val="auto"/>
        </w:rPr>
        <w:tab/>
      </w:r>
      <w:r>
        <w:rPr>
          <w:rFonts w:ascii="Arial" w:cs="Arial" w:eastAsia="Arial" w:hAnsi="Arial"/>
          <w:sz w:val="15"/>
          <w:szCs w:val="15"/>
          <w:b w:val="1"/>
          <w:bCs w:val="1"/>
          <w:color w:val="auto"/>
        </w:rPr>
        <w:t>Semtech Corporation</w:t>
      </w:r>
    </w:p>
    <w:p>
      <w:pPr>
        <w:spacing w:after="0" w:line="19"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Extreme Networks, Inc.</w:t>
      </w:r>
      <w:r>
        <w:rPr>
          <w:sz w:val="20"/>
          <w:szCs w:val="20"/>
          <w:color w:val="auto"/>
        </w:rPr>
        <w:tab/>
      </w:r>
      <w:r>
        <w:rPr>
          <w:rFonts w:ascii="Arial" w:cs="Arial" w:eastAsia="Arial" w:hAnsi="Arial"/>
          <w:sz w:val="14"/>
          <w:szCs w:val="14"/>
          <w:b w:val="1"/>
          <w:bCs w:val="1"/>
          <w:color w:val="auto"/>
        </w:rPr>
        <w:t>SkyWater Technology, Inc.</w:t>
      </w:r>
    </w:p>
    <w:p>
      <w:pPr>
        <w:spacing w:after="0" w:line="5" w:lineRule="exact"/>
        <w:rPr>
          <w:sz w:val="20"/>
          <w:szCs w:val="20"/>
          <w:color w:val="auto"/>
        </w:rPr>
      </w:pPr>
    </w:p>
    <w:p>
      <w:pPr>
        <w:ind w:left="740"/>
        <w:spacing w:after="0"/>
        <w:tabs>
          <w:tab w:leader="none" w:pos="2980" w:val="left"/>
        </w:tabs>
        <w:rPr>
          <w:sz w:val="20"/>
          <w:szCs w:val="20"/>
          <w:color w:val="auto"/>
        </w:rPr>
      </w:pPr>
      <w:r>
        <w:rPr>
          <w:rFonts w:ascii="Arial" w:cs="Arial" w:eastAsia="Arial" w:hAnsi="Arial"/>
          <w:sz w:val="16"/>
          <w:szCs w:val="16"/>
          <w:b w:val="1"/>
          <w:bCs w:val="1"/>
          <w:color w:val="auto"/>
        </w:rPr>
        <w:t>FormFactor, Inc.</w:t>
      </w:r>
      <w:r>
        <w:rPr>
          <w:sz w:val="20"/>
          <w:szCs w:val="20"/>
          <w:color w:val="auto"/>
        </w:rPr>
        <w:tab/>
      </w:r>
      <w:r>
        <w:rPr>
          <w:rFonts w:ascii="Arial" w:cs="Arial" w:eastAsia="Arial" w:hAnsi="Arial"/>
          <w:sz w:val="15"/>
          <w:szCs w:val="15"/>
          <w:b w:val="1"/>
          <w:bCs w:val="1"/>
          <w:color w:val="auto"/>
        </w:rPr>
        <w:t>Viavi 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1828165</wp:posOffset>
            </wp:positionV>
            <wp:extent cx="334010" cy="162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31" w:lineRule="exact"/>
        <w:rPr>
          <w:sz w:val="20"/>
          <w:szCs w:val="20"/>
          <w:color w:val="auto"/>
        </w:rPr>
      </w:pPr>
    </w:p>
    <w:p>
      <w:pPr>
        <w:jc w:val="both"/>
        <w:ind w:right="780"/>
        <w:spacing w:after="0" w:line="267" w:lineRule="auto"/>
        <w:rPr>
          <w:sz w:val="20"/>
          <w:szCs w:val="20"/>
          <w:color w:val="auto"/>
        </w:rPr>
      </w:pPr>
      <w:r>
        <w:rPr>
          <w:rFonts w:ascii="Arial" w:cs="Arial" w:eastAsia="Arial" w:hAnsi="Arial"/>
          <w:sz w:val="16"/>
          <w:szCs w:val="16"/>
          <w:color w:val="auto"/>
        </w:rPr>
        <w:t>Using the criteria identified above, the compensation committee determined it was appropriate to make the following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-53975</wp:posOffset>
            </wp:positionV>
            <wp:extent cx="3060065" cy="17487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060065" cy="174879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Companies Removed</w:t>
            </w:r>
          </w:p>
        </w:tc>
        <w:tc>
          <w:tcPr>
            <w:tcW w:w="220" w:type="dxa"/>
            <w:vAlign w:val="bottom"/>
          </w:tcPr>
          <w:p>
            <w:pPr>
              <w:spacing w:after="0"/>
              <w:rPr>
                <w:sz w:val="20"/>
                <w:szCs w:val="20"/>
                <w:color w:val="auto"/>
              </w:rPr>
            </w:pPr>
            <w:r>
              <w:rPr>
                <w:rFonts w:ascii="Arial" w:cs="Arial" w:eastAsia="Arial" w:hAnsi="Arial"/>
                <w:sz w:val="16"/>
                <w:szCs w:val="16"/>
                <w:b w:val="1"/>
                <w:bCs w:val="1"/>
                <w:color w:val="auto"/>
              </w:rPr>
              <w:t>​ ​</w:t>
            </w:r>
          </w:p>
        </w:tc>
        <w:tc>
          <w:tcPr>
            <w:tcW w:w="21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Companies Added</w:t>
            </w:r>
          </w:p>
        </w:tc>
      </w:tr>
      <w:tr>
        <w:trPr>
          <w:trHeight w:val="249"/>
        </w:trPr>
        <w:tc>
          <w:tcPr>
            <w:tcW w:w="2180" w:type="dxa"/>
            <w:vAlign w:val="bottom"/>
          </w:tcPr>
          <w:p>
            <w:pPr>
              <w:ind w:left="80"/>
              <w:spacing w:after="0"/>
              <w:rPr>
                <w:sz w:val="20"/>
                <w:szCs w:val="20"/>
                <w:color w:val="auto"/>
              </w:rPr>
            </w:pPr>
            <w:r>
              <w:rPr>
                <w:rFonts w:ascii="Arial" w:cs="Arial" w:eastAsia="Arial" w:hAnsi="Arial"/>
                <w:sz w:val="16"/>
                <w:szCs w:val="16"/>
                <w:color w:val="auto"/>
              </w:rPr>
              <w:t>Aviat Networks, Inc.</w:t>
            </w:r>
          </w:p>
        </w:tc>
        <w:tc>
          <w:tcPr>
            <w:tcW w:w="220" w:type="dxa"/>
            <w:vAlign w:val="bottom"/>
          </w:tcPr>
          <w:p>
            <w:pPr>
              <w:spacing w:after="0"/>
              <w:rPr>
                <w:sz w:val="20"/>
                <w:szCs w:val="20"/>
                <w:color w:val="auto"/>
              </w:rPr>
            </w:pPr>
            <w:r>
              <w:rPr>
                <w:rFonts w:ascii="Arial" w:cs="Arial" w:eastAsia="Arial" w:hAnsi="Arial"/>
                <w:sz w:val="16"/>
                <w:szCs w:val="16"/>
                <w:color w:val="auto"/>
              </w:rPr>
              <w:t>​ ​</w:t>
            </w:r>
          </w:p>
        </w:tc>
        <w:tc>
          <w:tcPr>
            <w:tcW w:w="2160" w:type="dxa"/>
            <w:vAlign w:val="bottom"/>
          </w:tcPr>
          <w:p>
            <w:pPr>
              <w:ind w:left="80"/>
              <w:spacing w:after="0"/>
              <w:rPr>
                <w:sz w:val="20"/>
                <w:szCs w:val="20"/>
                <w:color w:val="auto"/>
              </w:rPr>
            </w:pPr>
            <w:r>
              <w:rPr>
                <w:rFonts w:ascii="Arial" w:cs="Arial" w:eastAsia="Arial" w:hAnsi="Arial"/>
                <w:sz w:val="16"/>
                <w:szCs w:val="16"/>
                <w:color w:val="auto"/>
              </w:rPr>
              <w:t>Allegro MicroSystems, Inc</w:t>
            </w:r>
          </w:p>
        </w:tc>
      </w:tr>
      <w:tr>
        <w:trPr>
          <w:trHeight w:val="189"/>
        </w:trPr>
        <w:tc>
          <w:tcPr>
            <w:tcW w:w="2180" w:type="dxa"/>
            <w:vAlign w:val="bottom"/>
          </w:tcPr>
          <w:p>
            <w:pPr>
              <w:ind w:left="80"/>
              <w:spacing w:after="0"/>
              <w:rPr>
                <w:sz w:val="20"/>
                <w:szCs w:val="20"/>
                <w:color w:val="auto"/>
              </w:rPr>
            </w:pPr>
            <w:r>
              <w:rPr>
                <w:rFonts w:ascii="Arial" w:cs="Arial" w:eastAsia="Arial" w:hAnsi="Arial"/>
                <w:sz w:val="16"/>
                <w:szCs w:val="16"/>
                <w:color w:val="auto"/>
              </w:rPr>
              <w:t>CEVA, Inc.</w:t>
            </w:r>
          </w:p>
        </w:tc>
        <w:tc>
          <w:tcPr>
            <w:tcW w:w="22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6"/>
                <w:szCs w:val="16"/>
                <w:color w:val="auto"/>
              </w:rPr>
              <w:t>Calix, Inc.</w:t>
            </w:r>
          </w:p>
        </w:tc>
      </w:tr>
      <w:tr>
        <w:trPr>
          <w:trHeight w:val="203"/>
        </w:trPr>
        <w:tc>
          <w:tcPr>
            <w:tcW w:w="2180" w:type="dxa"/>
            <w:vAlign w:val="bottom"/>
          </w:tcPr>
          <w:p>
            <w:pPr>
              <w:ind w:left="80"/>
              <w:spacing w:after="0"/>
              <w:rPr>
                <w:sz w:val="20"/>
                <w:szCs w:val="20"/>
                <w:color w:val="auto"/>
              </w:rPr>
            </w:pPr>
            <w:r>
              <w:rPr>
                <w:rFonts w:ascii="Arial" w:cs="Arial" w:eastAsia="Arial" w:hAnsi="Arial"/>
                <w:sz w:val="16"/>
                <w:szCs w:val="16"/>
                <w:color w:val="auto"/>
              </w:rPr>
              <w:t>Clearfield, Inc.</w:t>
            </w:r>
          </w:p>
        </w:tc>
        <w:tc>
          <w:tcPr>
            <w:tcW w:w="220" w:type="dxa"/>
            <w:vAlign w:val="bottom"/>
          </w:tcPr>
          <w:p>
            <w:pPr>
              <w:spacing w:after="0"/>
              <w:rPr>
                <w:sz w:val="17"/>
                <w:szCs w:val="17"/>
                <w:color w:val="auto"/>
              </w:rPr>
            </w:pPr>
          </w:p>
        </w:tc>
        <w:tc>
          <w:tcPr>
            <w:tcW w:w="2160" w:type="dxa"/>
            <w:vAlign w:val="bottom"/>
          </w:tcPr>
          <w:p>
            <w:pPr>
              <w:ind w:left="80"/>
              <w:spacing w:after="0"/>
              <w:rPr>
                <w:sz w:val="20"/>
                <w:szCs w:val="20"/>
                <w:color w:val="auto"/>
              </w:rPr>
            </w:pPr>
            <w:r>
              <w:rPr>
                <w:rFonts w:ascii="Arial" w:cs="Arial" w:eastAsia="Arial" w:hAnsi="Arial"/>
                <w:sz w:val="16"/>
                <w:szCs w:val="16"/>
                <w:color w:val="auto"/>
              </w:rPr>
              <w:t>Extreme Networks, Inc.</w:t>
            </w:r>
          </w:p>
        </w:tc>
      </w:tr>
      <w:tr>
        <w:trPr>
          <w:trHeight w:val="203"/>
        </w:trPr>
        <w:tc>
          <w:tcPr>
            <w:tcW w:w="2180" w:type="dxa"/>
            <w:vAlign w:val="bottom"/>
          </w:tcPr>
          <w:p>
            <w:pPr>
              <w:ind w:left="80"/>
              <w:spacing w:after="0"/>
              <w:rPr>
                <w:sz w:val="20"/>
                <w:szCs w:val="20"/>
                <w:color w:val="auto"/>
              </w:rPr>
            </w:pPr>
            <w:r>
              <w:rPr>
                <w:rFonts w:ascii="Arial" w:cs="Arial" w:eastAsia="Arial" w:hAnsi="Arial"/>
                <w:sz w:val="16"/>
                <w:szCs w:val="16"/>
                <w:color w:val="auto"/>
              </w:rPr>
              <w:t>Comtech</w:t>
            </w:r>
          </w:p>
        </w:tc>
        <w:tc>
          <w:tcPr>
            <w:tcW w:w="220" w:type="dxa"/>
            <w:vAlign w:val="bottom"/>
          </w:tcPr>
          <w:p>
            <w:pPr>
              <w:spacing w:after="0"/>
              <w:rPr>
                <w:sz w:val="17"/>
                <w:szCs w:val="17"/>
                <w:color w:val="auto"/>
              </w:rPr>
            </w:pPr>
          </w:p>
        </w:tc>
        <w:tc>
          <w:tcPr>
            <w:tcW w:w="2160" w:type="dxa"/>
            <w:vAlign w:val="bottom"/>
          </w:tcPr>
          <w:p>
            <w:pPr>
              <w:ind w:left="80"/>
              <w:spacing w:after="0"/>
              <w:rPr>
                <w:sz w:val="20"/>
                <w:szCs w:val="20"/>
                <w:color w:val="auto"/>
              </w:rPr>
            </w:pPr>
            <w:r>
              <w:rPr>
                <w:rFonts w:ascii="Arial" w:cs="Arial" w:eastAsia="Arial" w:hAnsi="Arial"/>
                <w:sz w:val="16"/>
                <w:szCs w:val="16"/>
                <w:color w:val="auto"/>
              </w:rPr>
              <w:t>FormFactor, Inc.</w:t>
            </w:r>
          </w:p>
        </w:tc>
      </w:tr>
      <w:tr>
        <w:trPr>
          <w:trHeight w:val="189"/>
        </w:trPr>
        <w:tc>
          <w:tcPr>
            <w:tcW w:w="2180" w:type="dxa"/>
            <w:vAlign w:val="bottom"/>
          </w:tcPr>
          <w:p>
            <w:pPr>
              <w:ind w:left="80"/>
              <w:spacing w:after="0"/>
              <w:rPr>
                <w:sz w:val="20"/>
                <w:szCs w:val="20"/>
                <w:color w:val="auto"/>
              </w:rPr>
            </w:pPr>
            <w:r>
              <w:rPr>
                <w:rFonts w:ascii="Arial" w:cs="Arial" w:eastAsia="Arial" w:hAnsi="Arial"/>
                <w:sz w:val="16"/>
                <w:szCs w:val="16"/>
                <w:color w:val="auto"/>
              </w:rPr>
              <w:t>Telecommunications Corp.</w:t>
            </w:r>
          </w:p>
        </w:tc>
        <w:tc>
          <w:tcPr>
            <w:tcW w:w="22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6"/>
                <w:szCs w:val="16"/>
                <w:color w:val="auto"/>
              </w:rPr>
              <w:t>Infinera Corporation,</w:t>
            </w:r>
          </w:p>
        </w:tc>
      </w:tr>
      <w:tr>
        <w:trPr>
          <w:trHeight w:val="203"/>
        </w:trPr>
        <w:tc>
          <w:tcPr>
            <w:tcW w:w="2180" w:type="dxa"/>
            <w:vAlign w:val="bottom"/>
          </w:tcPr>
          <w:p>
            <w:pPr>
              <w:ind w:left="80"/>
              <w:spacing w:after="0"/>
              <w:rPr>
                <w:sz w:val="20"/>
                <w:szCs w:val="20"/>
                <w:color w:val="auto"/>
              </w:rPr>
            </w:pPr>
            <w:r>
              <w:rPr>
                <w:rFonts w:ascii="Arial" w:cs="Arial" w:eastAsia="Arial" w:hAnsi="Arial"/>
                <w:sz w:val="16"/>
                <w:szCs w:val="16"/>
                <w:color w:val="auto"/>
              </w:rPr>
              <w:t>indie Semiconductor, Inc.</w:t>
            </w:r>
          </w:p>
        </w:tc>
        <w:tc>
          <w:tcPr>
            <w:tcW w:w="220" w:type="dxa"/>
            <w:vAlign w:val="bottom"/>
          </w:tcPr>
          <w:p>
            <w:pPr>
              <w:spacing w:after="0"/>
              <w:rPr>
                <w:sz w:val="17"/>
                <w:szCs w:val="17"/>
                <w:color w:val="auto"/>
              </w:rPr>
            </w:pPr>
          </w:p>
        </w:tc>
        <w:tc>
          <w:tcPr>
            <w:tcW w:w="2160" w:type="dxa"/>
            <w:vAlign w:val="bottom"/>
          </w:tcPr>
          <w:p>
            <w:pPr>
              <w:ind w:left="80"/>
              <w:spacing w:after="0"/>
              <w:rPr>
                <w:sz w:val="20"/>
                <w:szCs w:val="20"/>
                <w:color w:val="auto"/>
              </w:rPr>
            </w:pPr>
            <w:r>
              <w:rPr>
                <w:rFonts w:ascii="Arial" w:cs="Arial" w:eastAsia="Arial" w:hAnsi="Arial"/>
                <w:sz w:val="16"/>
                <w:szCs w:val="16"/>
                <w:color w:val="auto"/>
              </w:rPr>
              <w:t>MaxLinear, Inc.</w:t>
            </w:r>
          </w:p>
        </w:tc>
      </w:tr>
      <w:tr>
        <w:trPr>
          <w:trHeight w:val="189"/>
        </w:trPr>
        <w:tc>
          <w:tcPr>
            <w:tcW w:w="2180" w:type="dxa"/>
            <w:vAlign w:val="bottom"/>
          </w:tcPr>
          <w:p>
            <w:pPr>
              <w:ind w:left="80"/>
              <w:spacing w:after="0"/>
              <w:rPr>
                <w:sz w:val="20"/>
                <w:szCs w:val="20"/>
                <w:color w:val="auto"/>
              </w:rPr>
            </w:pPr>
            <w:r>
              <w:rPr>
                <w:rFonts w:ascii="Arial" w:cs="Arial" w:eastAsia="Arial" w:hAnsi="Arial"/>
                <w:sz w:val="16"/>
                <w:szCs w:val="16"/>
                <w:color w:val="auto"/>
              </w:rPr>
              <w:t>OneSpan, Inc.</w:t>
            </w:r>
          </w:p>
        </w:tc>
        <w:tc>
          <w:tcPr>
            <w:tcW w:w="22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6"/>
                <w:szCs w:val="16"/>
                <w:color w:val="auto"/>
              </w:rPr>
              <w:t>NetScout Systems, Inc.</w:t>
            </w:r>
          </w:p>
        </w:tc>
      </w:tr>
      <w:tr>
        <w:trPr>
          <w:trHeight w:val="203"/>
        </w:trPr>
        <w:tc>
          <w:tcPr>
            <w:tcW w:w="2180" w:type="dxa"/>
            <w:vAlign w:val="bottom"/>
          </w:tcPr>
          <w:p>
            <w:pPr>
              <w:ind w:left="80"/>
              <w:spacing w:after="0"/>
              <w:rPr>
                <w:sz w:val="20"/>
                <w:szCs w:val="20"/>
                <w:color w:val="auto"/>
              </w:rPr>
            </w:pPr>
            <w:r>
              <w:rPr>
                <w:rFonts w:ascii="Arial" w:cs="Arial" w:eastAsia="Arial" w:hAnsi="Arial"/>
                <w:sz w:val="16"/>
                <w:szCs w:val="16"/>
                <w:color w:val="auto"/>
              </w:rPr>
              <w:t>Vishay Precision Group, Inc.</w:t>
            </w:r>
          </w:p>
        </w:tc>
        <w:tc>
          <w:tcPr>
            <w:tcW w:w="220" w:type="dxa"/>
            <w:vAlign w:val="bottom"/>
          </w:tcPr>
          <w:p>
            <w:pPr>
              <w:spacing w:after="0"/>
              <w:rPr>
                <w:sz w:val="17"/>
                <w:szCs w:val="17"/>
                <w:color w:val="auto"/>
              </w:rPr>
            </w:pPr>
          </w:p>
        </w:tc>
        <w:tc>
          <w:tcPr>
            <w:tcW w:w="2160" w:type="dxa"/>
            <w:vAlign w:val="bottom"/>
          </w:tcPr>
          <w:p>
            <w:pPr>
              <w:ind w:left="80"/>
              <w:spacing w:after="0"/>
              <w:rPr>
                <w:sz w:val="20"/>
                <w:szCs w:val="20"/>
                <w:color w:val="auto"/>
              </w:rPr>
            </w:pPr>
            <w:r>
              <w:rPr>
                <w:rFonts w:ascii="Arial" w:cs="Arial" w:eastAsia="Arial" w:hAnsi="Arial"/>
                <w:sz w:val="16"/>
                <w:szCs w:val="16"/>
                <w:color w:val="auto"/>
              </w:rPr>
              <w:t>Viavi Solutions Inc.</w:t>
            </w:r>
          </w:p>
        </w:tc>
      </w:tr>
      <w:tr>
        <w:trPr>
          <w:trHeight w:val="215"/>
        </w:trPr>
        <w:tc>
          <w:tcPr>
            <w:tcW w:w="2180" w:type="dxa"/>
            <w:vAlign w:val="bottom"/>
          </w:tcPr>
          <w:p>
            <w:pPr>
              <w:ind w:left="80"/>
              <w:spacing w:after="0"/>
              <w:rPr>
                <w:sz w:val="20"/>
                <w:szCs w:val="20"/>
                <w:color w:val="auto"/>
              </w:rPr>
            </w:pPr>
            <w:r>
              <w:rPr>
                <w:rFonts w:ascii="Arial" w:cs="Arial" w:eastAsia="Arial" w:hAnsi="Arial"/>
                <w:sz w:val="16"/>
                <w:szCs w:val="16"/>
                <w:color w:val="auto"/>
              </w:rPr>
              <w:t>Xperi Inc</w:t>
            </w: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861" w:lineRule="exact"/>
        <w:rPr>
          <w:sz w:val="20"/>
          <w:szCs w:val="20"/>
          <w:color w:val="auto"/>
        </w:rPr>
      </w:pPr>
    </w:p>
    <w:p>
      <w:pPr>
        <w:sectPr>
          <w:pgSz w:w="11900" w:h="16838" w:orient="portrait"/>
          <w:cols w:equalWidth="0" w:num="3">
            <w:col w:w="4900" w:space="580"/>
            <w:col w:w="4560" w:space="20"/>
            <w:col w:w="4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33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2025 Compensation Decisions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2025 Base Salary</w:t>
      </w:r>
    </w:p>
    <w:p>
      <w:pPr>
        <w:spacing w:after="0" w:line="113" w:lineRule="exact"/>
        <w:rPr>
          <w:sz w:val="20"/>
          <w:szCs w:val="20"/>
          <w:color w:val="auto"/>
        </w:rPr>
      </w:pPr>
    </w:p>
    <w:p>
      <w:pPr>
        <w:jc w:val="both"/>
        <w:ind w:left="660" w:right="200"/>
        <w:spacing w:after="0" w:line="284" w:lineRule="auto"/>
        <w:rPr>
          <w:sz w:val="20"/>
          <w:szCs w:val="20"/>
          <w:color w:val="auto"/>
        </w:rPr>
      </w:pPr>
      <w:r>
        <w:rPr>
          <w:rFonts w:ascii="Arial" w:cs="Arial" w:eastAsia="Arial" w:hAnsi="Arial"/>
          <w:sz w:val="16"/>
          <w:szCs w:val="16"/>
          <w:color w:val="auto"/>
        </w:rPr>
        <w:t>Base salary represents the fixed portion of the target direct compensation for our executive officers and serves to attract and retain highly talented individuals. The compensation committee determines adjustments to base salaries on an annual basis as well as in the event of a promotion or significant change in responsibilities.</w:t>
      </w:r>
    </w:p>
    <w:p>
      <w:pPr>
        <w:spacing w:after="0" w:line="49" w:lineRule="exact"/>
        <w:rPr>
          <w:sz w:val="20"/>
          <w:szCs w:val="20"/>
          <w:color w:val="auto"/>
        </w:rPr>
      </w:pPr>
    </w:p>
    <w:p>
      <w:pPr>
        <w:ind w:left="660" w:right="120"/>
        <w:spacing w:after="0" w:line="271" w:lineRule="auto"/>
        <w:rPr>
          <w:sz w:val="20"/>
          <w:szCs w:val="20"/>
          <w:color w:val="auto"/>
        </w:rPr>
      </w:pPr>
      <w:r>
        <w:rPr>
          <w:rFonts w:ascii="Arial" w:cs="Arial" w:eastAsia="Arial" w:hAnsi="Arial"/>
          <w:sz w:val="16"/>
          <w:szCs w:val="16"/>
          <w:color w:val="auto"/>
        </w:rPr>
        <w:t>The compensation committee considers several factors in determining base salaries, including individual performance, the Company’s financial performance, competitive market data, experience, and tenure. The compensation committee generally references the 50th percentile when evaluating market competitiveness, but recognizes that individual factors, as noted above, may result in an individual being positioned above or below this market reference point.</w:t>
      </w:r>
    </w:p>
    <w:p>
      <w:pPr>
        <w:spacing w:after="0" w:line="73" w:lineRule="exact"/>
        <w:rPr>
          <w:sz w:val="20"/>
          <w:szCs w:val="20"/>
          <w:color w:val="auto"/>
        </w:rPr>
      </w:pPr>
    </w:p>
    <w:p>
      <w:pPr>
        <w:ind w:left="660" w:right="40"/>
        <w:spacing w:after="0" w:line="235" w:lineRule="auto"/>
        <w:rPr>
          <w:sz w:val="20"/>
          <w:szCs w:val="20"/>
          <w:color w:val="auto"/>
        </w:rPr>
      </w:pPr>
      <w:r>
        <w:rPr>
          <w:rFonts w:ascii="Arial" w:cs="Arial" w:eastAsia="Arial" w:hAnsi="Arial"/>
          <w:sz w:val="16"/>
          <w:szCs w:val="16"/>
          <w:color w:val="auto"/>
        </w:rPr>
        <w:t>In 2025, referencing the competitive market as shown by the 2025 Peer Group, the compensation committee approved base salary increases of 16% to 22%, as well as to account for strong financial performance and stockholder value creation. The changes positioned three executives’ base salaries above the 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 and two below the 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 of the 2025 Peer Group, which the compensation committee viewed as appropriate based on performance.</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277"/>
        </w:trPr>
        <w:tc>
          <w:tcPr>
            <w:tcW w:w="3760" w:type="dxa"/>
            <w:vAlign w:val="bottom"/>
            <w:tcBorders>
              <w:bottom w:val="single" w:sz="8" w:color="4834BA"/>
            </w:tcBorders>
            <w:shd w:val="clear" w:color="auto" w:fill="4834BA"/>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3060" w:type="dxa"/>
            <w:vAlign w:val="bottom"/>
            <w:tcBorders>
              <w:bottom w:val="single" w:sz="8" w:color="4834BA"/>
            </w:tcBorders>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2024 Base Salary</w:t>
            </w:r>
          </w:p>
        </w:tc>
        <w:tc>
          <w:tcPr>
            <w:tcW w:w="1600" w:type="dxa"/>
            <w:vAlign w:val="bottom"/>
            <w:tcBorders>
              <w:bottom w:val="single" w:sz="8" w:color="4834BA"/>
            </w:tcBorders>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2025 Base Salary</w:t>
            </w:r>
          </w:p>
        </w:tc>
        <w:tc>
          <w:tcPr>
            <w:tcW w:w="980" w:type="dxa"/>
            <w:vAlign w:val="bottom"/>
            <w:tcBorders>
              <w:bottom w:val="single" w:sz="8" w:color="4834BA"/>
            </w:tcBorders>
            <w:shd w:val="clear" w:color="auto" w:fill="4834BA"/>
          </w:tcPr>
          <w:p>
            <w:pPr>
              <w:jc w:val="right"/>
              <w:spacing w:after="0"/>
              <w:rPr>
                <w:sz w:val="20"/>
                <w:szCs w:val="20"/>
                <w:color w:val="auto"/>
              </w:rPr>
            </w:pPr>
            <w:r>
              <w:rPr>
                <w:rFonts w:ascii="Arial" w:cs="Arial" w:eastAsia="Arial" w:hAnsi="Arial"/>
                <w:sz w:val="16"/>
                <w:szCs w:val="16"/>
                <w:b w:val="1"/>
                <w:bCs w:val="1"/>
                <w:color w:val="FFFFFF"/>
              </w:rPr>
              <w:t>% Change</w:t>
            </w:r>
          </w:p>
        </w:tc>
      </w:tr>
      <w:tr>
        <w:trPr>
          <w:trHeight w:val="228"/>
        </w:trPr>
        <w:tc>
          <w:tcPr>
            <w:tcW w:w="3760" w:type="dxa"/>
            <w:vAlign w:val="bottom"/>
          </w:tcPr>
          <w:p>
            <w:pPr>
              <w:ind w:left="80"/>
              <w:spacing w:after="0"/>
              <w:rPr>
                <w:sz w:val="20"/>
                <w:szCs w:val="20"/>
                <w:color w:val="auto"/>
              </w:rPr>
            </w:pPr>
            <w:r>
              <w:rPr>
                <w:rFonts w:ascii="Arial" w:cs="Arial" w:eastAsia="Arial" w:hAnsi="Arial"/>
                <w:sz w:val="16"/>
                <w:szCs w:val="16"/>
                <w:color w:val="auto"/>
              </w:rPr>
              <w:t>Chih-Hsiang (Thompson) Lin</w:t>
            </w:r>
          </w:p>
        </w:tc>
        <w:tc>
          <w:tcPr>
            <w:tcW w:w="3060" w:type="dxa"/>
            <w:vAlign w:val="bottom"/>
          </w:tcPr>
          <w:p>
            <w:pPr>
              <w:jc w:val="right"/>
              <w:ind w:right="79"/>
              <w:spacing w:after="0"/>
              <w:rPr>
                <w:sz w:val="20"/>
                <w:szCs w:val="20"/>
                <w:color w:val="auto"/>
              </w:rPr>
            </w:pPr>
            <w:r>
              <w:rPr>
                <w:rFonts w:ascii="Arial" w:cs="Arial" w:eastAsia="Arial" w:hAnsi="Arial"/>
                <w:sz w:val="16"/>
                <w:szCs w:val="16"/>
                <w:color w:val="auto"/>
              </w:rPr>
              <w:t>$631,450</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$770,369</w:t>
            </w: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9"/>
        </w:trPr>
        <w:tc>
          <w:tcPr>
            <w:tcW w:w="37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37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Stefan J. Murry</w:t>
            </w:r>
          </w:p>
        </w:tc>
        <w:tc>
          <w:tcPr>
            <w:tcW w:w="306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$424,308</w:t>
            </w:r>
          </w:p>
        </w:tc>
        <w:tc>
          <w:tcPr>
            <w:tcW w:w="160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$492,197</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16%</w:t>
            </w:r>
          </w:p>
        </w:tc>
      </w:tr>
      <w:tr>
        <w:trPr>
          <w:trHeight w:val="221"/>
        </w:trPr>
        <w:tc>
          <w:tcPr>
            <w:tcW w:w="37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Hung-Lun (Fred) Chang</w:t>
            </w:r>
          </w:p>
        </w:tc>
        <w:tc>
          <w:tcPr>
            <w:tcW w:w="3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$381,753</w:t>
            </w:r>
          </w:p>
        </w:tc>
        <w:tc>
          <w:tcPr>
            <w:tcW w:w="16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$442,833</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37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37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Shu-Hua (Joshua) Yeh</w:t>
            </w:r>
          </w:p>
        </w:tc>
        <w:tc>
          <w:tcPr>
            <w:tcW w:w="306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$340,310</w:t>
            </w:r>
          </w:p>
        </w:tc>
        <w:tc>
          <w:tcPr>
            <w:tcW w:w="160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$412,645</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16%</w:t>
            </w:r>
          </w:p>
        </w:tc>
      </w:tr>
      <w:tr>
        <w:trPr>
          <w:trHeight w:val="221"/>
        </w:trPr>
        <w:tc>
          <w:tcPr>
            <w:tcW w:w="37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David C. Kuo</w:t>
            </w:r>
          </w:p>
        </w:tc>
        <w:tc>
          <w:tcPr>
            <w:tcW w:w="3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$291,117</w:t>
            </w:r>
          </w:p>
        </w:tc>
        <w:tc>
          <w:tcPr>
            <w:tcW w:w="16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$349,341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56"/>
        </w:trPr>
        <w:tc>
          <w:tcPr>
            <w:tcW w:w="376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bl>
    <w:p>
      <w:pPr>
        <w:spacing w:after="0" w:line="202" w:lineRule="exact"/>
        <w:rPr>
          <w:sz w:val="20"/>
          <w:szCs w:val="20"/>
          <w:color w:val="auto"/>
        </w:rPr>
      </w:pPr>
    </w:p>
    <w:p>
      <w:pPr>
        <w:ind w:left="660" w:right="40"/>
        <w:spacing w:after="0" w:line="265" w:lineRule="auto"/>
        <w:rPr>
          <w:sz w:val="20"/>
          <w:szCs w:val="20"/>
          <w:color w:val="auto"/>
        </w:rPr>
      </w:pPr>
      <w:r>
        <w:rPr>
          <w:rFonts w:ascii="Arial" w:cs="Arial" w:eastAsia="Arial" w:hAnsi="Arial"/>
          <w:sz w:val="16"/>
          <w:szCs w:val="16"/>
          <w:color w:val="auto"/>
        </w:rPr>
        <w:t>The preceding table shows the base salary changes that went into effect on March 1, 2025. Amounts for Mr. Yeh are paid in NTD (New Taiwan dollar) and RMB (Chinese Yuan Renminbi) but are disclosed in USD (United States dollar) based on the exchange rate in effect on December 31, 2025, and reflect the effect of fluctuations in the applicable exchange rates over time. The actual base salary amounts paid to our NEOs in 2025 are set forth in the “2025 Summary Compensation Table” below.</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2025 Annual Cash Bonuses</w:t>
      </w:r>
    </w:p>
    <w:p>
      <w:pPr>
        <w:spacing w:after="0" w:line="127"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color w:val="auto"/>
        </w:rPr>
        <w:t>We use annual cash incentive opportunities to attract and retain our executive officers consistent with market practice, to reward our executive officers for achievement of our corporate objectives, and to recognize outstanding contributions.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2025 Target Annual Cash Bonus Opportunities</w:t>
      </w:r>
    </w:p>
    <w:p>
      <w:pPr>
        <w:spacing w:after="0" w:line="127" w:lineRule="exact"/>
        <w:rPr>
          <w:sz w:val="20"/>
          <w:szCs w:val="20"/>
          <w:color w:val="auto"/>
        </w:rPr>
      </w:pPr>
    </w:p>
    <w:p>
      <w:pPr>
        <w:ind w:left="660" w:right="20"/>
        <w:spacing w:after="0" w:line="262" w:lineRule="auto"/>
        <w:rPr>
          <w:sz w:val="20"/>
          <w:szCs w:val="20"/>
          <w:color w:val="auto"/>
        </w:rPr>
      </w:pPr>
      <w:r>
        <w:rPr>
          <w:rFonts w:ascii="Arial" w:cs="Arial" w:eastAsia="Arial" w:hAnsi="Arial"/>
          <w:sz w:val="16"/>
          <w:szCs w:val="16"/>
          <w:color w:val="auto"/>
        </w:rPr>
        <w:t>In establishing the target annual cash bonus opportunities for 2025, the compensation committee considered the competitive market information provided by Aon as well as the Company’s financial situation and opportunities, in order to allow the Company to provide an adequate incentive to retain our critical leadership and align pay with performance. In light of these considerations and given the substantial TSR and revenue performance, the compensation committee used target percentages to provide our NEOs with an appropriate level of reward for achievement of target performance of our critical corporate objectives described below and taking into account the Company’s much higher revenue and market capitalization. The compensation committee viewed the changes in target bonus opportunities as reasonable to align with the competitive market based on the 2025 Peer Group and noted that these amounts are earned only if the Company’s goals are achieved.</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260" w:type="dxa"/>
            <w:vAlign w:val="bottom"/>
            <w:shd w:val="clear" w:color="auto" w:fill="4834BA"/>
          </w:tcPr>
          <w:p>
            <w:pPr>
              <w:spacing w:after="0"/>
              <w:rPr>
                <w:sz w:val="19"/>
                <w:szCs w:val="19"/>
                <w:color w:val="auto"/>
              </w:rPr>
            </w:pPr>
          </w:p>
        </w:tc>
        <w:tc>
          <w:tcPr>
            <w:tcW w:w="3600" w:type="dxa"/>
            <w:vAlign w:val="bottom"/>
            <w:shd w:val="clear" w:color="auto" w:fill="4834BA"/>
          </w:tcPr>
          <w:p>
            <w:pPr>
              <w:jc w:val="right"/>
              <w:ind w:right="119"/>
              <w:spacing w:after="0"/>
              <w:rPr>
                <w:sz w:val="20"/>
                <w:szCs w:val="20"/>
                <w:color w:val="auto"/>
              </w:rPr>
            </w:pPr>
            <w:r>
              <w:rPr>
                <w:rFonts w:ascii="Arial" w:cs="Arial" w:eastAsia="Arial" w:hAnsi="Arial"/>
                <w:sz w:val="16"/>
                <w:szCs w:val="16"/>
                <w:b w:val="1"/>
                <w:bCs w:val="1"/>
                <w:color w:val="FFFFFF"/>
              </w:rPr>
              <w:t>2024 Target</w:t>
            </w:r>
          </w:p>
        </w:tc>
        <w:tc>
          <w:tcPr>
            <w:tcW w:w="154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2025 Target</w:t>
            </w:r>
          </w:p>
        </w:tc>
      </w:tr>
      <w:tr>
        <w:trPr>
          <w:trHeight w:val="244"/>
        </w:trPr>
        <w:tc>
          <w:tcPr>
            <w:tcW w:w="4260" w:type="dxa"/>
            <w:vAlign w:val="bottom"/>
            <w:shd w:val="clear" w:color="auto" w:fill="4834BA"/>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360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 of base salary)</w:t>
            </w:r>
          </w:p>
        </w:tc>
        <w:tc>
          <w:tcPr>
            <w:tcW w:w="154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 of base salary)</w:t>
            </w:r>
          </w:p>
        </w:tc>
      </w:tr>
      <w:tr>
        <w:trPr>
          <w:trHeight w:val="228"/>
        </w:trPr>
        <w:tc>
          <w:tcPr>
            <w:tcW w:w="4260" w:type="dxa"/>
            <w:vAlign w:val="bottom"/>
          </w:tcPr>
          <w:p>
            <w:pPr>
              <w:ind w:left="80"/>
              <w:spacing w:after="0"/>
              <w:rPr>
                <w:sz w:val="20"/>
                <w:szCs w:val="20"/>
                <w:color w:val="auto"/>
              </w:rPr>
            </w:pPr>
            <w:r>
              <w:rPr>
                <w:rFonts w:ascii="Arial" w:cs="Arial" w:eastAsia="Arial" w:hAnsi="Arial"/>
                <w:sz w:val="16"/>
                <w:szCs w:val="16"/>
                <w:color w:val="auto"/>
              </w:rPr>
              <w:t>Chih-Hsiang (Thompson) Lin</w:t>
            </w:r>
          </w:p>
        </w:tc>
        <w:tc>
          <w:tcPr>
            <w:tcW w:w="360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15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9"/>
        </w:trPr>
        <w:tc>
          <w:tcPr>
            <w:tcW w:w="42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42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Stefan J. Murry</w:t>
            </w:r>
          </w:p>
        </w:tc>
        <w:tc>
          <w:tcPr>
            <w:tcW w:w="360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50%</w:t>
            </w:r>
          </w:p>
        </w:tc>
        <w:tc>
          <w:tcPr>
            <w:tcW w:w="15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75%</w:t>
            </w:r>
          </w:p>
        </w:tc>
      </w:tr>
      <w:tr>
        <w:trPr>
          <w:trHeight w:val="221"/>
        </w:trPr>
        <w:tc>
          <w:tcPr>
            <w:tcW w:w="42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Hung-Lun (Fred) Chang</w:t>
            </w:r>
          </w:p>
        </w:tc>
        <w:tc>
          <w:tcPr>
            <w:tcW w:w="3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9"/>
        </w:trPr>
        <w:tc>
          <w:tcPr>
            <w:tcW w:w="42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42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Shu-Hua (Joshua) Yeh</w:t>
            </w:r>
          </w:p>
        </w:tc>
        <w:tc>
          <w:tcPr>
            <w:tcW w:w="360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50%</w:t>
            </w:r>
          </w:p>
        </w:tc>
        <w:tc>
          <w:tcPr>
            <w:tcW w:w="15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75%</w:t>
            </w:r>
          </w:p>
        </w:tc>
      </w:tr>
      <w:tr>
        <w:trPr>
          <w:trHeight w:val="221"/>
        </w:trPr>
        <w:tc>
          <w:tcPr>
            <w:tcW w:w="42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David C. Kuo</w:t>
            </w:r>
          </w:p>
        </w:tc>
        <w:tc>
          <w:tcPr>
            <w:tcW w:w="3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56"/>
        </w:trPr>
        <w:tc>
          <w:tcPr>
            <w:tcW w:w="42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1071245</wp:posOffset>
            </wp:positionV>
            <wp:extent cx="334010" cy="162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20"/>
        <w:spacing w:after="0"/>
        <w:tabs>
          <w:tab w:leader="none" w:pos="1400" w:val="left"/>
        </w:tabs>
        <w:rPr>
          <w:sz w:val="20"/>
          <w:szCs w:val="20"/>
          <w:color w:val="auto"/>
        </w:rPr>
      </w:pPr>
      <w:r>
        <w:rPr>
          <w:rFonts w:ascii="Arial" w:cs="Arial" w:eastAsia="Arial" w:hAnsi="Arial"/>
          <w:sz w:val="14"/>
          <w:szCs w:val="14"/>
          <w:color w:val="auto"/>
        </w:rPr>
        <w:t>»  34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right="60"/>
        <w:spacing w:after="0" w:line="275" w:lineRule="auto"/>
        <w:rPr>
          <w:sz w:val="20"/>
          <w:szCs w:val="20"/>
          <w:color w:val="auto"/>
        </w:rPr>
      </w:pPr>
      <w:r>
        <w:rPr>
          <w:rFonts w:ascii="Arial" w:cs="Arial" w:eastAsia="Arial" w:hAnsi="Arial"/>
          <w:sz w:val="16"/>
          <w:szCs w:val="16"/>
          <w:color w:val="auto"/>
        </w:rPr>
        <w:t>The bonus opportunity is determined via linear interpolation with potential payouts ranging from 0-125% of target based on corporate performance. Minimum or below performance earns 0% of the target amount, Reduced performance earns 50% of the target amount, and Maximum performance earns 125% of the target amount for each executive.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2025 Corporate Performance Objectives</w:t>
      </w:r>
    </w:p>
    <w:p>
      <w:pPr>
        <w:spacing w:after="0" w:line="127" w:lineRule="exact"/>
        <w:rPr>
          <w:sz w:val="20"/>
          <w:szCs w:val="20"/>
          <w:color w:val="auto"/>
        </w:rPr>
      </w:pPr>
    </w:p>
    <w:p>
      <w:pPr>
        <w:ind w:left="660" w:right="40"/>
        <w:spacing w:after="0" w:line="301" w:lineRule="auto"/>
        <w:rPr>
          <w:sz w:val="20"/>
          <w:szCs w:val="20"/>
          <w:color w:val="auto"/>
        </w:rPr>
      </w:pPr>
      <w:r>
        <w:rPr>
          <w:rFonts w:ascii="Arial" w:cs="Arial" w:eastAsia="Arial" w:hAnsi="Arial"/>
          <w:sz w:val="15"/>
          <w:szCs w:val="15"/>
          <w:color w:val="auto"/>
        </w:rPr>
        <w:t>The compensation committee believed that achieving the 2025 Targets should be the focus of the management team and their short-term cash incentive plan should be based on their performance relative to these targets. The compensation committee determined that no annual cash incentive would be earned with respect to a metric for performance below the minimum level set forth below.</w:t>
      </w:r>
    </w:p>
    <w:p>
      <w:pPr>
        <w:spacing w:after="0" w:line="53"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The compensation committee set the minimum, reduced, target, and maximum performance levels (as applicable) for the corporate performance measures as follows:</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1800" w:type="dxa"/>
            <w:vAlign w:val="bottom"/>
            <w:shd w:val="clear" w:color="auto" w:fill="4834BA"/>
          </w:tcPr>
          <w:p>
            <w:pPr>
              <w:spacing w:after="0"/>
              <w:rPr>
                <w:sz w:val="19"/>
                <w:szCs w:val="19"/>
                <w:color w:val="auto"/>
              </w:rPr>
            </w:pPr>
          </w:p>
        </w:tc>
        <w:tc>
          <w:tcPr>
            <w:tcW w:w="280" w:type="dxa"/>
            <w:vAlign w:val="bottom"/>
            <w:shd w:val="clear" w:color="auto" w:fill="4834BA"/>
          </w:tcPr>
          <w:p>
            <w:pPr>
              <w:spacing w:after="0"/>
              <w:rPr>
                <w:sz w:val="19"/>
                <w:szCs w:val="19"/>
                <w:color w:val="auto"/>
              </w:rPr>
            </w:pPr>
          </w:p>
        </w:tc>
        <w:tc>
          <w:tcPr>
            <w:tcW w:w="380" w:type="dxa"/>
            <w:vAlign w:val="bottom"/>
            <w:shd w:val="clear" w:color="auto" w:fill="4834BA"/>
          </w:tcPr>
          <w:p>
            <w:pPr>
              <w:spacing w:after="0"/>
              <w:rPr>
                <w:sz w:val="19"/>
                <w:szCs w:val="19"/>
                <w:color w:val="auto"/>
              </w:rPr>
            </w:pPr>
          </w:p>
        </w:tc>
        <w:tc>
          <w:tcPr>
            <w:tcW w:w="1020" w:type="dxa"/>
            <w:vAlign w:val="bottom"/>
            <w:shd w:val="clear" w:color="auto" w:fill="4834BA"/>
          </w:tcPr>
          <w:p>
            <w:pPr>
              <w:spacing w:after="0"/>
              <w:rPr>
                <w:sz w:val="19"/>
                <w:szCs w:val="19"/>
                <w:color w:val="auto"/>
              </w:rPr>
            </w:pPr>
          </w:p>
        </w:tc>
        <w:tc>
          <w:tcPr>
            <w:tcW w:w="140" w:type="dxa"/>
            <w:vAlign w:val="bottom"/>
            <w:shd w:val="clear" w:color="auto" w:fill="4834BA"/>
          </w:tcPr>
          <w:p>
            <w:pPr>
              <w:spacing w:after="0"/>
              <w:rPr>
                <w:sz w:val="19"/>
                <w:szCs w:val="19"/>
                <w:color w:val="auto"/>
              </w:rPr>
            </w:pPr>
          </w:p>
        </w:tc>
        <w:tc>
          <w:tcPr>
            <w:tcW w:w="1020" w:type="dxa"/>
            <w:vAlign w:val="bottom"/>
            <w:shd w:val="clear" w:color="auto" w:fill="4834BA"/>
          </w:tcPr>
          <w:p>
            <w:pPr>
              <w:spacing w:after="0"/>
              <w:rPr>
                <w:sz w:val="19"/>
                <w:szCs w:val="19"/>
                <w:color w:val="auto"/>
              </w:rPr>
            </w:pPr>
          </w:p>
        </w:tc>
        <w:tc>
          <w:tcPr>
            <w:tcW w:w="160" w:type="dxa"/>
            <w:vAlign w:val="bottom"/>
            <w:shd w:val="clear" w:color="auto" w:fill="4834BA"/>
          </w:tcPr>
          <w:p>
            <w:pPr>
              <w:spacing w:after="0"/>
              <w:rPr>
                <w:sz w:val="19"/>
                <w:szCs w:val="19"/>
                <w:color w:val="auto"/>
              </w:rPr>
            </w:pPr>
          </w:p>
        </w:tc>
        <w:tc>
          <w:tcPr>
            <w:tcW w:w="1000" w:type="dxa"/>
            <w:vAlign w:val="bottom"/>
            <w:shd w:val="clear" w:color="auto" w:fill="4834BA"/>
          </w:tcPr>
          <w:p>
            <w:pPr>
              <w:spacing w:after="0"/>
              <w:rPr>
                <w:sz w:val="19"/>
                <w:szCs w:val="19"/>
                <w:color w:val="auto"/>
              </w:rPr>
            </w:pPr>
          </w:p>
        </w:tc>
        <w:tc>
          <w:tcPr>
            <w:tcW w:w="140" w:type="dxa"/>
            <w:vAlign w:val="bottom"/>
            <w:shd w:val="clear" w:color="auto" w:fill="4834BA"/>
          </w:tcPr>
          <w:p>
            <w:pPr>
              <w:spacing w:after="0"/>
              <w:rPr>
                <w:sz w:val="19"/>
                <w:szCs w:val="19"/>
                <w:color w:val="auto"/>
              </w:rPr>
            </w:pPr>
          </w:p>
        </w:tc>
        <w:tc>
          <w:tcPr>
            <w:tcW w:w="1020" w:type="dxa"/>
            <w:vAlign w:val="bottom"/>
            <w:shd w:val="clear" w:color="auto" w:fill="4834BA"/>
          </w:tcPr>
          <w:p>
            <w:pPr>
              <w:spacing w:after="0"/>
              <w:rPr>
                <w:sz w:val="19"/>
                <w:szCs w:val="19"/>
                <w:color w:val="auto"/>
              </w:rPr>
            </w:pPr>
          </w:p>
        </w:tc>
        <w:tc>
          <w:tcPr>
            <w:tcW w:w="160" w:type="dxa"/>
            <w:vAlign w:val="bottom"/>
            <w:shd w:val="clear" w:color="auto" w:fill="4834BA"/>
          </w:tcPr>
          <w:p>
            <w:pPr>
              <w:spacing w:after="0"/>
              <w:rPr>
                <w:sz w:val="19"/>
                <w:szCs w:val="19"/>
                <w:color w:val="auto"/>
              </w:rPr>
            </w:pPr>
          </w:p>
        </w:tc>
        <w:tc>
          <w:tcPr>
            <w:tcW w:w="104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2025</w:t>
            </w:r>
          </w:p>
        </w:tc>
        <w:tc>
          <w:tcPr>
            <w:tcW w:w="160" w:type="dxa"/>
            <w:vAlign w:val="bottom"/>
            <w:shd w:val="clear" w:color="auto" w:fill="4834BA"/>
          </w:tcPr>
          <w:p>
            <w:pPr>
              <w:spacing w:after="0"/>
              <w:rPr>
                <w:sz w:val="19"/>
                <w:szCs w:val="19"/>
                <w:color w:val="auto"/>
              </w:rPr>
            </w:pPr>
          </w:p>
        </w:tc>
        <w:tc>
          <w:tcPr>
            <w:tcW w:w="102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Weighted</w:t>
            </w:r>
          </w:p>
        </w:tc>
        <w:tc>
          <w:tcPr>
            <w:tcW w:w="60" w:type="dxa"/>
            <w:vAlign w:val="bottom"/>
            <w:shd w:val="clear" w:color="auto" w:fill="4834BA"/>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800" w:type="dxa"/>
            <w:vAlign w:val="bottom"/>
            <w:shd w:val="clear" w:color="auto" w:fill="4834BA"/>
          </w:tcPr>
          <w:p>
            <w:pPr>
              <w:ind w:left="80"/>
              <w:spacing w:after="0"/>
              <w:rPr>
                <w:sz w:val="20"/>
                <w:szCs w:val="20"/>
                <w:color w:val="auto"/>
              </w:rPr>
            </w:pPr>
            <w:r>
              <w:rPr>
                <w:rFonts w:ascii="Arial" w:cs="Arial" w:eastAsia="Arial" w:hAnsi="Arial"/>
                <w:sz w:val="16"/>
                <w:szCs w:val="16"/>
                <w:b w:val="1"/>
                <w:bCs w:val="1"/>
                <w:color w:val="FFFFFF"/>
              </w:rPr>
              <w:t>2025 Targets</w:t>
            </w:r>
          </w:p>
        </w:tc>
        <w:tc>
          <w:tcPr>
            <w:tcW w:w="280" w:type="dxa"/>
            <w:vAlign w:val="bottom"/>
            <w:shd w:val="clear" w:color="auto" w:fill="4834BA"/>
          </w:tcPr>
          <w:p>
            <w:pPr>
              <w:spacing w:after="0"/>
              <w:rPr>
                <w:sz w:val="21"/>
                <w:szCs w:val="21"/>
                <w:color w:val="auto"/>
              </w:rPr>
            </w:pPr>
          </w:p>
        </w:tc>
        <w:tc>
          <w:tcPr>
            <w:tcW w:w="380" w:type="dxa"/>
            <w:vAlign w:val="bottom"/>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rPr>
              <w:t>%</w:t>
            </w:r>
          </w:p>
        </w:tc>
        <w:tc>
          <w:tcPr>
            <w:tcW w:w="1020" w:type="dxa"/>
            <w:vAlign w:val="bottom"/>
            <w:shd w:val="clear" w:color="auto" w:fill="4834BA"/>
          </w:tcPr>
          <w:p>
            <w:pPr>
              <w:ind w:left="320"/>
              <w:spacing w:after="0"/>
              <w:rPr>
                <w:sz w:val="20"/>
                <w:szCs w:val="20"/>
                <w:color w:val="auto"/>
              </w:rPr>
            </w:pPr>
            <w:r>
              <w:rPr>
                <w:rFonts w:ascii="Arial" w:cs="Arial" w:eastAsia="Arial" w:hAnsi="Arial"/>
                <w:sz w:val="16"/>
                <w:szCs w:val="16"/>
                <w:b w:val="1"/>
                <w:bCs w:val="1"/>
                <w:color w:val="FFFFFF"/>
                <w:w w:val="96"/>
              </w:rPr>
              <w:t>Minimum</w:t>
            </w:r>
          </w:p>
        </w:tc>
        <w:tc>
          <w:tcPr>
            <w:tcW w:w="140" w:type="dxa"/>
            <w:vAlign w:val="bottom"/>
            <w:shd w:val="clear" w:color="auto" w:fill="4834BA"/>
          </w:tcPr>
          <w:p>
            <w:pPr>
              <w:spacing w:after="0"/>
              <w:rPr>
                <w:sz w:val="21"/>
                <w:szCs w:val="21"/>
                <w:color w:val="auto"/>
              </w:rPr>
            </w:pPr>
          </w:p>
        </w:tc>
        <w:tc>
          <w:tcPr>
            <w:tcW w:w="1020" w:type="dxa"/>
            <w:vAlign w:val="bottom"/>
            <w:shd w:val="clear" w:color="auto" w:fill="4834BA"/>
          </w:tcPr>
          <w:p>
            <w:pPr>
              <w:ind w:left="360"/>
              <w:spacing w:after="0"/>
              <w:rPr>
                <w:sz w:val="20"/>
                <w:szCs w:val="20"/>
                <w:color w:val="auto"/>
              </w:rPr>
            </w:pPr>
            <w:r>
              <w:rPr>
                <w:rFonts w:ascii="Arial" w:cs="Arial" w:eastAsia="Arial" w:hAnsi="Arial"/>
                <w:sz w:val="16"/>
                <w:szCs w:val="16"/>
                <w:b w:val="1"/>
                <w:bCs w:val="1"/>
                <w:color w:val="FFFFFF"/>
                <w:w w:val="94"/>
              </w:rPr>
              <w:t>Reduced</w:t>
            </w:r>
          </w:p>
        </w:tc>
        <w:tc>
          <w:tcPr>
            <w:tcW w:w="160" w:type="dxa"/>
            <w:vAlign w:val="bottom"/>
            <w:shd w:val="clear" w:color="auto" w:fill="4834BA"/>
          </w:tcPr>
          <w:p>
            <w:pPr>
              <w:spacing w:after="0"/>
              <w:rPr>
                <w:sz w:val="21"/>
                <w:szCs w:val="21"/>
                <w:color w:val="auto"/>
              </w:rPr>
            </w:pPr>
          </w:p>
        </w:tc>
        <w:tc>
          <w:tcPr>
            <w:tcW w:w="1000" w:type="dxa"/>
            <w:vAlign w:val="bottom"/>
            <w:shd w:val="clear" w:color="auto" w:fill="4834BA"/>
          </w:tcPr>
          <w:p>
            <w:pPr>
              <w:ind w:left="540"/>
              <w:spacing w:after="0"/>
              <w:rPr>
                <w:sz w:val="20"/>
                <w:szCs w:val="20"/>
                <w:color w:val="auto"/>
              </w:rPr>
            </w:pPr>
            <w:r>
              <w:rPr>
                <w:rFonts w:ascii="Arial" w:cs="Arial" w:eastAsia="Arial" w:hAnsi="Arial"/>
                <w:sz w:val="16"/>
                <w:szCs w:val="16"/>
                <w:b w:val="1"/>
                <w:bCs w:val="1"/>
                <w:color w:val="FFFFFF"/>
                <w:w w:val="89"/>
              </w:rPr>
              <w:t>Target</w:t>
            </w:r>
          </w:p>
        </w:tc>
        <w:tc>
          <w:tcPr>
            <w:tcW w:w="140" w:type="dxa"/>
            <w:vAlign w:val="bottom"/>
            <w:shd w:val="clear" w:color="auto" w:fill="4834BA"/>
          </w:tcPr>
          <w:p>
            <w:pPr>
              <w:spacing w:after="0"/>
              <w:rPr>
                <w:sz w:val="21"/>
                <w:szCs w:val="21"/>
                <w:color w:val="auto"/>
              </w:rPr>
            </w:pPr>
          </w:p>
        </w:tc>
        <w:tc>
          <w:tcPr>
            <w:tcW w:w="1020" w:type="dxa"/>
            <w:vAlign w:val="bottom"/>
            <w:shd w:val="clear" w:color="auto" w:fill="4834BA"/>
          </w:tcPr>
          <w:p>
            <w:pPr>
              <w:ind w:left="300"/>
              <w:spacing w:after="0"/>
              <w:rPr>
                <w:sz w:val="20"/>
                <w:szCs w:val="20"/>
                <w:color w:val="auto"/>
              </w:rPr>
            </w:pPr>
            <w:r>
              <w:rPr>
                <w:rFonts w:ascii="Arial" w:cs="Arial" w:eastAsia="Arial" w:hAnsi="Arial"/>
                <w:sz w:val="16"/>
                <w:szCs w:val="16"/>
                <w:b w:val="1"/>
                <w:bCs w:val="1"/>
                <w:color w:val="FFFFFF"/>
                <w:w w:val="94"/>
              </w:rPr>
              <w:t>Maximum</w:t>
            </w:r>
          </w:p>
        </w:tc>
        <w:tc>
          <w:tcPr>
            <w:tcW w:w="160" w:type="dxa"/>
            <w:vAlign w:val="bottom"/>
            <w:shd w:val="clear" w:color="auto" w:fill="4834BA"/>
          </w:tcPr>
          <w:p>
            <w:pPr>
              <w:spacing w:after="0"/>
              <w:rPr>
                <w:sz w:val="21"/>
                <w:szCs w:val="21"/>
                <w:color w:val="auto"/>
              </w:rPr>
            </w:pPr>
          </w:p>
        </w:tc>
        <w:tc>
          <w:tcPr>
            <w:tcW w:w="104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Achievement</w:t>
            </w:r>
          </w:p>
        </w:tc>
        <w:tc>
          <w:tcPr>
            <w:tcW w:w="160" w:type="dxa"/>
            <w:vAlign w:val="bottom"/>
            <w:shd w:val="clear" w:color="auto" w:fill="4834BA"/>
          </w:tcPr>
          <w:p>
            <w:pPr>
              <w:spacing w:after="0"/>
              <w:rPr>
                <w:sz w:val="21"/>
                <w:szCs w:val="21"/>
                <w:color w:val="auto"/>
              </w:rPr>
            </w:pPr>
          </w:p>
        </w:tc>
        <w:tc>
          <w:tcPr>
            <w:tcW w:w="102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Achievement</w:t>
            </w:r>
          </w:p>
        </w:tc>
        <w:tc>
          <w:tcPr>
            <w:tcW w:w="60" w:type="dxa"/>
            <w:vAlign w:val="bottom"/>
            <w:shd w:val="clear" w:color="auto" w:fill="4834BA"/>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1800" w:type="dxa"/>
            <w:vAlign w:val="bottom"/>
          </w:tcPr>
          <w:p>
            <w:pPr>
              <w:ind w:left="80"/>
              <w:spacing w:after="0"/>
              <w:rPr>
                <w:sz w:val="20"/>
                <w:szCs w:val="20"/>
                <w:color w:val="auto"/>
              </w:rPr>
            </w:pPr>
            <w:r>
              <w:rPr>
                <w:rFonts w:ascii="Arial" w:cs="Arial" w:eastAsia="Arial" w:hAnsi="Arial"/>
                <w:sz w:val="16"/>
                <w:szCs w:val="16"/>
                <w:color w:val="auto"/>
              </w:rPr>
              <w:t>Revenue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020" w:type="dxa"/>
            <w:vAlign w:val="bottom"/>
          </w:tcPr>
          <w:p>
            <w:pPr>
              <w:jc w:val="center"/>
              <w:ind w:right="19"/>
              <w:spacing w:after="0"/>
              <w:rPr>
                <w:sz w:val="20"/>
                <w:szCs w:val="20"/>
                <w:color w:val="auto"/>
              </w:rPr>
            </w:pPr>
            <w:r>
              <w:rPr>
                <w:rFonts w:ascii="Arial" w:cs="Arial" w:eastAsia="Arial" w:hAnsi="Arial"/>
                <w:sz w:val="16"/>
                <w:szCs w:val="16"/>
                <w:color w:val="auto"/>
              </w:rPr>
              <w:t>$300</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right="19"/>
              <w:spacing w:after="0"/>
              <w:rPr>
                <w:sz w:val="20"/>
                <w:szCs w:val="20"/>
                <w:color w:val="auto"/>
              </w:rPr>
            </w:pPr>
            <w:r>
              <w:rPr>
                <w:rFonts w:ascii="Arial" w:cs="Arial" w:eastAsia="Arial" w:hAnsi="Arial"/>
                <w:sz w:val="16"/>
                <w:szCs w:val="16"/>
                <w:color w:val="auto"/>
                <w:w w:val="98"/>
              </w:rPr>
              <w:t>$337.5</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$375</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right="19"/>
              <w:spacing w:after="0"/>
              <w:rPr>
                <w:sz w:val="20"/>
                <w:szCs w:val="20"/>
                <w:color w:val="auto"/>
              </w:rPr>
            </w:pPr>
            <w:r>
              <w:rPr>
                <w:rFonts w:ascii="Arial" w:cs="Arial" w:eastAsia="Arial" w:hAnsi="Arial"/>
                <w:sz w:val="16"/>
                <w:szCs w:val="16"/>
                <w:color w:val="auto"/>
                <w:w w:val="98"/>
              </w:rPr>
              <w:t>$412.5</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right="39"/>
              <w:spacing w:after="0"/>
              <w:rPr>
                <w:sz w:val="20"/>
                <w:szCs w:val="20"/>
                <w:color w:val="auto"/>
              </w:rPr>
            </w:pPr>
            <w:r>
              <w:rPr>
                <w:rFonts w:ascii="Arial" w:cs="Arial" w:eastAsia="Arial" w:hAnsi="Arial"/>
                <w:sz w:val="16"/>
                <w:szCs w:val="16"/>
                <w:color w:val="auto"/>
                <w:w w:val="98"/>
              </w:rPr>
              <w:t>$455.7</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31.25%</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5"/>
        </w:trPr>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million</w:t>
            </w:r>
          </w:p>
        </w:tc>
        <w:tc>
          <w:tcPr>
            <w:tcW w:w="1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million</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6"/>
              </w:rPr>
              <w:t>million</w:t>
            </w:r>
          </w:p>
        </w:tc>
        <w:tc>
          <w:tcPr>
            <w:tcW w:w="1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million</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million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
        </w:trPr>
        <w:tc>
          <w:tcPr>
            <w:tcW w:w="1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800" w:type="dxa"/>
            <w:vAlign w:val="bottom"/>
            <w:shd w:val="clear" w:color="auto" w:fill="E5E5E5"/>
          </w:tcPr>
          <w:p>
            <w:pPr>
              <w:ind w:left="80"/>
              <w:spacing w:after="0"/>
              <w:rPr>
                <w:sz w:val="20"/>
                <w:szCs w:val="20"/>
                <w:color w:val="auto"/>
              </w:rPr>
            </w:pPr>
            <w:r>
              <w:rPr>
                <w:rFonts w:ascii="Arial" w:cs="Arial" w:eastAsia="Arial" w:hAnsi="Arial"/>
                <w:sz w:val="16"/>
                <w:szCs w:val="16"/>
                <w:color w:val="auto"/>
              </w:rPr>
              <w:t>Non-GAAP OI/OL</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​​25% ​​</w:t>
            </w:r>
          </w:p>
        </w:tc>
        <w:tc>
          <w:tcPr>
            <w:tcW w:w="1020" w:type="dxa"/>
            <w:vAlign w:val="bottom"/>
            <w:shd w:val="clear" w:color="auto" w:fill="E5E5E5"/>
          </w:tcPr>
          <w:p>
            <w:pPr>
              <w:jc w:val="center"/>
              <w:ind w:right="19"/>
              <w:spacing w:after="0"/>
              <w:rPr>
                <w:sz w:val="20"/>
                <w:szCs w:val="20"/>
                <w:color w:val="auto"/>
              </w:rPr>
            </w:pPr>
            <w:r>
              <w:rPr>
                <w:rFonts w:ascii="Arial" w:cs="Arial" w:eastAsia="Arial" w:hAnsi="Arial"/>
                <w:sz w:val="16"/>
                <w:szCs w:val="16"/>
                <w:color w:val="auto"/>
              </w:rPr>
              <w:t>Non-GAAP</w:t>
            </w:r>
          </w:p>
        </w:tc>
        <w:tc>
          <w:tcPr>
            <w:tcW w:w="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center"/>
              <w:ind w:right="19"/>
              <w:spacing w:after="0"/>
              <w:rPr>
                <w:sz w:val="20"/>
                <w:szCs w:val="20"/>
                <w:color w:val="auto"/>
              </w:rPr>
            </w:pPr>
            <w:r>
              <w:rPr>
                <w:rFonts w:ascii="Arial" w:cs="Arial" w:eastAsia="Arial" w:hAnsi="Arial"/>
                <w:sz w:val="16"/>
                <w:szCs w:val="16"/>
                <w:color w:val="auto"/>
              </w:rPr>
              <w:t>Non-GAAP</w:t>
            </w:r>
          </w:p>
        </w:tc>
        <w:tc>
          <w:tcPr>
            <w:tcW w:w="16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center"/>
              <w:ind w:right="39"/>
              <w:spacing w:after="0"/>
              <w:rPr>
                <w:sz w:val="20"/>
                <w:szCs w:val="20"/>
                <w:color w:val="auto"/>
              </w:rPr>
            </w:pPr>
            <w:r>
              <w:rPr>
                <w:rFonts w:ascii="Arial" w:cs="Arial" w:eastAsia="Arial" w:hAnsi="Arial"/>
                <w:sz w:val="16"/>
                <w:szCs w:val="16"/>
                <w:color w:val="auto"/>
              </w:rPr>
              <w:t>Non-GAAP</w:t>
            </w:r>
          </w:p>
        </w:tc>
        <w:tc>
          <w:tcPr>
            <w:tcW w:w="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center"/>
              <w:ind w:right="19"/>
              <w:spacing w:after="0"/>
              <w:rPr>
                <w:sz w:val="20"/>
                <w:szCs w:val="20"/>
                <w:color w:val="auto"/>
              </w:rPr>
            </w:pPr>
            <w:r>
              <w:rPr>
                <w:rFonts w:ascii="Arial" w:cs="Arial" w:eastAsia="Arial" w:hAnsi="Arial"/>
                <w:sz w:val="16"/>
                <w:szCs w:val="16"/>
                <w:color w:val="auto"/>
              </w:rPr>
              <w:t>Non-GAAP</w:t>
            </w:r>
          </w:p>
        </w:tc>
        <w:tc>
          <w:tcPr>
            <w:tcW w:w="16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ind w:right="39"/>
              <w:spacing w:after="0"/>
              <w:rPr>
                <w:sz w:val="20"/>
                <w:szCs w:val="20"/>
                <w:color w:val="auto"/>
              </w:rPr>
            </w:pPr>
            <w:r>
              <w:rPr>
                <w:rFonts w:ascii="Arial" w:cs="Arial" w:eastAsia="Arial" w:hAnsi="Arial"/>
                <w:sz w:val="16"/>
                <w:szCs w:val="16"/>
                <w:color w:val="auto"/>
              </w:rPr>
              <w:t>Non-GAAP</w:t>
            </w:r>
          </w:p>
        </w:tc>
        <w:tc>
          <w:tcPr>
            <w:tcW w:w="16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w:t>
            </w:r>
          </w:p>
        </w:tc>
        <w:tc>
          <w:tcPr>
            <w:tcW w:w="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189"/>
        </w:trPr>
        <w:tc>
          <w:tcPr>
            <w:tcW w:w="1800" w:type="dxa"/>
            <w:vAlign w:val="bottom"/>
            <w:shd w:val="clear" w:color="auto" w:fill="E5E5E5"/>
          </w:tcPr>
          <w:p>
            <w:pPr>
              <w:ind w:left="80"/>
              <w:spacing w:after="0"/>
              <w:rPr>
                <w:sz w:val="20"/>
                <w:szCs w:val="20"/>
                <w:color w:val="auto"/>
              </w:rPr>
            </w:pPr>
            <w:r>
              <w:rPr>
                <w:rFonts w:ascii="Arial" w:cs="Arial" w:eastAsia="Arial" w:hAnsi="Arial"/>
                <w:sz w:val="16"/>
                <w:szCs w:val="16"/>
                <w:color w:val="auto"/>
              </w:rPr>
              <w:t>(Operating Income/​</w:t>
            </w:r>
          </w:p>
        </w:tc>
        <w:tc>
          <w:tcPr>
            <w:tcW w:w="2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20" w:type="dxa"/>
            <w:vAlign w:val="bottom"/>
            <w:shd w:val="clear" w:color="auto" w:fill="E5E5E5"/>
          </w:tcPr>
          <w:p>
            <w:pPr>
              <w:jc w:val="center"/>
              <w:ind w:right="39"/>
              <w:spacing w:after="0"/>
              <w:rPr>
                <w:sz w:val="20"/>
                <w:szCs w:val="20"/>
                <w:color w:val="auto"/>
              </w:rPr>
            </w:pPr>
            <w:r>
              <w:rPr>
                <w:rFonts w:ascii="Arial" w:cs="Arial" w:eastAsia="Arial" w:hAnsi="Arial"/>
                <w:sz w:val="16"/>
                <w:szCs w:val="16"/>
                <w:color w:val="auto"/>
                <w:w w:val="98"/>
              </w:rPr>
              <w:t>OI/OL</w:t>
            </w:r>
          </w:p>
        </w:tc>
        <w:tc>
          <w:tcPr>
            <w:tcW w:w="140" w:type="dxa"/>
            <w:vAlign w:val="bottom"/>
            <w:shd w:val="clear" w:color="auto" w:fill="E5E5E5"/>
          </w:tcPr>
          <w:p>
            <w:pPr>
              <w:spacing w:after="0"/>
              <w:rPr>
                <w:sz w:val="16"/>
                <w:szCs w:val="16"/>
                <w:color w:val="auto"/>
              </w:rPr>
            </w:pPr>
          </w:p>
        </w:tc>
        <w:tc>
          <w:tcPr>
            <w:tcW w:w="1020" w:type="dxa"/>
            <w:vAlign w:val="bottom"/>
            <w:shd w:val="clear" w:color="auto" w:fill="E5E5E5"/>
          </w:tcPr>
          <w:p>
            <w:pPr>
              <w:jc w:val="center"/>
              <w:ind w:right="39"/>
              <w:spacing w:after="0"/>
              <w:rPr>
                <w:sz w:val="20"/>
                <w:szCs w:val="20"/>
                <w:color w:val="auto"/>
              </w:rPr>
            </w:pPr>
            <w:r>
              <w:rPr>
                <w:rFonts w:ascii="Arial" w:cs="Arial" w:eastAsia="Arial" w:hAnsi="Arial"/>
                <w:sz w:val="16"/>
                <w:szCs w:val="16"/>
                <w:color w:val="auto"/>
                <w:w w:val="98"/>
              </w:rPr>
              <w:t>OI/OL</w:t>
            </w:r>
          </w:p>
        </w:tc>
        <w:tc>
          <w:tcPr>
            <w:tcW w:w="160" w:type="dxa"/>
            <w:vAlign w:val="bottom"/>
            <w:shd w:val="clear" w:color="auto" w:fill="E5E5E5"/>
          </w:tcPr>
          <w:p>
            <w:pPr>
              <w:spacing w:after="0"/>
              <w:rPr>
                <w:sz w:val="16"/>
                <w:szCs w:val="16"/>
                <w:color w:val="auto"/>
              </w:rPr>
            </w:pPr>
          </w:p>
        </w:tc>
        <w:tc>
          <w:tcPr>
            <w:tcW w:w="1000" w:type="dxa"/>
            <w:vAlign w:val="bottom"/>
            <w:shd w:val="clear" w:color="auto" w:fill="E5E5E5"/>
          </w:tcPr>
          <w:p>
            <w:pPr>
              <w:jc w:val="center"/>
              <w:ind w:right="39"/>
              <w:spacing w:after="0"/>
              <w:rPr>
                <w:sz w:val="20"/>
                <w:szCs w:val="20"/>
                <w:color w:val="auto"/>
              </w:rPr>
            </w:pPr>
            <w:r>
              <w:rPr>
                <w:rFonts w:ascii="Arial" w:cs="Arial" w:eastAsia="Arial" w:hAnsi="Arial"/>
                <w:sz w:val="16"/>
                <w:szCs w:val="16"/>
                <w:color w:val="auto"/>
                <w:w w:val="99"/>
              </w:rPr>
              <w:t>OI/OL at</w:t>
            </w:r>
          </w:p>
        </w:tc>
        <w:tc>
          <w:tcPr>
            <w:tcW w:w="140" w:type="dxa"/>
            <w:vAlign w:val="bottom"/>
            <w:shd w:val="clear" w:color="auto" w:fill="E5E5E5"/>
          </w:tcPr>
          <w:p>
            <w:pPr>
              <w:spacing w:after="0"/>
              <w:rPr>
                <w:sz w:val="16"/>
                <w:szCs w:val="16"/>
                <w:color w:val="auto"/>
              </w:rPr>
            </w:pPr>
          </w:p>
        </w:tc>
        <w:tc>
          <w:tcPr>
            <w:tcW w:w="1020" w:type="dxa"/>
            <w:vAlign w:val="bottom"/>
            <w:shd w:val="clear" w:color="auto" w:fill="E5E5E5"/>
          </w:tcPr>
          <w:p>
            <w:pPr>
              <w:jc w:val="center"/>
              <w:ind w:right="19"/>
              <w:spacing w:after="0"/>
              <w:rPr>
                <w:sz w:val="20"/>
                <w:szCs w:val="20"/>
                <w:color w:val="auto"/>
              </w:rPr>
            </w:pPr>
            <w:r>
              <w:rPr>
                <w:rFonts w:ascii="Arial" w:cs="Arial" w:eastAsia="Arial" w:hAnsi="Arial"/>
                <w:sz w:val="16"/>
                <w:szCs w:val="16"/>
                <w:color w:val="auto"/>
              </w:rPr>
              <w:t>OI/OL $10M</w:t>
            </w:r>
          </w:p>
        </w:tc>
        <w:tc>
          <w:tcPr>
            <w:tcW w:w="160" w:type="dxa"/>
            <w:vAlign w:val="bottom"/>
            <w:shd w:val="clear" w:color="auto" w:fill="E5E5E5"/>
          </w:tcPr>
          <w:p>
            <w:pPr>
              <w:spacing w:after="0"/>
              <w:rPr>
                <w:sz w:val="16"/>
                <w:szCs w:val="16"/>
                <w:color w:val="auto"/>
              </w:rPr>
            </w:pPr>
          </w:p>
        </w:tc>
        <w:tc>
          <w:tcPr>
            <w:tcW w:w="1040" w:type="dxa"/>
            <w:vAlign w:val="bottom"/>
            <w:shd w:val="clear" w:color="auto" w:fill="E5E5E5"/>
          </w:tcPr>
          <w:p>
            <w:pPr>
              <w:jc w:val="center"/>
              <w:ind w:right="59"/>
              <w:spacing w:after="0"/>
              <w:rPr>
                <w:sz w:val="20"/>
                <w:szCs w:val="20"/>
                <w:color w:val="auto"/>
              </w:rPr>
            </w:pPr>
            <w:r>
              <w:rPr>
                <w:rFonts w:ascii="Arial" w:cs="Arial" w:eastAsia="Arial" w:hAnsi="Arial"/>
                <w:sz w:val="16"/>
                <w:szCs w:val="16"/>
                <w:color w:val="auto"/>
                <w:w w:val="99"/>
              </w:rPr>
              <w:t>Operating</w:t>
            </w:r>
          </w:p>
        </w:tc>
        <w:tc>
          <w:tcPr>
            <w:tcW w:w="1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800" w:type="dxa"/>
            <w:vAlign w:val="bottom"/>
            <w:shd w:val="clear" w:color="auto" w:fill="E5E5E5"/>
          </w:tcPr>
          <w:p>
            <w:pPr>
              <w:ind w:left="80"/>
              <w:spacing w:after="0"/>
              <w:rPr>
                <w:sz w:val="20"/>
                <w:szCs w:val="20"/>
                <w:color w:val="auto"/>
              </w:rPr>
            </w:pPr>
            <w:r>
              <w:rPr>
                <w:rFonts w:ascii="Arial" w:cs="Arial" w:eastAsia="Arial" w:hAnsi="Arial"/>
                <w:sz w:val="16"/>
                <w:szCs w:val="16"/>
                <w:color w:val="auto"/>
              </w:rPr>
              <w:t>Operating Loss)</w:t>
            </w:r>
          </w:p>
        </w:tc>
        <w:tc>
          <w:tcPr>
            <w:tcW w:w="2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20" w:type="dxa"/>
            <w:vAlign w:val="bottom"/>
            <w:shd w:val="clear" w:color="auto" w:fill="E5E5E5"/>
          </w:tcPr>
          <w:p>
            <w:pPr>
              <w:jc w:val="center"/>
              <w:ind w:right="19"/>
              <w:spacing w:after="0"/>
              <w:rPr>
                <w:sz w:val="20"/>
                <w:szCs w:val="20"/>
                <w:color w:val="auto"/>
              </w:rPr>
            </w:pPr>
            <w:r>
              <w:rPr>
                <w:rFonts w:ascii="Arial" w:cs="Arial" w:eastAsia="Arial" w:hAnsi="Arial"/>
                <w:sz w:val="16"/>
                <w:szCs w:val="16"/>
                <w:color w:val="auto"/>
                <w:w w:val="99"/>
              </w:rPr>
              <w:t>Losses to</w:t>
            </w:r>
          </w:p>
        </w:tc>
        <w:tc>
          <w:tcPr>
            <w:tcW w:w="140" w:type="dxa"/>
            <w:vAlign w:val="bottom"/>
            <w:shd w:val="clear" w:color="auto" w:fill="E5E5E5"/>
          </w:tcPr>
          <w:p>
            <w:pPr>
              <w:spacing w:after="0"/>
              <w:rPr>
                <w:sz w:val="17"/>
                <w:szCs w:val="17"/>
                <w:color w:val="auto"/>
              </w:rPr>
            </w:pPr>
          </w:p>
        </w:tc>
        <w:tc>
          <w:tcPr>
            <w:tcW w:w="1020" w:type="dxa"/>
            <w:vAlign w:val="bottom"/>
            <w:shd w:val="clear" w:color="auto" w:fill="E5E5E5"/>
          </w:tcPr>
          <w:p>
            <w:pPr>
              <w:jc w:val="center"/>
              <w:ind w:right="19"/>
              <w:spacing w:after="0"/>
              <w:rPr>
                <w:sz w:val="20"/>
                <w:szCs w:val="20"/>
                <w:color w:val="auto"/>
              </w:rPr>
            </w:pPr>
            <w:r>
              <w:rPr>
                <w:rFonts w:ascii="Arial" w:cs="Arial" w:eastAsia="Arial" w:hAnsi="Arial"/>
                <w:sz w:val="16"/>
                <w:szCs w:val="16"/>
                <w:color w:val="auto"/>
                <w:w w:val="99"/>
              </w:rPr>
              <w:t>Losses to</w:t>
            </w:r>
          </w:p>
        </w:tc>
        <w:tc>
          <w:tcPr>
            <w:tcW w:w="160" w:type="dxa"/>
            <w:vAlign w:val="bottom"/>
            <w:shd w:val="clear" w:color="auto" w:fill="E5E5E5"/>
          </w:tcPr>
          <w:p>
            <w:pPr>
              <w:spacing w:after="0"/>
              <w:rPr>
                <w:sz w:val="17"/>
                <w:szCs w:val="17"/>
                <w:color w:val="auto"/>
              </w:rPr>
            </w:pPr>
          </w:p>
        </w:tc>
        <w:tc>
          <w:tcPr>
            <w:tcW w:w="1000" w:type="dxa"/>
            <w:vAlign w:val="bottom"/>
            <w:shd w:val="clear" w:color="auto" w:fill="E5E5E5"/>
          </w:tcPr>
          <w:p>
            <w:pPr>
              <w:jc w:val="center"/>
              <w:ind w:right="39"/>
              <w:spacing w:after="0"/>
              <w:rPr>
                <w:sz w:val="20"/>
                <w:szCs w:val="20"/>
                <w:color w:val="auto"/>
              </w:rPr>
            </w:pPr>
            <w:r>
              <w:rPr>
                <w:rFonts w:ascii="Arial" w:cs="Arial" w:eastAsia="Arial" w:hAnsi="Arial"/>
                <w:sz w:val="16"/>
                <w:szCs w:val="16"/>
                <w:color w:val="auto"/>
              </w:rPr>
              <w:t>breakeven</w:t>
            </w:r>
          </w:p>
        </w:tc>
        <w:tc>
          <w:tcPr>
            <w:tcW w:w="1160" w:type="dxa"/>
            <w:vAlign w:val="bottom"/>
            <w:gridSpan w:val="2"/>
            <w:shd w:val="clear" w:color="auto" w:fill="E5E5E5"/>
          </w:tcPr>
          <w:p>
            <w:pPr>
              <w:jc w:val="center"/>
              <w:spacing w:after="0"/>
              <w:rPr>
                <w:sz w:val="20"/>
                <w:szCs w:val="20"/>
                <w:color w:val="auto"/>
              </w:rPr>
            </w:pPr>
            <w:r>
              <w:rPr>
                <w:rFonts w:ascii="Arial" w:cs="Arial" w:eastAsia="Arial" w:hAnsi="Arial"/>
                <w:sz w:val="16"/>
                <w:szCs w:val="16"/>
                <w:color w:val="auto"/>
                <w:w w:val="99"/>
              </w:rPr>
              <w:t>Income obtain</w:t>
            </w:r>
          </w:p>
        </w:tc>
        <w:tc>
          <w:tcPr>
            <w:tcW w:w="160" w:type="dxa"/>
            <w:vAlign w:val="bottom"/>
            <w:shd w:val="clear" w:color="auto" w:fill="E5E5E5"/>
          </w:tcPr>
          <w:p>
            <w:pPr>
              <w:spacing w:after="0"/>
              <w:rPr>
                <w:sz w:val="17"/>
                <w:szCs w:val="17"/>
                <w:color w:val="auto"/>
              </w:rPr>
            </w:pPr>
          </w:p>
        </w:tc>
        <w:tc>
          <w:tcPr>
            <w:tcW w:w="1040" w:type="dxa"/>
            <w:vAlign w:val="bottom"/>
            <w:shd w:val="clear" w:color="auto" w:fill="E5E5E5"/>
          </w:tcPr>
          <w:p>
            <w:pPr>
              <w:jc w:val="center"/>
              <w:ind w:right="39"/>
              <w:spacing w:after="0"/>
              <w:rPr>
                <w:sz w:val="20"/>
                <w:szCs w:val="20"/>
                <w:color w:val="auto"/>
              </w:rPr>
            </w:pPr>
            <w:r>
              <w:rPr>
                <w:rFonts w:ascii="Arial" w:cs="Arial" w:eastAsia="Arial" w:hAnsi="Arial"/>
                <w:sz w:val="16"/>
                <w:szCs w:val="16"/>
                <w:color w:val="auto"/>
              </w:rPr>
              <w:t>Loss was</w:t>
            </w:r>
          </w:p>
        </w:tc>
        <w:tc>
          <w:tcPr>
            <w:tcW w:w="1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8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20" w:type="dxa"/>
            <w:vAlign w:val="bottom"/>
            <w:shd w:val="clear" w:color="auto" w:fill="E5E5E5"/>
          </w:tcPr>
          <w:p>
            <w:pPr>
              <w:jc w:val="center"/>
              <w:ind w:right="39"/>
              <w:spacing w:after="0"/>
              <w:rPr>
                <w:sz w:val="20"/>
                <w:szCs w:val="20"/>
                <w:color w:val="auto"/>
              </w:rPr>
            </w:pPr>
            <w:r>
              <w:rPr>
                <w:rFonts w:ascii="Arial" w:cs="Arial" w:eastAsia="Arial" w:hAnsi="Arial"/>
                <w:sz w:val="16"/>
                <w:szCs w:val="16"/>
                <w:color w:val="auto"/>
                <w:w w:val="99"/>
              </w:rPr>
              <w:t>not exceed</w:t>
            </w:r>
          </w:p>
        </w:tc>
        <w:tc>
          <w:tcPr>
            <w:tcW w:w="140" w:type="dxa"/>
            <w:vAlign w:val="bottom"/>
            <w:shd w:val="clear" w:color="auto" w:fill="E5E5E5"/>
          </w:tcPr>
          <w:p>
            <w:pPr>
              <w:spacing w:after="0"/>
              <w:rPr>
                <w:sz w:val="17"/>
                <w:szCs w:val="17"/>
                <w:color w:val="auto"/>
              </w:rPr>
            </w:pPr>
          </w:p>
        </w:tc>
        <w:tc>
          <w:tcPr>
            <w:tcW w:w="1020" w:type="dxa"/>
            <w:vAlign w:val="bottom"/>
            <w:shd w:val="clear" w:color="auto" w:fill="E5E5E5"/>
          </w:tcPr>
          <w:p>
            <w:pPr>
              <w:jc w:val="center"/>
              <w:ind w:right="39"/>
              <w:spacing w:after="0"/>
              <w:rPr>
                <w:sz w:val="20"/>
                <w:szCs w:val="20"/>
                <w:color w:val="auto"/>
              </w:rPr>
            </w:pPr>
            <w:r>
              <w:rPr>
                <w:rFonts w:ascii="Arial" w:cs="Arial" w:eastAsia="Arial" w:hAnsi="Arial"/>
                <w:sz w:val="16"/>
                <w:szCs w:val="16"/>
                <w:color w:val="auto"/>
                <w:w w:val="99"/>
              </w:rPr>
              <w:t>not exceed</w:t>
            </w:r>
          </w:p>
        </w:tc>
        <w:tc>
          <w:tcPr>
            <w:tcW w:w="160" w:type="dxa"/>
            <w:vAlign w:val="bottom"/>
            <w:shd w:val="clear" w:color="auto" w:fill="E5E5E5"/>
          </w:tcPr>
          <w:p>
            <w:pPr>
              <w:spacing w:after="0"/>
              <w:rPr>
                <w:sz w:val="17"/>
                <w:szCs w:val="17"/>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($0)</w:t>
            </w:r>
          </w:p>
        </w:tc>
        <w:tc>
          <w:tcPr>
            <w:tcW w:w="140" w:type="dxa"/>
            <w:vAlign w:val="bottom"/>
            <w:shd w:val="clear" w:color="auto" w:fill="E5E5E5"/>
          </w:tcPr>
          <w:p>
            <w:pPr>
              <w:spacing w:after="0"/>
              <w:rPr>
                <w:sz w:val="17"/>
                <w:szCs w:val="17"/>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profitability</w:t>
            </w:r>
          </w:p>
        </w:tc>
        <w:tc>
          <w:tcPr>
            <w:tcW w:w="160" w:type="dxa"/>
            <w:vAlign w:val="bottom"/>
            <w:shd w:val="clear" w:color="auto" w:fill="E5E5E5"/>
          </w:tcPr>
          <w:p>
            <w:pPr>
              <w:spacing w:after="0"/>
              <w:rPr>
                <w:sz w:val="17"/>
                <w:szCs w:val="17"/>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6"/>
              </w:rPr>
              <w:t>$11.17M</w:t>
            </w:r>
          </w:p>
        </w:tc>
        <w:tc>
          <w:tcPr>
            <w:tcW w:w="1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r>
      <w:tr>
        <w:trPr>
          <w:trHeight w:val="262"/>
        </w:trPr>
        <w:tc>
          <w:tcPr>
            <w:tcW w:w="1800" w:type="dxa"/>
            <w:vAlign w:val="bottom"/>
            <w:tcBorders>
              <w:bottom w:val="single" w:sz="8" w:color="E5E5E5"/>
            </w:tcBorders>
            <w:shd w:val="clear" w:color="auto" w:fill="E5E5E5"/>
          </w:tcPr>
          <w:p>
            <w:pPr>
              <w:spacing w:after="0"/>
              <w:rPr>
                <w:sz w:val="22"/>
                <w:szCs w:val="22"/>
                <w:color w:val="auto"/>
              </w:rPr>
            </w:pPr>
          </w:p>
        </w:tc>
        <w:tc>
          <w:tcPr>
            <w:tcW w:w="280" w:type="dxa"/>
            <w:vAlign w:val="bottom"/>
            <w:tcBorders>
              <w:bottom w:val="single" w:sz="8" w:color="E5E5E5"/>
            </w:tcBorders>
            <w:shd w:val="clear" w:color="auto" w:fill="E5E5E5"/>
          </w:tcPr>
          <w:p>
            <w:pPr>
              <w:spacing w:after="0"/>
              <w:rPr>
                <w:sz w:val="22"/>
                <w:szCs w:val="22"/>
                <w:color w:val="auto"/>
              </w:rPr>
            </w:pPr>
          </w:p>
        </w:tc>
        <w:tc>
          <w:tcPr>
            <w:tcW w:w="380" w:type="dxa"/>
            <w:vAlign w:val="bottom"/>
            <w:tcBorders>
              <w:bottom w:val="single" w:sz="8" w:color="E5E5E5"/>
            </w:tcBorders>
            <w:shd w:val="clear" w:color="auto" w:fill="E5E5E5"/>
          </w:tcPr>
          <w:p>
            <w:pPr>
              <w:spacing w:after="0"/>
              <w:rPr>
                <w:sz w:val="22"/>
                <w:szCs w:val="22"/>
                <w:color w:val="auto"/>
              </w:rPr>
            </w:pPr>
          </w:p>
        </w:tc>
        <w:tc>
          <w:tcPr>
            <w:tcW w:w="10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$20.0M</w:t>
            </w:r>
          </w:p>
        </w:tc>
        <w:tc>
          <w:tcPr>
            <w:tcW w:w="140" w:type="dxa"/>
            <w:vAlign w:val="bottom"/>
            <w:tcBorders>
              <w:bottom w:val="single" w:sz="8" w:color="E5E5E5"/>
            </w:tcBorders>
            <w:shd w:val="clear" w:color="auto" w:fill="E5E5E5"/>
          </w:tcPr>
          <w:p>
            <w:pPr>
              <w:spacing w:after="0"/>
              <w:rPr>
                <w:sz w:val="22"/>
                <w:szCs w:val="22"/>
                <w:color w:val="auto"/>
              </w:rPr>
            </w:pPr>
          </w:p>
        </w:tc>
        <w:tc>
          <w:tcPr>
            <w:tcW w:w="10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$10.0M</w:t>
            </w:r>
          </w:p>
        </w:tc>
        <w:tc>
          <w:tcPr>
            <w:tcW w:w="160" w:type="dxa"/>
            <w:vAlign w:val="bottom"/>
            <w:tcBorders>
              <w:bottom w:val="single" w:sz="8" w:color="E5E5E5"/>
            </w:tcBorders>
            <w:shd w:val="clear" w:color="auto" w:fill="E5E5E5"/>
          </w:tcPr>
          <w:p>
            <w:pPr>
              <w:spacing w:after="0"/>
              <w:rPr>
                <w:sz w:val="22"/>
                <w:szCs w:val="22"/>
                <w:color w:val="auto"/>
              </w:rPr>
            </w:pPr>
          </w:p>
        </w:tc>
        <w:tc>
          <w:tcPr>
            <w:tcW w:w="1000" w:type="dxa"/>
            <w:vAlign w:val="bottom"/>
            <w:tcBorders>
              <w:bottom w:val="single" w:sz="8" w:color="E5E5E5"/>
            </w:tcBorders>
            <w:shd w:val="clear" w:color="auto" w:fill="E5E5E5"/>
          </w:tcPr>
          <w:p>
            <w:pPr>
              <w:spacing w:after="0"/>
              <w:rPr>
                <w:sz w:val="22"/>
                <w:szCs w:val="22"/>
                <w:color w:val="auto"/>
              </w:rPr>
            </w:pPr>
          </w:p>
        </w:tc>
        <w:tc>
          <w:tcPr>
            <w:tcW w:w="140" w:type="dxa"/>
            <w:vAlign w:val="bottom"/>
            <w:tcBorders>
              <w:bottom w:val="single" w:sz="8" w:color="E5E5E5"/>
            </w:tcBorders>
            <w:shd w:val="clear" w:color="auto" w:fill="E5E5E5"/>
          </w:tcPr>
          <w:p>
            <w:pPr>
              <w:spacing w:after="0"/>
              <w:rPr>
                <w:sz w:val="22"/>
                <w:szCs w:val="22"/>
                <w:color w:val="auto"/>
              </w:rPr>
            </w:pPr>
          </w:p>
        </w:tc>
        <w:tc>
          <w:tcPr>
            <w:tcW w:w="102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E5E5E5"/>
            </w:tcBorders>
            <w:shd w:val="clear" w:color="auto" w:fill="E5E5E5"/>
          </w:tcPr>
          <w:p>
            <w:pPr>
              <w:spacing w:after="0"/>
              <w:rPr>
                <w:sz w:val="22"/>
                <w:szCs w:val="22"/>
                <w:color w:val="auto"/>
              </w:rPr>
            </w:pPr>
          </w:p>
        </w:tc>
        <w:tc>
          <w:tcPr>
            <w:tcW w:w="104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E5E5E5"/>
            </w:tcBorders>
            <w:shd w:val="clear" w:color="auto" w:fill="E5E5E5"/>
          </w:tcPr>
          <w:p>
            <w:pPr>
              <w:spacing w:after="0"/>
              <w:rPr>
                <w:sz w:val="22"/>
                <w:szCs w:val="22"/>
                <w:color w:val="auto"/>
              </w:rPr>
            </w:pPr>
          </w:p>
        </w:tc>
        <w:tc>
          <w:tcPr>
            <w:tcW w:w="1020" w:type="dxa"/>
            <w:vAlign w:val="bottom"/>
            <w:tcBorders>
              <w:bottom w:val="single" w:sz="8" w:color="E5E5E5"/>
            </w:tcBorders>
            <w:shd w:val="clear" w:color="auto" w:fill="E5E5E5"/>
          </w:tcPr>
          <w:p>
            <w:pPr>
              <w:spacing w:after="0"/>
              <w:rPr>
                <w:sz w:val="22"/>
                <w:szCs w:val="22"/>
                <w:color w:val="auto"/>
              </w:rPr>
            </w:pPr>
          </w:p>
        </w:tc>
        <w:tc>
          <w:tcPr>
            <w:tcW w:w="60" w:type="dxa"/>
            <w:vAlign w:val="bottom"/>
            <w:tcBorders>
              <w:bottom w:val="single" w:sz="8" w:color="E5E5E5"/>
            </w:tcBorders>
            <w:shd w:val="clear" w:color="auto" w:fill="E5E5E5"/>
          </w:tcPr>
          <w:p>
            <w:pPr>
              <w:spacing w:after="0"/>
              <w:rPr>
                <w:sz w:val="22"/>
                <w:szCs w:val="22"/>
                <w:color w:val="auto"/>
              </w:rPr>
            </w:pPr>
          </w:p>
        </w:tc>
        <w:tc>
          <w:tcPr>
            <w:tcW w:w="20" w:type="dxa"/>
            <w:vAlign w:val="bottom"/>
          </w:tcPr>
          <w:p>
            <w:pPr>
              <w:spacing w:after="0"/>
              <w:rPr>
                <w:sz w:val="22"/>
                <w:szCs w:val="22"/>
                <w:color w:val="auto"/>
              </w:rPr>
            </w:pPr>
          </w:p>
        </w:tc>
      </w:tr>
      <w:tr>
        <w:trPr>
          <w:trHeight w:val="209"/>
        </w:trPr>
        <w:tc>
          <w:tcPr>
            <w:tcW w:w="18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Design Wins</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​​50% ​​</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 Receive one</w:t>
            </w: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 Receive two</w:t>
            </w: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​​Receive three</w:t>
            </w: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​​Received three ​​</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189"/>
        </w:trPr>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design win</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design wins</w:t>
            </w:r>
          </w:p>
        </w:tc>
        <w:tc>
          <w:tcPr>
            <w:tcW w:w="140" w:type="dxa"/>
            <w:vAlign w:val="bottom"/>
          </w:tcPr>
          <w:p>
            <w:pPr>
              <w:spacing w:after="0"/>
              <w:rPr>
                <w:sz w:val="16"/>
                <w:szCs w:val="16"/>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color w:val="auto"/>
              </w:rPr>
              <w:t>or more</w:t>
            </w:r>
          </w:p>
        </w:tc>
        <w:tc>
          <w:tcPr>
            <w:tcW w:w="160" w:type="dxa"/>
            <w:vAlign w:val="bottom"/>
          </w:tcPr>
          <w:p>
            <w:pPr>
              <w:spacing w:after="0"/>
              <w:rPr>
                <w:sz w:val="16"/>
                <w:szCs w:val="16"/>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color w:val="auto"/>
              </w:rPr>
              <w:t>qualifying</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design wins</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design wins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
        </w:trPr>
        <w:tc>
          <w:tcPr>
            <w:tcW w:w="1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209"/>
        </w:trPr>
        <w:tc>
          <w:tcPr>
            <w:tcW w:w="1800" w:type="dxa"/>
            <w:vAlign w:val="bottom"/>
            <w:shd w:val="clear" w:color="auto" w:fill="E5E5E5"/>
          </w:tcPr>
          <w:p>
            <w:pPr>
              <w:ind w:left="80"/>
              <w:spacing w:after="0"/>
              <w:rPr>
                <w:sz w:val="20"/>
                <w:szCs w:val="20"/>
                <w:color w:val="auto"/>
              </w:rPr>
            </w:pPr>
            <w:r>
              <w:rPr>
                <w:rFonts w:ascii="Arial" w:cs="Arial" w:eastAsia="Arial" w:hAnsi="Arial"/>
                <w:sz w:val="16"/>
                <w:szCs w:val="16"/>
                <w:color w:val="auto"/>
              </w:rPr>
              <w:t>Payout as a Percent of</w:t>
            </w:r>
          </w:p>
        </w:tc>
        <w:tc>
          <w:tcPr>
            <w:tcW w:w="2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50%</w:t>
            </w:r>
          </w:p>
        </w:tc>
        <w:tc>
          <w:tcPr>
            <w:tcW w:w="16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7"/>
              </w:rPr>
              <w:t>100%</w:t>
            </w:r>
          </w:p>
        </w:tc>
        <w:tc>
          <w:tcPr>
            <w:tcW w:w="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125%</w:t>
            </w:r>
          </w:p>
        </w:tc>
        <w:tc>
          <w:tcPr>
            <w:tcW w:w="16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8"/>
                <w:szCs w:val="18"/>
                <w:color w:val="auto"/>
              </w:rPr>
            </w:pPr>
          </w:p>
        </w:tc>
      </w:tr>
      <w:tr>
        <w:trPr>
          <w:trHeight w:val="189"/>
        </w:trPr>
        <w:tc>
          <w:tcPr>
            <w:tcW w:w="1800" w:type="dxa"/>
            <w:vAlign w:val="bottom"/>
            <w:shd w:val="clear" w:color="auto" w:fill="E5E5E5"/>
          </w:tcPr>
          <w:p>
            <w:pPr>
              <w:ind w:left="80"/>
              <w:spacing w:after="0"/>
              <w:rPr>
                <w:sz w:val="20"/>
                <w:szCs w:val="20"/>
                <w:color w:val="auto"/>
              </w:rPr>
            </w:pPr>
            <w:r>
              <w:rPr>
                <w:rFonts w:ascii="Arial" w:cs="Arial" w:eastAsia="Arial" w:hAnsi="Arial"/>
                <w:sz w:val="16"/>
                <w:szCs w:val="16"/>
                <w:color w:val="auto"/>
              </w:rPr>
              <w:t>Target (with linear</w:t>
            </w:r>
          </w:p>
        </w:tc>
        <w:tc>
          <w:tcPr>
            <w:tcW w:w="2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800" w:type="dxa"/>
            <w:vAlign w:val="bottom"/>
            <w:shd w:val="clear" w:color="auto" w:fill="E5E5E5"/>
          </w:tcPr>
          <w:p>
            <w:pPr>
              <w:ind w:left="80"/>
              <w:spacing w:after="0"/>
              <w:rPr>
                <w:sz w:val="20"/>
                <w:szCs w:val="20"/>
                <w:color w:val="auto"/>
              </w:rPr>
            </w:pPr>
            <w:r>
              <w:rPr>
                <w:rFonts w:ascii="Arial" w:cs="Arial" w:eastAsia="Arial" w:hAnsi="Arial"/>
                <w:sz w:val="16"/>
                <w:szCs w:val="16"/>
                <w:color w:val="auto"/>
              </w:rPr>
              <w:t>interpolation between</w:t>
            </w:r>
          </w:p>
        </w:tc>
        <w:tc>
          <w:tcPr>
            <w:tcW w:w="2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r>
      <w:tr>
        <w:trPr>
          <w:trHeight w:val="262"/>
        </w:trPr>
        <w:tc>
          <w:tcPr>
            <w:tcW w:w="18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levels)</w:t>
            </w:r>
          </w:p>
        </w:tc>
        <w:tc>
          <w:tcPr>
            <w:tcW w:w="280" w:type="dxa"/>
            <w:vAlign w:val="bottom"/>
            <w:tcBorders>
              <w:bottom w:val="single" w:sz="8" w:color="E5E5E5"/>
            </w:tcBorders>
            <w:shd w:val="clear" w:color="auto" w:fill="E5E5E5"/>
          </w:tcPr>
          <w:p>
            <w:pPr>
              <w:spacing w:after="0"/>
              <w:rPr>
                <w:sz w:val="22"/>
                <w:szCs w:val="22"/>
                <w:color w:val="auto"/>
              </w:rPr>
            </w:pPr>
          </w:p>
        </w:tc>
        <w:tc>
          <w:tcPr>
            <w:tcW w:w="380" w:type="dxa"/>
            <w:vAlign w:val="bottom"/>
            <w:tcBorders>
              <w:bottom w:val="single" w:sz="8" w:color="E5E5E5"/>
            </w:tcBorders>
            <w:shd w:val="clear" w:color="auto" w:fill="E5E5E5"/>
          </w:tcPr>
          <w:p>
            <w:pPr>
              <w:spacing w:after="0"/>
              <w:rPr>
                <w:sz w:val="22"/>
                <w:szCs w:val="22"/>
                <w:color w:val="auto"/>
              </w:rPr>
            </w:pPr>
          </w:p>
        </w:tc>
        <w:tc>
          <w:tcPr>
            <w:tcW w:w="1020" w:type="dxa"/>
            <w:vAlign w:val="bottom"/>
            <w:tcBorders>
              <w:bottom w:val="single" w:sz="8" w:color="E5E5E5"/>
            </w:tcBorders>
            <w:shd w:val="clear" w:color="auto" w:fill="E5E5E5"/>
          </w:tcPr>
          <w:p>
            <w:pPr>
              <w:spacing w:after="0"/>
              <w:rPr>
                <w:sz w:val="22"/>
                <w:szCs w:val="22"/>
                <w:color w:val="auto"/>
              </w:rPr>
            </w:pPr>
          </w:p>
        </w:tc>
        <w:tc>
          <w:tcPr>
            <w:tcW w:w="140" w:type="dxa"/>
            <w:vAlign w:val="bottom"/>
            <w:tcBorders>
              <w:bottom w:val="single" w:sz="8" w:color="E5E5E5"/>
            </w:tcBorders>
            <w:shd w:val="clear" w:color="auto" w:fill="E5E5E5"/>
          </w:tcPr>
          <w:p>
            <w:pPr>
              <w:spacing w:after="0"/>
              <w:rPr>
                <w:sz w:val="22"/>
                <w:szCs w:val="22"/>
                <w:color w:val="auto"/>
              </w:rPr>
            </w:pPr>
          </w:p>
        </w:tc>
        <w:tc>
          <w:tcPr>
            <w:tcW w:w="102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E5E5E5"/>
            </w:tcBorders>
            <w:shd w:val="clear" w:color="auto" w:fill="E5E5E5"/>
          </w:tcPr>
          <w:p>
            <w:pPr>
              <w:spacing w:after="0"/>
              <w:rPr>
                <w:sz w:val="22"/>
                <w:szCs w:val="22"/>
                <w:color w:val="auto"/>
              </w:rPr>
            </w:pPr>
          </w:p>
        </w:tc>
        <w:tc>
          <w:tcPr>
            <w:tcW w:w="1000" w:type="dxa"/>
            <w:vAlign w:val="bottom"/>
            <w:tcBorders>
              <w:bottom w:val="single" w:sz="8" w:color="E5E5E5"/>
            </w:tcBorders>
            <w:shd w:val="clear" w:color="auto" w:fill="E5E5E5"/>
          </w:tcPr>
          <w:p>
            <w:pPr>
              <w:spacing w:after="0"/>
              <w:rPr>
                <w:sz w:val="22"/>
                <w:szCs w:val="22"/>
                <w:color w:val="auto"/>
              </w:rPr>
            </w:pPr>
          </w:p>
        </w:tc>
        <w:tc>
          <w:tcPr>
            <w:tcW w:w="140" w:type="dxa"/>
            <w:vAlign w:val="bottom"/>
            <w:tcBorders>
              <w:bottom w:val="single" w:sz="8" w:color="E5E5E5"/>
            </w:tcBorders>
            <w:shd w:val="clear" w:color="auto" w:fill="E5E5E5"/>
          </w:tcPr>
          <w:p>
            <w:pPr>
              <w:spacing w:after="0"/>
              <w:rPr>
                <w:sz w:val="22"/>
                <w:szCs w:val="22"/>
                <w:color w:val="auto"/>
              </w:rPr>
            </w:pPr>
          </w:p>
        </w:tc>
        <w:tc>
          <w:tcPr>
            <w:tcW w:w="102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E5E5E5"/>
            </w:tcBorders>
            <w:shd w:val="clear" w:color="auto" w:fill="E5E5E5"/>
          </w:tcPr>
          <w:p>
            <w:pPr>
              <w:spacing w:after="0"/>
              <w:rPr>
                <w:sz w:val="22"/>
                <w:szCs w:val="22"/>
                <w:color w:val="auto"/>
              </w:rPr>
            </w:pPr>
          </w:p>
        </w:tc>
        <w:tc>
          <w:tcPr>
            <w:tcW w:w="104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E5E5E5"/>
            </w:tcBorders>
            <w:shd w:val="clear" w:color="auto" w:fill="E5E5E5"/>
          </w:tcPr>
          <w:p>
            <w:pPr>
              <w:spacing w:after="0"/>
              <w:rPr>
                <w:sz w:val="22"/>
                <w:szCs w:val="22"/>
                <w:color w:val="auto"/>
              </w:rPr>
            </w:pPr>
          </w:p>
        </w:tc>
        <w:tc>
          <w:tcPr>
            <w:tcW w:w="1020" w:type="dxa"/>
            <w:vAlign w:val="bottom"/>
            <w:tcBorders>
              <w:bottom w:val="single" w:sz="8" w:color="E5E5E5"/>
            </w:tcBorders>
            <w:shd w:val="clear" w:color="auto" w:fill="E5E5E5"/>
          </w:tcPr>
          <w:p>
            <w:pPr>
              <w:spacing w:after="0"/>
              <w:rPr>
                <w:sz w:val="22"/>
                <w:szCs w:val="22"/>
                <w:color w:val="auto"/>
              </w:rPr>
            </w:pPr>
          </w:p>
        </w:tc>
        <w:tc>
          <w:tcPr>
            <w:tcW w:w="60" w:type="dxa"/>
            <w:vAlign w:val="bottom"/>
            <w:tcBorders>
              <w:bottom w:val="single" w:sz="8" w:color="E5E5E5"/>
            </w:tcBorders>
            <w:shd w:val="clear" w:color="auto" w:fill="E5E5E5"/>
          </w:tcPr>
          <w:p>
            <w:pPr>
              <w:spacing w:after="0"/>
              <w:rPr>
                <w:sz w:val="22"/>
                <w:szCs w:val="22"/>
                <w:color w:val="auto"/>
              </w:rPr>
            </w:pPr>
          </w:p>
        </w:tc>
        <w:tc>
          <w:tcPr>
            <w:tcW w:w="20" w:type="dxa"/>
            <w:vAlign w:val="bottom"/>
          </w:tcPr>
          <w:p>
            <w:pPr>
              <w:spacing w:after="0"/>
              <w:rPr>
                <w:sz w:val="22"/>
                <w:szCs w:val="22"/>
                <w:color w:val="auto"/>
              </w:rPr>
            </w:pPr>
          </w:p>
        </w:tc>
      </w:tr>
      <w:tr>
        <w:trPr>
          <w:trHeight w:val="209"/>
        </w:trPr>
        <w:tc>
          <w:tcPr>
            <w:tcW w:w="18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Aggregate Weighted</w:t>
            </w: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5"/>
        </w:trPr>
        <w:tc>
          <w:tcPr>
            <w:tcW w:w="1800" w:type="dxa"/>
            <w:vAlign w:val="bottom"/>
          </w:tcPr>
          <w:p>
            <w:pPr>
              <w:ind w:left="80"/>
              <w:spacing w:after="0"/>
              <w:rPr>
                <w:sz w:val="20"/>
                <w:szCs w:val="20"/>
                <w:color w:val="auto"/>
              </w:rPr>
            </w:pPr>
            <w:r>
              <w:rPr>
                <w:rFonts w:ascii="Arial" w:cs="Arial" w:eastAsia="Arial" w:hAnsi="Arial"/>
                <w:sz w:val="16"/>
                <w:szCs w:val="16"/>
                <w:color w:val="auto"/>
              </w:rPr>
              <w:t>Achievement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0"/>
        </w:trPr>
        <w:tc>
          <w:tcPr>
            <w:tcW w:w="18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2025 Actual Performance and Resulting Payments</w:t>
      </w:r>
    </w:p>
    <w:p>
      <w:pPr>
        <w:spacing w:after="0" w:line="127" w:lineRule="exact"/>
        <w:rPr>
          <w:sz w:val="20"/>
          <w:szCs w:val="20"/>
          <w:color w:val="auto"/>
        </w:rPr>
      </w:pPr>
    </w:p>
    <w:p>
      <w:pPr>
        <w:ind w:left="660" w:right="200"/>
        <w:spacing w:after="0" w:line="275" w:lineRule="auto"/>
        <w:rPr>
          <w:sz w:val="20"/>
          <w:szCs w:val="20"/>
          <w:color w:val="auto"/>
        </w:rPr>
      </w:pPr>
      <w:r>
        <w:rPr>
          <w:rFonts w:ascii="Arial" w:cs="Arial" w:eastAsia="Arial" w:hAnsi="Arial"/>
          <w:sz w:val="16"/>
          <w:szCs w:val="16"/>
          <w:color w:val="auto"/>
        </w:rPr>
        <w:t>In January 2026, the compensation committee determined that for 2025 we met maximum performance for Target 1 described above, we were between minimum and reduced performance for Target 2 described above and met our maximum performance for Target 3 described above, resulting in payments at approximately 104.8% of the target awards.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dollar amounts for the target cash bonus opportunity as compared to the amounts earned are as follows:</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660" w:type="dxa"/>
            <w:vAlign w:val="bottom"/>
            <w:shd w:val="clear" w:color="auto" w:fill="4834BA"/>
          </w:tcPr>
          <w:p>
            <w:pPr>
              <w:spacing w:after="0"/>
              <w:rPr>
                <w:sz w:val="19"/>
                <w:szCs w:val="19"/>
                <w:color w:val="auto"/>
              </w:rPr>
            </w:pPr>
          </w:p>
        </w:tc>
        <w:tc>
          <w:tcPr>
            <w:tcW w:w="3120" w:type="dxa"/>
            <w:vAlign w:val="bottom"/>
            <w:shd w:val="clear" w:color="auto" w:fill="4834BA"/>
          </w:tcPr>
          <w:p>
            <w:pPr>
              <w:jc w:val="right"/>
              <w:ind w:right="119"/>
              <w:spacing w:after="0"/>
              <w:rPr>
                <w:sz w:val="20"/>
                <w:szCs w:val="20"/>
                <w:color w:val="auto"/>
              </w:rPr>
            </w:pPr>
            <w:r>
              <w:rPr>
                <w:rFonts w:ascii="Arial" w:cs="Arial" w:eastAsia="Arial" w:hAnsi="Arial"/>
                <w:sz w:val="16"/>
                <w:szCs w:val="16"/>
                <w:b w:val="1"/>
                <w:bCs w:val="1"/>
                <w:color w:val="FFFFFF"/>
              </w:rPr>
              <w:t>Target Cash Bonus</w:t>
            </w:r>
          </w:p>
        </w:tc>
        <w:tc>
          <w:tcPr>
            <w:tcW w:w="1340" w:type="dxa"/>
            <w:vAlign w:val="bottom"/>
            <w:shd w:val="clear" w:color="auto" w:fill="4834BA"/>
          </w:tcPr>
          <w:p>
            <w:pPr>
              <w:jc w:val="right"/>
              <w:ind w:right="119"/>
              <w:spacing w:after="0"/>
              <w:rPr>
                <w:sz w:val="20"/>
                <w:szCs w:val="20"/>
                <w:color w:val="auto"/>
              </w:rPr>
            </w:pPr>
            <w:r>
              <w:rPr>
                <w:rFonts w:ascii="Arial" w:cs="Arial" w:eastAsia="Arial" w:hAnsi="Arial"/>
                <w:sz w:val="16"/>
                <w:szCs w:val="16"/>
                <w:b w:val="1"/>
                <w:bCs w:val="1"/>
                <w:color w:val="FFFFFF"/>
              </w:rPr>
              <w:t>Achievement</w:t>
            </w:r>
          </w:p>
        </w:tc>
        <w:tc>
          <w:tcPr>
            <w:tcW w:w="128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Actual Cash</w:t>
            </w:r>
          </w:p>
        </w:tc>
      </w:tr>
      <w:tr>
        <w:trPr>
          <w:trHeight w:val="244"/>
        </w:trPr>
        <w:tc>
          <w:tcPr>
            <w:tcW w:w="3660" w:type="dxa"/>
            <w:vAlign w:val="bottom"/>
            <w:shd w:val="clear" w:color="auto" w:fill="4834BA"/>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312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Opportunity</w:t>
            </w:r>
          </w:p>
        </w:tc>
        <w:tc>
          <w:tcPr>
            <w:tcW w:w="134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Percentage</w:t>
            </w:r>
          </w:p>
        </w:tc>
        <w:tc>
          <w:tcPr>
            <w:tcW w:w="128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Bonus Earned</w:t>
            </w:r>
          </w:p>
        </w:tc>
      </w:tr>
      <w:tr>
        <w:trPr>
          <w:trHeight w:val="228"/>
        </w:trPr>
        <w:tc>
          <w:tcPr>
            <w:tcW w:w="3660" w:type="dxa"/>
            <w:vAlign w:val="bottom"/>
          </w:tcPr>
          <w:p>
            <w:pPr>
              <w:ind w:left="80"/>
              <w:spacing w:after="0"/>
              <w:rPr>
                <w:sz w:val="20"/>
                <w:szCs w:val="20"/>
                <w:color w:val="auto"/>
              </w:rPr>
            </w:pPr>
            <w:r>
              <w:rPr>
                <w:rFonts w:ascii="Arial" w:cs="Arial" w:eastAsia="Arial" w:hAnsi="Arial"/>
                <w:sz w:val="16"/>
                <w:szCs w:val="16"/>
                <w:color w:val="auto"/>
              </w:rPr>
              <w:t>Chih-Hsiang (Thompson) Lin</w:t>
            </w:r>
          </w:p>
        </w:tc>
        <w:tc>
          <w:tcPr>
            <w:tcW w:w="3120" w:type="dxa"/>
            <w:vAlign w:val="bottom"/>
          </w:tcPr>
          <w:p>
            <w:pPr>
              <w:jc w:val="right"/>
              <w:ind w:right="79"/>
              <w:spacing w:after="0"/>
              <w:rPr>
                <w:sz w:val="20"/>
                <w:szCs w:val="20"/>
                <w:color w:val="auto"/>
              </w:rPr>
            </w:pPr>
            <w:r>
              <w:rPr>
                <w:rFonts w:ascii="Arial" w:cs="Arial" w:eastAsia="Arial" w:hAnsi="Arial"/>
                <w:sz w:val="16"/>
                <w:szCs w:val="16"/>
                <w:color w:val="auto"/>
              </w:rPr>
              <w:t>$962,961</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104.8%</w:t>
            </w:r>
          </w:p>
        </w:tc>
        <w:tc>
          <w:tcPr>
            <w:tcW w:w="1280" w:type="dxa"/>
            <w:vAlign w:val="bottom"/>
          </w:tcPr>
          <w:p>
            <w:pPr>
              <w:jc w:val="right"/>
              <w:spacing w:after="0"/>
              <w:rPr>
                <w:sz w:val="20"/>
                <w:szCs w:val="20"/>
                <w:color w:val="auto"/>
              </w:rPr>
            </w:pPr>
            <w:r>
              <w:rPr>
                <w:rFonts w:ascii="Arial" w:cs="Arial" w:eastAsia="Arial" w:hAnsi="Arial"/>
                <w:sz w:val="16"/>
                <w:szCs w:val="16"/>
                <w:color w:val="auto"/>
              </w:rPr>
              <w:t>$1,009,087</w:t>
            </w:r>
          </w:p>
        </w:tc>
      </w:tr>
      <w:tr>
        <w:trPr>
          <w:trHeight w:val="29"/>
        </w:trPr>
        <w:tc>
          <w:tcPr>
            <w:tcW w:w="36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36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Stefan J. Murry</w:t>
            </w:r>
          </w:p>
        </w:tc>
        <w:tc>
          <w:tcPr>
            <w:tcW w:w="312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$369,148</w:t>
            </w:r>
          </w:p>
        </w:tc>
        <w:tc>
          <w:tcPr>
            <w:tcW w:w="13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104.8%</w:t>
            </w: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   386,830</w:t>
            </w:r>
          </w:p>
        </w:tc>
      </w:tr>
      <w:tr>
        <w:trPr>
          <w:trHeight w:val="221"/>
        </w:trPr>
        <w:tc>
          <w:tcPr>
            <w:tcW w:w="36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Hung-Lun (Fred) Chang</w:t>
            </w:r>
          </w:p>
        </w:tc>
        <w:tc>
          <w:tcPr>
            <w:tcW w:w="3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$332,125</w:t>
            </w: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104.8%</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348,034</w:t>
            </w:r>
          </w:p>
        </w:tc>
      </w:tr>
      <w:tr>
        <w:trPr>
          <w:trHeight w:val="29"/>
        </w:trPr>
        <w:tc>
          <w:tcPr>
            <w:tcW w:w="36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36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Shu-Hua (Joshua) Yeh</w:t>
            </w:r>
          </w:p>
        </w:tc>
        <w:tc>
          <w:tcPr>
            <w:tcW w:w="312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$303,021</w:t>
            </w:r>
          </w:p>
        </w:tc>
        <w:tc>
          <w:tcPr>
            <w:tcW w:w="13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104.8%</w:t>
            </w: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   317,536</w:t>
            </w:r>
          </w:p>
        </w:tc>
      </w:tr>
      <w:tr>
        <w:trPr>
          <w:trHeight w:val="221"/>
        </w:trPr>
        <w:tc>
          <w:tcPr>
            <w:tcW w:w="36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David C. Kuo</w:t>
            </w:r>
          </w:p>
        </w:tc>
        <w:tc>
          <w:tcPr>
            <w:tcW w:w="3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$244,539</w:t>
            </w: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104.8%</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256,252</w:t>
            </w:r>
          </w:p>
        </w:tc>
      </w:tr>
      <w:tr>
        <w:trPr>
          <w:trHeight w:val="56"/>
        </w:trPr>
        <w:tc>
          <w:tcPr>
            <w:tcW w:w="366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bl>
    <w:p>
      <w:pPr>
        <w:spacing w:after="0" w:line="80" w:lineRule="exact"/>
        <w:rPr>
          <w:sz w:val="20"/>
          <w:szCs w:val="20"/>
          <w:color w:val="auto"/>
        </w:rPr>
      </w:pPr>
    </w:p>
    <w:p>
      <w:pPr>
        <w:ind w:left="1240" w:right="420" w:hanging="358"/>
        <w:spacing w:after="0" w:line="304"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for Mr. Yeh are paid in NTD and RMB, and the disclosed amounts reflect the effect of the applicable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1358900</wp:posOffset>
            </wp:positionV>
            <wp:extent cx="334010" cy="162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35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2025 Long-Term Equity Incentive Compensation</w:t>
      </w:r>
    </w:p>
    <w:p>
      <w:pPr>
        <w:spacing w:after="0" w:line="127" w:lineRule="exact"/>
        <w:rPr>
          <w:sz w:val="20"/>
          <w:szCs w:val="20"/>
          <w:color w:val="auto"/>
        </w:rPr>
      </w:pPr>
    </w:p>
    <w:p>
      <w:pPr>
        <w:ind w:left="660" w:right="220"/>
        <w:spacing w:after="0" w:line="286" w:lineRule="auto"/>
        <w:rPr>
          <w:sz w:val="20"/>
          <w:szCs w:val="20"/>
          <w:color w:val="auto"/>
        </w:rPr>
      </w:pPr>
      <w:r>
        <w:rPr>
          <w:rFonts w:ascii="Arial" w:cs="Arial" w:eastAsia="Arial" w:hAnsi="Arial"/>
          <w:sz w:val="16"/>
          <w:szCs w:val="16"/>
          <w:color w:val="auto"/>
        </w:rPr>
        <w:t>We use equity incentive compensation to attract and retain our talent, to motivate them to achieve our corporate goals and to align their financial incentives with stockholder returns.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Awards for 2025 Performance</w:t>
      </w:r>
    </w:p>
    <w:p>
      <w:pPr>
        <w:spacing w:after="0" w:line="127" w:lineRule="exact"/>
        <w:rPr>
          <w:sz w:val="20"/>
          <w:szCs w:val="20"/>
          <w:color w:val="auto"/>
        </w:rPr>
      </w:pPr>
    </w:p>
    <w:p>
      <w:pPr>
        <w:ind w:left="660" w:right="60"/>
        <w:spacing w:after="0" w:line="271" w:lineRule="auto"/>
        <w:rPr>
          <w:sz w:val="20"/>
          <w:szCs w:val="20"/>
          <w:color w:val="auto"/>
        </w:rPr>
      </w:pPr>
      <w:r>
        <w:rPr>
          <w:rFonts w:ascii="Arial" w:cs="Arial" w:eastAsia="Arial" w:hAnsi="Arial"/>
          <w:sz w:val="15"/>
          <w:szCs w:val="15"/>
          <w:color w:val="auto"/>
        </w:rPr>
        <w:t>In 2025, the compensation committee granted awards of performance-based PSUs and time-based RSUs to the NEOs. 50% of the total award value was granted in the form of RSUs, which vest quarterly over a four-year period based on continued service. The remaining 50% of the total award value was granted in the form of PSUs, which are earned with respect to a variable number of shares (between 0% and 200% of the target number of shares) based on the Company’s achievement of preset performance goals. The PSUs granted in 2025 will vest 50% based on achievement of specified levels of relative TSR vs. the 2025 Peer Group (as summarized in the section above entitled “Competitive Positioning”), and 50% based on achievement of a specified stock price hurdle for a three-year performance period ending April 29, 2028. The stock price hurdle goal can be earned at any point during the performance period, but vesting is dependent on a recipient providing continuous service through the end of the performance period.</w:t>
      </w:r>
    </w:p>
    <w:p>
      <w:pPr>
        <w:spacing w:after="0" w:line="48" w:lineRule="exact"/>
        <w:rPr>
          <w:sz w:val="20"/>
          <w:szCs w:val="20"/>
          <w:color w:val="auto"/>
        </w:rPr>
      </w:pPr>
    </w:p>
    <w:p>
      <w:pPr>
        <w:ind w:left="660" w:right="560"/>
        <w:spacing w:after="0" w:line="286" w:lineRule="auto"/>
        <w:rPr>
          <w:sz w:val="20"/>
          <w:szCs w:val="20"/>
          <w:color w:val="auto"/>
        </w:rPr>
      </w:pPr>
      <w:r>
        <w:rPr>
          <w:rFonts w:ascii="Arial" w:cs="Arial" w:eastAsia="Arial" w:hAnsi="Arial"/>
          <w:sz w:val="16"/>
          <w:szCs w:val="16"/>
          <w:color w:val="auto"/>
        </w:rPr>
        <w:t>The relative TSR payout and performance curve is summarized below. Payouts will be interpolated on a straight-line basis for performance in-between the percentiles noted below.</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640" w:type="dxa"/>
            <w:vAlign w:val="bottom"/>
            <w:shd w:val="clear" w:color="auto" w:fill="4834BA"/>
          </w:tcPr>
          <w:p>
            <w:pPr>
              <w:spacing w:after="0"/>
              <w:rPr>
                <w:sz w:val="19"/>
                <w:szCs w:val="19"/>
                <w:color w:val="auto"/>
              </w:rPr>
            </w:pPr>
          </w:p>
        </w:tc>
        <w:tc>
          <w:tcPr>
            <w:tcW w:w="4040" w:type="dxa"/>
            <w:vAlign w:val="bottom"/>
            <w:shd w:val="clear" w:color="auto" w:fill="4834BA"/>
          </w:tcPr>
          <w:p>
            <w:pPr>
              <w:ind w:left="2260"/>
              <w:spacing w:after="0"/>
              <w:rPr>
                <w:sz w:val="20"/>
                <w:szCs w:val="20"/>
                <w:color w:val="auto"/>
              </w:rPr>
            </w:pPr>
            <w:r>
              <w:rPr>
                <w:rFonts w:ascii="Arial" w:cs="Arial" w:eastAsia="Arial" w:hAnsi="Arial"/>
                <w:sz w:val="16"/>
                <w:szCs w:val="16"/>
                <w:b w:val="1"/>
                <w:bCs w:val="1"/>
                <w:color w:val="FFFFFF"/>
              </w:rPr>
              <w:t>Percentile Rank vs.</w:t>
            </w:r>
          </w:p>
        </w:tc>
        <w:tc>
          <w:tcPr>
            <w:tcW w:w="172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Earned Units as a</w:t>
            </w:r>
          </w:p>
        </w:tc>
      </w:tr>
      <w:tr>
        <w:trPr>
          <w:trHeight w:val="244"/>
        </w:trPr>
        <w:tc>
          <w:tcPr>
            <w:tcW w:w="3640" w:type="dxa"/>
            <w:vAlign w:val="bottom"/>
            <w:shd w:val="clear" w:color="auto" w:fill="4834BA"/>
          </w:tcPr>
          <w:p>
            <w:pPr>
              <w:ind w:left="80"/>
              <w:spacing w:after="0"/>
              <w:rPr>
                <w:sz w:val="20"/>
                <w:szCs w:val="20"/>
                <w:color w:val="auto"/>
              </w:rPr>
            </w:pPr>
            <w:r>
              <w:rPr>
                <w:rFonts w:ascii="Arial" w:cs="Arial" w:eastAsia="Arial" w:hAnsi="Arial"/>
                <w:sz w:val="16"/>
                <w:szCs w:val="16"/>
                <w:b w:val="1"/>
                <w:bCs w:val="1"/>
                <w:color w:val="FFFFFF"/>
              </w:rPr>
              <w:t>Performance Level</w:t>
            </w:r>
          </w:p>
        </w:tc>
        <w:tc>
          <w:tcPr>
            <w:tcW w:w="4040" w:type="dxa"/>
            <w:vAlign w:val="bottom"/>
            <w:shd w:val="clear" w:color="auto" w:fill="4834BA"/>
          </w:tcPr>
          <w:p>
            <w:pPr>
              <w:ind w:left="2480"/>
              <w:spacing w:after="0"/>
              <w:rPr>
                <w:sz w:val="20"/>
                <w:szCs w:val="20"/>
                <w:color w:val="auto"/>
              </w:rPr>
            </w:pPr>
            <w:r>
              <w:rPr>
                <w:rFonts w:ascii="Arial" w:cs="Arial" w:eastAsia="Arial" w:hAnsi="Arial"/>
                <w:sz w:val="16"/>
                <w:szCs w:val="16"/>
                <w:b w:val="1"/>
                <w:bCs w:val="1"/>
                <w:color w:val="FFFFFF"/>
              </w:rPr>
              <w:t>2025 Peer Group</w:t>
            </w:r>
          </w:p>
        </w:tc>
        <w:tc>
          <w:tcPr>
            <w:tcW w:w="172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 of Target</w:t>
            </w:r>
          </w:p>
        </w:tc>
      </w:tr>
      <w:tr>
        <w:trPr>
          <w:trHeight w:val="270"/>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Below Threshold</w:t>
            </w:r>
          </w:p>
        </w:tc>
        <w:tc>
          <w:tcPr>
            <w:tcW w:w="4040" w:type="dxa"/>
            <w:vAlign w:val="bottom"/>
            <w:tcBorders>
              <w:bottom w:val="single" w:sz="8" w:color="auto"/>
            </w:tcBorders>
          </w:tcPr>
          <w:p>
            <w:pPr>
              <w:jc w:val="center"/>
              <w:ind w:left="1759"/>
              <w:spacing w:after="0"/>
              <w:rPr>
                <w:sz w:val="20"/>
                <w:szCs w:val="20"/>
                <w:color w:val="auto"/>
              </w:rPr>
            </w:pPr>
            <w:r>
              <w:rPr>
                <w:rFonts w:ascii="Arial" w:cs="Arial" w:eastAsia="Arial" w:hAnsi="Arial"/>
                <w:sz w:val="16"/>
                <w:szCs w:val="16"/>
                <w:color w:val="auto"/>
                <w:w w:val="98"/>
              </w:rPr>
              <w:t>Below 25</w:t>
            </w:r>
            <w:r>
              <w:rPr>
                <w:rFonts w:ascii="Arial" w:cs="Arial" w:eastAsia="Arial" w:hAnsi="Arial"/>
                <w:sz w:val="19"/>
                <w:szCs w:val="19"/>
                <w:color w:val="auto"/>
                <w:w w:val="98"/>
                <w:vertAlign w:val="superscript"/>
              </w:rPr>
              <w:t>th</w:t>
            </w:r>
            <w:r>
              <w:rPr>
                <w:rFonts w:ascii="Arial" w:cs="Arial" w:eastAsia="Arial" w:hAnsi="Arial"/>
                <w:sz w:val="16"/>
                <w:szCs w:val="16"/>
                <w:color w:val="auto"/>
                <w:w w:val="98"/>
              </w:rPr>
              <w:t xml:space="preserve"> percentile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63"/>
        </w:trPr>
        <w:tc>
          <w:tcPr>
            <w:tcW w:w="36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Threshold</w:t>
            </w:r>
          </w:p>
        </w:tc>
        <w:tc>
          <w:tcPr>
            <w:tcW w:w="4040" w:type="dxa"/>
            <w:vAlign w:val="bottom"/>
            <w:tcBorders>
              <w:bottom w:val="single" w:sz="8" w:color="auto"/>
            </w:tcBorders>
            <w:shd w:val="clear" w:color="auto" w:fill="E5E5E5"/>
          </w:tcPr>
          <w:p>
            <w:pPr>
              <w:jc w:val="center"/>
              <w:ind w:left="1759"/>
              <w:spacing w:after="0"/>
              <w:rPr>
                <w:sz w:val="20"/>
                <w:szCs w:val="20"/>
                <w:color w:val="auto"/>
              </w:rPr>
            </w:pPr>
            <w:r>
              <w:rPr>
                <w:rFonts w:ascii="Arial" w:cs="Arial" w:eastAsia="Arial" w:hAnsi="Arial"/>
                <w:sz w:val="16"/>
                <w:szCs w:val="16"/>
                <w:color w:val="auto"/>
                <w:w w:val="97"/>
              </w:rPr>
              <w:t>25</w:t>
            </w:r>
            <w:r>
              <w:rPr>
                <w:rFonts w:ascii="Arial" w:cs="Arial" w:eastAsia="Arial" w:hAnsi="Arial"/>
                <w:sz w:val="19"/>
                <w:szCs w:val="19"/>
                <w:color w:val="auto"/>
                <w:w w:val="97"/>
                <w:vertAlign w:val="superscript"/>
              </w:rPr>
              <w:t>th</w:t>
            </w:r>
            <w:r>
              <w:rPr>
                <w:rFonts w:ascii="Arial" w:cs="Arial" w:eastAsia="Arial" w:hAnsi="Arial"/>
                <w:sz w:val="16"/>
                <w:szCs w:val="16"/>
                <w:color w:val="auto"/>
                <w:w w:val="97"/>
              </w:rPr>
              <w:t xml:space="preserve"> percentile</w:t>
            </w:r>
          </w:p>
        </w:tc>
        <w:tc>
          <w:tcPr>
            <w:tcW w:w="1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25%</w:t>
            </w:r>
          </w:p>
        </w:tc>
      </w:tr>
      <w:tr>
        <w:trPr>
          <w:trHeight w:val="263"/>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Target</w:t>
            </w:r>
          </w:p>
        </w:tc>
        <w:tc>
          <w:tcPr>
            <w:tcW w:w="4040" w:type="dxa"/>
            <w:vAlign w:val="bottom"/>
            <w:tcBorders>
              <w:bottom w:val="single" w:sz="8" w:color="auto"/>
            </w:tcBorders>
          </w:tcPr>
          <w:p>
            <w:pPr>
              <w:jc w:val="center"/>
              <w:ind w:left="1759"/>
              <w:spacing w:after="0"/>
              <w:rPr>
                <w:sz w:val="20"/>
                <w:szCs w:val="20"/>
                <w:color w:val="auto"/>
              </w:rPr>
            </w:pPr>
            <w:r>
              <w:rPr>
                <w:rFonts w:ascii="Arial" w:cs="Arial" w:eastAsia="Arial" w:hAnsi="Arial"/>
                <w:sz w:val="16"/>
                <w:szCs w:val="16"/>
                <w:color w:val="auto"/>
                <w:w w:val="97"/>
              </w:rPr>
              <w:t>50</w:t>
            </w:r>
            <w:r>
              <w:rPr>
                <w:rFonts w:ascii="Arial" w:cs="Arial" w:eastAsia="Arial" w:hAnsi="Arial"/>
                <w:sz w:val="19"/>
                <w:szCs w:val="19"/>
                <w:color w:val="auto"/>
                <w:w w:val="97"/>
                <w:vertAlign w:val="superscript"/>
              </w:rPr>
              <w:t>th</w:t>
            </w:r>
            <w:r>
              <w:rPr>
                <w:rFonts w:ascii="Arial" w:cs="Arial" w:eastAsia="Arial" w:hAnsi="Arial"/>
                <w:sz w:val="16"/>
                <w:szCs w:val="16"/>
                <w:color w:val="auto"/>
                <w:w w:val="97"/>
              </w:rPr>
              <w:t xml:space="preserve"> percentile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63"/>
        </w:trPr>
        <w:tc>
          <w:tcPr>
            <w:tcW w:w="36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Maximum</w:t>
            </w:r>
          </w:p>
        </w:tc>
        <w:tc>
          <w:tcPr>
            <w:tcW w:w="4040" w:type="dxa"/>
            <w:vAlign w:val="bottom"/>
            <w:tcBorders>
              <w:bottom w:val="single" w:sz="8" w:color="auto"/>
            </w:tcBorders>
            <w:shd w:val="clear" w:color="auto" w:fill="E5E5E5"/>
          </w:tcPr>
          <w:p>
            <w:pPr>
              <w:jc w:val="center"/>
              <w:ind w:left="1759"/>
              <w:spacing w:after="0"/>
              <w:rPr>
                <w:sz w:val="20"/>
                <w:szCs w:val="20"/>
                <w:color w:val="auto"/>
              </w:rPr>
            </w:pPr>
            <w:r>
              <w:rPr>
                <w:rFonts w:ascii="Arial" w:cs="Arial" w:eastAsia="Arial" w:hAnsi="Arial"/>
                <w:sz w:val="16"/>
                <w:szCs w:val="16"/>
                <w:color w:val="auto"/>
                <w:w w:val="97"/>
              </w:rPr>
              <w:t>75</w:t>
            </w:r>
            <w:r>
              <w:rPr>
                <w:rFonts w:ascii="Arial" w:cs="Arial" w:eastAsia="Arial" w:hAnsi="Arial"/>
                <w:sz w:val="19"/>
                <w:szCs w:val="19"/>
                <w:color w:val="auto"/>
                <w:w w:val="97"/>
                <w:vertAlign w:val="superscript"/>
              </w:rPr>
              <w:t>th</w:t>
            </w:r>
            <w:r>
              <w:rPr>
                <w:rFonts w:ascii="Arial" w:cs="Arial" w:eastAsia="Arial" w:hAnsi="Arial"/>
                <w:sz w:val="16"/>
                <w:szCs w:val="16"/>
                <w:color w:val="auto"/>
                <w:w w:val="97"/>
              </w:rPr>
              <w:t xml:space="preserve"> percentile</w:t>
            </w:r>
          </w:p>
        </w:tc>
        <w:tc>
          <w:tcPr>
            <w:tcW w:w="1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200%</w:t>
            </w:r>
          </w:p>
        </w:tc>
      </w:tr>
      <w:tr>
        <w:trPr>
          <w:trHeight w:val="268"/>
        </w:trPr>
        <w:tc>
          <w:tcPr>
            <w:tcW w:w="3640" w:type="dxa"/>
            <w:vAlign w:val="bottom"/>
          </w:tcPr>
          <w:p>
            <w:pPr>
              <w:ind w:left="80"/>
              <w:spacing w:after="0"/>
              <w:rPr>
                <w:sz w:val="20"/>
                <w:szCs w:val="20"/>
                <w:color w:val="auto"/>
              </w:rPr>
            </w:pPr>
            <w:r>
              <w:rPr>
                <w:rFonts w:ascii="Arial" w:cs="Arial" w:eastAsia="Arial" w:hAnsi="Arial"/>
                <w:sz w:val="16"/>
                <w:szCs w:val="16"/>
                <w:color w:val="auto"/>
              </w:rPr>
              <w:t>Above Maximum</w:t>
            </w:r>
          </w:p>
        </w:tc>
        <w:tc>
          <w:tcPr>
            <w:tcW w:w="4040" w:type="dxa"/>
            <w:vAlign w:val="bottom"/>
          </w:tcPr>
          <w:p>
            <w:pPr>
              <w:jc w:val="center"/>
              <w:ind w:left="1759"/>
              <w:spacing w:after="0"/>
              <w:rPr>
                <w:sz w:val="20"/>
                <w:szCs w:val="20"/>
                <w:color w:val="auto"/>
              </w:rPr>
            </w:pPr>
            <w:r>
              <w:rPr>
                <w:rFonts w:ascii="Arial" w:cs="Arial" w:eastAsia="Arial" w:hAnsi="Arial"/>
                <w:sz w:val="16"/>
                <w:szCs w:val="16"/>
                <w:color w:val="auto"/>
                <w:w w:val="97"/>
              </w:rPr>
              <w:t>Above 75</w:t>
            </w:r>
            <w:r>
              <w:rPr>
                <w:rFonts w:ascii="Arial" w:cs="Arial" w:eastAsia="Arial" w:hAnsi="Arial"/>
                <w:sz w:val="19"/>
                <w:szCs w:val="19"/>
                <w:color w:val="auto"/>
                <w:w w:val="97"/>
                <w:vertAlign w:val="superscript"/>
              </w:rPr>
              <w:t>th</w:t>
            </w:r>
            <w:r>
              <w:rPr>
                <w:rFonts w:ascii="Arial" w:cs="Arial" w:eastAsia="Arial" w:hAnsi="Arial"/>
                <w:sz w:val="16"/>
                <w:szCs w:val="16"/>
                <w:color w:val="auto"/>
                <w:w w:val="97"/>
              </w:rPr>
              <w:t xml:space="preserve"> percentile</w:t>
            </w:r>
          </w:p>
        </w:tc>
        <w:tc>
          <w:tcPr>
            <w:tcW w:w="17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3"/>
        </w:trPr>
        <w:tc>
          <w:tcPr>
            <w:tcW w:w="364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580" w:type="dxa"/>
            <w:vAlign w:val="bottom"/>
            <w:shd w:val="clear" w:color="auto" w:fill="4834BA"/>
          </w:tcPr>
          <w:p>
            <w:pPr>
              <w:spacing w:after="0"/>
              <w:rPr>
                <w:sz w:val="19"/>
                <w:szCs w:val="19"/>
                <w:color w:val="auto"/>
              </w:rPr>
            </w:pPr>
          </w:p>
        </w:tc>
        <w:tc>
          <w:tcPr>
            <w:tcW w:w="4260" w:type="dxa"/>
            <w:vAlign w:val="bottom"/>
            <w:shd w:val="clear" w:color="auto" w:fill="4834BA"/>
          </w:tcPr>
          <w:p>
            <w:pPr>
              <w:spacing w:after="0"/>
              <w:rPr>
                <w:sz w:val="19"/>
                <w:szCs w:val="19"/>
                <w:color w:val="auto"/>
              </w:rPr>
            </w:pPr>
          </w:p>
        </w:tc>
        <w:tc>
          <w:tcPr>
            <w:tcW w:w="156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Earned Units as a</w:t>
            </w:r>
          </w:p>
        </w:tc>
      </w:tr>
      <w:tr>
        <w:trPr>
          <w:trHeight w:val="244"/>
        </w:trPr>
        <w:tc>
          <w:tcPr>
            <w:tcW w:w="3580" w:type="dxa"/>
            <w:vAlign w:val="bottom"/>
            <w:shd w:val="clear" w:color="auto" w:fill="4834BA"/>
          </w:tcPr>
          <w:p>
            <w:pPr>
              <w:ind w:left="80"/>
              <w:spacing w:after="0"/>
              <w:rPr>
                <w:sz w:val="20"/>
                <w:szCs w:val="20"/>
                <w:color w:val="auto"/>
              </w:rPr>
            </w:pPr>
            <w:r>
              <w:rPr>
                <w:rFonts w:ascii="Arial" w:cs="Arial" w:eastAsia="Arial" w:hAnsi="Arial"/>
                <w:sz w:val="16"/>
                <w:szCs w:val="16"/>
                <w:b w:val="1"/>
                <w:bCs w:val="1"/>
                <w:color w:val="FFFFFF"/>
              </w:rPr>
              <w:t>Performance Level</w:t>
            </w:r>
          </w:p>
        </w:tc>
        <w:tc>
          <w:tcPr>
            <w:tcW w:w="4260" w:type="dxa"/>
            <w:vAlign w:val="bottom"/>
            <w:shd w:val="clear" w:color="auto" w:fill="4834BA"/>
          </w:tcPr>
          <w:p>
            <w:pPr>
              <w:jc w:val="center"/>
              <w:ind w:left="1879"/>
              <w:spacing w:after="0"/>
              <w:rPr>
                <w:sz w:val="20"/>
                <w:szCs w:val="20"/>
                <w:color w:val="auto"/>
              </w:rPr>
            </w:pPr>
            <w:r>
              <w:rPr>
                <w:rFonts w:ascii="Arial" w:cs="Arial" w:eastAsia="Arial" w:hAnsi="Arial"/>
                <w:sz w:val="16"/>
                <w:szCs w:val="16"/>
                <w:b w:val="1"/>
                <w:bCs w:val="1"/>
                <w:color w:val="FFFFFF"/>
                <w:w w:val="94"/>
              </w:rPr>
              <w:t>Stock Price</w:t>
            </w:r>
          </w:p>
        </w:tc>
        <w:tc>
          <w:tcPr>
            <w:tcW w:w="156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 of Target</w:t>
            </w:r>
          </w:p>
        </w:tc>
      </w:tr>
      <w:tr>
        <w:trPr>
          <w:trHeight w:val="228"/>
        </w:trPr>
        <w:tc>
          <w:tcPr>
            <w:tcW w:w="3580" w:type="dxa"/>
            <w:vAlign w:val="bottom"/>
          </w:tcPr>
          <w:p>
            <w:pPr>
              <w:ind w:left="80"/>
              <w:spacing w:after="0"/>
              <w:rPr>
                <w:sz w:val="20"/>
                <w:szCs w:val="20"/>
                <w:color w:val="auto"/>
              </w:rPr>
            </w:pPr>
            <w:r>
              <w:rPr>
                <w:rFonts w:ascii="Arial" w:cs="Arial" w:eastAsia="Arial" w:hAnsi="Arial"/>
                <w:sz w:val="16"/>
                <w:szCs w:val="16"/>
                <w:color w:val="auto"/>
              </w:rPr>
              <w:t>Below Threshold</w:t>
            </w:r>
          </w:p>
        </w:tc>
        <w:tc>
          <w:tcPr>
            <w:tcW w:w="4260" w:type="dxa"/>
            <w:vAlign w:val="bottom"/>
          </w:tcPr>
          <w:p>
            <w:pPr>
              <w:jc w:val="center"/>
              <w:ind w:left="1879"/>
              <w:spacing w:after="0"/>
              <w:rPr>
                <w:sz w:val="20"/>
                <w:szCs w:val="20"/>
                <w:color w:val="auto"/>
              </w:rPr>
            </w:pPr>
            <w:r>
              <w:rPr>
                <w:rFonts w:ascii="Arial" w:cs="Arial" w:eastAsia="Arial" w:hAnsi="Arial"/>
                <w:sz w:val="16"/>
                <w:szCs w:val="16"/>
                <w:color w:val="auto"/>
              </w:rPr>
              <w:t>Below $27.78</w:t>
            </w:r>
          </w:p>
        </w:tc>
        <w:tc>
          <w:tcPr>
            <w:tcW w:w="15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9"/>
        </w:trPr>
        <w:tc>
          <w:tcPr>
            <w:tcW w:w="35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5"/>
        </w:trPr>
        <w:tc>
          <w:tcPr>
            <w:tcW w:w="35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Threshold</w:t>
            </w:r>
          </w:p>
        </w:tc>
        <w:tc>
          <w:tcPr>
            <w:tcW w:w="4260" w:type="dxa"/>
            <w:vAlign w:val="bottom"/>
            <w:tcBorders>
              <w:bottom w:val="single" w:sz="8" w:color="E5E5E5"/>
            </w:tcBorders>
            <w:shd w:val="clear" w:color="auto" w:fill="E5E5E5"/>
          </w:tcPr>
          <w:p>
            <w:pPr>
              <w:jc w:val="center"/>
              <w:ind w:left="1879"/>
              <w:spacing w:after="0"/>
              <w:rPr>
                <w:sz w:val="20"/>
                <w:szCs w:val="20"/>
                <w:color w:val="auto"/>
              </w:rPr>
            </w:pPr>
            <w:r>
              <w:rPr>
                <w:rFonts w:ascii="Arial" w:cs="Arial" w:eastAsia="Arial" w:hAnsi="Arial"/>
                <w:sz w:val="16"/>
                <w:szCs w:val="16"/>
                <w:color w:val="auto"/>
              </w:rPr>
              <w:t>$32.16 (5% CAGR)</w:t>
            </w:r>
          </w:p>
        </w:tc>
        <w:tc>
          <w:tcPr>
            <w:tcW w:w="15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25%</w:t>
            </w:r>
          </w:p>
        </w:tc>
      </w:tr>
      <w:tr>
        <w:trPr>
          <w:trHeight w:val="221"/>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Target</w:t>
            </w:r>
          </w:p>
        </w:tc>
        <w:tc>
          <w:tcPr>
            <w:tcW w:w="4260" w:type="dxa"/>
            <w:vAlign w:val="bottom"/>
            <w:tcBorders>
              <w:top w:val="single" w:sz="8" w:color="auto"/>
            </w:tcBorders>
          </w:tcPr>
          <w:p>
            <w:pPr>
              <w:jc w:val="center"/>
              <w:ind w:left="1879"/>
              <w:spacing w:after="0"/>
              <w:rPr>
                <w:sz w:val="20"/>
                <w:szCs w:val="20"/>
                <w:color w:val="auto"/>
              </w:rPr>
            </w:pPr>
            <w:r>
              <w:rPr>
                <w:rFonts w:ascii="Arial" w:cs="Arial" w:eastAsia="Arial" w:hAnsi="Arial"/>
                <w:sz w:val="16"/>
                <w:szCs w:val="16"/>
                <w:color w:val="auto"/>
                <w:w w:val="99"/>
              </w:rPr>
              <w:t>$36.98 (10% CAGR)</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9"/>
        </w:trPr>
        <w:tc>
          <w:tcPr>
            <w:tcW w:w="35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5"/>
        </w:trPr>
        <w:tc>
          <w:tcPr>
            <w:tcW w:w="35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Maximum</w:t>
            </w:r>
          </w:p>
        </w:tc>
        <w:tc>
          <w:tcPr>
            <w:tcW w:w="4260" w:type="dxa"/>
            <w:vAlign w:val="bottom"/>
            <w:tcBorders>
              <w:bottom w:val="single" w:sz="8" w:color="E5E5E5"/>
            </w:tcBorders>
            <w:shd w:val="clear" w:color="auto" w:fill="E5E5E5"/>
          </w:tcPr>
          <w:p>
            <w:pPr>
              <w:jc w:val="center"/>
              <w:ind w:left="1879"/>
              <w:spacing w:after="0"/>
              <w:rPr>
                <w:sz w:val="20"/>
                <w:szCs w:val="20"/>
                <w:color w:val="auto"/>
              </w:rPr>
            </w:pPr>
            <w:r>
              <w:rPr>
                <w:rFonts w:ascii="Arial" w:cs="Arial" w:eastAsia="Arial" w:hAnsi="Arial"/>
                <w:sz w:val="16"/>
                <w:szCs w:val="16"/>
                <w:color w:val="auto"/>
                <w:w w:val="99"/>
              </w:rPr>
              <w:t>$48.01 (20% CAGR)</w:t>
            </w:r>
          </w:p>
        </w:tc>
        <w:tc>
          <w:tcPr>
            <w:tcW w:w="15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200%</w:t>
            </w:r>
          </w:p>
        </w:tc>
      </w:tr>
      <w:tr>
        <w:trPr>
          <w:trHeight w:val="221"/>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Above Maximum</w:t>
            </w:r>
          </w:p>
        </w:tc>
        <w:tc>
          <w:tcPr>
            <w:tcW w:w="4260" w:type="dxa"/>
            <w:vAlign w:val="bottom"/>
            <w:tcBorders>
              <w:top w:val="single" w:sz="8" w:color="auto"/>
            </w:tcBorders>
          </w:tcPr>
          <w:p>
            <w:pPr>
              <w:jc w:val="center"/>
              <w:ind w:left="1879"/>
              <w:spacing w:after="0"/>
              <w:rPr>
                <w:sz w:val="20"/>
                <w:szCs w:val="20"/>
                <w:color w:val="auto"/>
              </w:rPr>
            </w:pPr>
            <w:r>
              <w:rPr>
                <w:rFonts w:ascii="Arial" w:cs="Arial" w:eastAsia="Arial" w:hAnsi="Arial"/>
                <w:sz w:val="16"/>
                <w:szCs w:val="16"/>
                <w:color w:val="auto"/>
              </w:rPr>
              <w:t>Above $48.01 (20% CAGR)</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56"/>
        </w:trPr>
        <w:tc>
          <w:tcPr>
            <w:tcW w:w="358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107" w:lineRule="exact"/>
        <w:rPr>
          <w:sz w:val="20"/>
          <w:szCs w:val="20"/>
          <w:color w:val="auto"/>
        </w:rPr>
      </w:pPr>
    </w:p>
    <w:p>
      <w:pPr>
        <w:ind w:left="660" w:right="60"/>
        <w:spacing w:after="0" w:line="254" w:lineRule="auto"/>
        <w:rPr>
          <w:sz w:val="20"/>
          <w:szCs w:val="20"/>
          <w:color w:val="auto"/>
        </w:rPr>
      </w:pPr>
      <w:r>
        <w:rPr>
          <w:rFonts w:ascii="Arial" w:cs="Arial" w:eastAsia="Arial" w:hAnsi="Arial"/>
          <w:sz w:val="16"/>
          <w:szCs w:val="16"/>
          <w:color w:val="auto"/>
        </w:rPr>
        <w:t>In establishing the appropriate level of equity to our executive officers, the compensation committee considered the market information provided by Aon as well as the Company’s 2025 financial outlook, opportunities, and Company performance. The goal is to provide an adequate equity incentive to motivate our critical leadership while aligning management’s interests with stockholders’ interests and expectations. In light of these considerations, the compensation committee made meaningful increases in equity awards to our NEOs in 2025 as compared to 2024. In February 2025, the compensation committee approved the amounts for awards of RSUs to be granted to the NEOs pursuant to this approach as follows:</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242"/>
        </w:trPr>
        <w:tc>
          <w:tcPr>
            <w:tcW w:w="2980" w:type="dxa"/>
            <w:vAlign w:val="bottom"/>
            <w:shd w:val="clear" w:color="auto" w:fill="4834BA"/>
          </w:tcPr>
          <w:p>
            <w:pPr>
              <w:spacing w:after="0"/>
              <w:rPr>
                <w:sz w:val="21"/>
                <w:szCs w:val="21"/>
                <w:color w:val="auto"/>
              </w:rPr>
            </w:pPr>
          </w:p>
        </w:tc>
        <w:tc>
          <w:tcPr>
            <w:tcW w:w="2700" w:type="dxa"/>
            <w:vAlign w:val="bottom"/>
            <w:vMerge w:val="restart"/>
            <w:shd w:val="clear" w:color="auto" w:fill="4834BA"/>
          </w:tcPr>
          <w:p>
            <w:pPr>
              <w:jc w:val="right"/>
              <w:ind w:right="119"/>
              <w:spacing w:after="0"/>
              <w:rPr>
                <w:sz w:val="20"/>
                <w:szCs w:val="20"/>
                <w:color w:val="auto"/>
              </w:rPr>
            </w:pPr>
            <w:r>
              <w:rPr>
                <w:rFonts w:ascii="Arial" w:cs="Arial" w:eastAsia="Arial" w:hAnsi="Arial"/>
                <w:sz w:val="16"/>
                <w:szCs w:val="16"/>
                <w:b w:val="1"/>
                <w:bCs w:val="1"/>
                <w:color w:val="FFFFFF"/>
              </w:rPr>
              <w:t>Time-Vesting</w:t>
            </w:r>
          </w:p>
        </w:tc>
        <w:tc>
          <w:tcPr>
            <w:tcW w:w="2040" w:type="dxa"/>
            <w:vAlign w:val="bottom"/>
            <w:shd w:val="clear" w:color="auto" w:fill="4834BA"/>
          </w:tcPr>
          <w:p>
            <w:pPr>
              <w:jc w:val="right"/>
              <w:ind w:right="139"/>
              <w:spacing w:after="0"/>
              <w:rPr>
                <w:sz w:val="20"/>
                <w:szCs w:val="20"/>
                <w:color w:val="auto"/>
              </w:rPr>
            </w:pPr>
            <w:r>
              <w:rPr>
                <w:rFonts w:ascii="Arial" w:cs="Arial" w:eastAsia="Arial" w:hAnsi="Arial"/>
                <w:sz w:val="16"/>
                <w:szCs w:val="16"/>
                <w:b w:val="1"/>
                <w:bCs w:val="1"/>
                <w:color w:val="FFFFFF"/>
              </w:rPr>
              <w:t>Target Amount</w:t>
            </w:r>
          </w:p>
        </w:tc>
        <w:tc>
          <w:tcPr>
            <w:tcW w:w="1680" w:type="dxa"/>
            <w:vAlign w:val="bottom"/>
            <w:vMerge w:val="restart"/>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Total Value at</w:t>
            </w:r>
          </w:p>
        </w:tc>
        <w:tc>
          <w:tcPr>
            <w:tcW w:w="0" w:type="dxa"/>
            <w:vAlign w:val="bottom"/>
          </w:tcPr>
          <w:p>
            <w:pPr>
              <w:spacing w:after="0"/>
              <w:rPr>
                <w:sz w:val="1"/>
                <w:szCs w:val="1"/>
                <w:color w:val="auto"/>
              </w:rPr>
            </w:pPr>
          </w:p>
        </w:tc>
      </w:tr>
      <w:tr>
        <w:trPr>
          <w:trHeight w:val="175"/>
        </w:trPr>
        <w:tc>
          <w:tcPr>
            <w:tcW w:w="2980" w:type="dxa"/>
            <w:vAlign w:val="bottom"/>
            <w:vMerge w:val="restart"/>
            <w:shd w:val="clear" w:color="auto" w:fill="4834BA"/>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2700" w:type="dxa"/>
            <w:vAlign w:val="bottom"/>
            <w:vMerge w:val="continue"/>
            <w:shd w:val="clear" w:color="auto" w:fill="4834BA"/>
          </w:tcPr>
          <w:p>
            <w:pPr>
              <w:spacing w:after="0"/>
              <w:rPr>
                <w:sz w:val="15"/>
                <w:szCs w:val="15"/>
                <w:color w:val="auto"/>
              </w:rPr>
            </w:pPr>
          </w:p>
        </w:tc>
        <w:tc>
          <w:tcPr>
            <w:tcW w:w="2040" w:type="dxa"/>
            <w:vAlign w:val="bottom"/>
            <w:shd w:val="clear" w:color="auto" w:fill="4834BA"/>
          </w:tcPr>
          <w:p>
            <w:pPr>
              <w:jc w:val="right"/>
              <w:ind w:right="139"/>
              <w:spacing w:after="0" w:line="175" w:lineRule="exact"/>
              <w:rPr>
                <w:sz w:val="20"/>
                <w:szCs w:val="20"/>
                <w:color w:val="auto"/>
              </w:rPr>
            </w:pPr>
            <w:r>
              <w:rPr>
                <w:rFonts w:ascii="Arial" w:cs="Arial" w:eastAsia="Arial" w:hAnsi="Arial"/>
                <w:sz w:val="16"/>
                <w:szCs w:val="16"/>
                <w:b w:val="1"/>
                <w:bCs w:val="1"/>
                <w:color w:val="FFFFFF"/>
              </w:rPr>
              <w:t>Performance-Vesting</w:t>
            </w:r>
          </w:p>
        </w:tc>
        <w:tc>
          <w:tcPr>
            <w:tcW w:w="1680" w:type="dxa"/>
            <w:vAlign w:val="bottom"/>
            <w:vMerge w:val="continue"/>
            <w:shd w:val="clear" w:color="auto" w:fill="4834BA"/>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80" w:type="dxa"/>
            <w:vAlign w:val="bottom"/>
            <w:vMerge w:val="continue"/>
            <w:shd w:val="clear" w:color="auto" w:fill="4834BA"/>
          </w:tcPr>
          <w:p>
            <w:pPr>
              <w:spacing w:after="0"/>
              <w:rPr>
                <w:sz w:val="20"/>
                <w:szCs w:val="20"/>
                <w:color w:val="auto"/>
              </w:rPr>
            </w:pPr>
          </w:p>
        </w:tc>
        <w:tc>
          <w:tcPr>
            <w:tcW w:w="270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Restricted Stock Units*</w:t>
            </w:r>
          </w:p>
        </w:tc>
        <w:tc>
          <w:tcPr>
            <w:tcW w:w="2040" w:type="dxa"/>
            <w:vAlign w:val="bottom"/>
            <w:shd w:val="clear" w:color="auto" w:fill="4834BA"/>
          </w:tcPr>
          <w:p>
            <w:pPr>
              <w:jc w:val="right"/>
              <w:ind w:right="99"/>
              <w:spacing w:after="0"/>
              <w:rPr>
                <w:sz w:val="20"/>
                <w:szCs w:val="20"/>
                <w:color w:val="auto"/>
              </w:rPr>
            </w:pPr>
            <w:r>
              <w:rPr>
                <w:rFonts w:ascii="Arial" w:cs="Arial" w:eastAsia="Arial" w:hAnsi="Arial"/>
                <w:sz w:val="16"/>
                <w:szCs w:val="16"/>
                <w:b w:val="1"/>
                <w:bCs w:val="1"/>
                <w:color w:val="FFFFFF"/>
              </w:rPr>
              <w:t>Restricted Stock Units*</w:t>
            </w:r>
          </w:p>
        </w:tc>
        <w:tc>
          <w:tcPr>
            <w:tcW w:w="168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Target Performance</w:t>
            </w:r>
          </w:p>
        </w:tc>
        <w:tc>
          <w:tcPr>
            <w:tcW w:w="0" w:type="dxa"/>
            <w:vAlign w:val="bottom"/>
          </w:tcPr>
          <w:p>
            <w:pPr>
              <w:spacing w:after="0"/>
              <w:rPr>
                <w:sz w:val="1"/>
                <w:szCs w:val="1"/>
                <w:color w:val="auto"/>
              </w:rPr>
            </w:pPr>
          </w:p>
        </w:tc>
      </w:tr>
      <w:tr>
        <w:trPr>
          <w:trHeight w:val="228"/>
        </w:trPr>
        <w:tc>
          <w:tcPr>
            <w:tcW w:w="2980" w:type="dxa"/>
            <w:vAlign w:val="bottom"/>
          </w:tcPr>
          <w:p>
            <w:pPr>
              <w:ind w:left="80"/>
              <w:spacing w:after="0"/>
              <w:rPr>
                <w:sz w:val="20"/>
                <w:szCs w:val="20"/>
                <w:color w:val="auto"/>
              </w:rPr>
            </w:pPr>
            <w:r>
              <w:rPr>
                <w:rFonts w:ascii="Arial" w:cs="Arial" w:eastAsia="Arial" w:hAnsi="Arial"/>
                <w:sz w:val="16"/>
                <w:szCs w:val="16"/>
                <w:color w:val="auto"/>
              </w:rPr>
              <w:t>Chih-Hsiang (Thompson) Lin</w:t>
            </w:r>
          </w:p>
        </w:tc>
        <w:tc>
          <w:tcPr>
            <w:tcW w:w="2700" w:type="dxa"/>
            <w:vAlign w:val="bottom"/>
          </w:tcPr>
          <w:p>
            <w:pPr>
              <w:jc w:val="right"/>
              <w:ind w:right="99"/>
              <w:spacing w:after="0"/>
              <w:rPr>
                <w:sz w:val="20"/>
                <w:szCs w:val="20"/>
                <w:color w:val="auto"/>
              </w:rPr>
            </w:pPr>
            <w:r>
              <w:rPr>
                <w:rFonts w:ascii="Arial" w:cs="Arial" w:eastAsia="Arial" w:hAnsi="Arial"/>
                <w:sz w:val="16"/>
                <w:szCs w:val="16"/>
                <w:color w:val="auto"/>
              </w:rPr>
              <w:t>$2,850,000</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$2,850,000</w:t>
            </w:r>
          </w:p>
        </w:tc>
        <w:tc>
          <w:tcPr>
            <w:tcW w:w="1680" w:type="dxa"/>
            <w:vAlign w:val="bottom"/>
          </w:tcPr>
          <w:p>
            <w:pPr>
              <w:jc w:val="right"/>
              <w:spacing w:after="0"/>
              <w:rPr>
                <w:sz w:val="20"/>
                <w:szCs w:val="20"/>
                <w:color w:val="auto"/>
              </w:rPr>
            </w:pPr>
            <w:r>
              <w:rPr>
                <w:rFonts w:ascii="Arial" w:cs="Arial" w:eastAsia="Arial" w:hAnsi="Arial"/>
                <w:sz w:val="16"/>
                <w:szCs w:val="16"/>
                <w:color w:val="auto"/>
              </w:rPr>
              <w:t>$5,700,000</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Stefan J. Murry</w:t>
            </w:r>
          </w:p>
        </w:tc>
        <w:tc>
          <w:tcPr>
            <w:tcW w:w="270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$1,150,000</w:t>
            </w:r>
          </w:p>
        </w:tc>
        <w:tc>
          <w:tcPr>
            <w:tcW w:w="20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$1,150,000</w:t>
            </w:r>
          </w:p>
        </w:tc>
        <w:tc>
          <w:tcPr>
            <w:tcW w:w="1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$2,300,000</w:t>
            </w:r>
          </w:p>
        </w:tc>
        <w:tc>
          <w:tcPr>
            <w:tcW w:w="0" w:type="dxa"/>
            <w:vAlign w:val="bottom"/>
          </w:tcPr>
          <w:p>
            <w:pPr>
              <w:spacing w:after="0"/>
              <w:rPr>
                <w:sz w:val="1"/>
                <w:szCs w:val="1"/>
                <w:color w:val="auto"/>
              </w:rPr>
            </w:pPr>
          </w:p>
        </w:tc>
      </w:tr>
      <w:tr>
        <w:trPr>
          <w:trHeight w:val="221"/>
        </w:trPr>
        <w:tc>
          <w:tcPr>
            <w:tcW w:w="29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Hung-Lun (Fred) Chang</w:t>
            </w:r>
          </w:p>
        </w:tc>
        <w:tc>
          <w:tcPr>
            <w:tcW w:w="27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   900,000</w:t>
            </w:r>
          </w:p>
        </w:tc>
        <w:tc>
          <w:tcPr>
            <w:tcW w:w="2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   900,000</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$1,800,000</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Shu-Hua (Joshua) Yeh</w:t>
            </w:r>
          </w:p>
        </w:tc>
        <w:tc>
          <w:tcPr>
            <w:tcW w:w="270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   900,000</w:t>
            </w:r>
          </w:p>
        </w:tc>
        <w:tc>
          <w:tcPr>
            <w:tcW w:w="20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   900,000</w:t>
            </w:r>
          </w:p>
        </w:tc>
        <w:tc>
          <w:tcPr>
            <w:tcW w:w="1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$1,800,000</w:t>
            </w:r>
          </w:p>
        </w:tc>
        <w:tc>
          <w:tcPr>
            <w:tcW w:w="0" w:type="dxa"/>
            <w:vAlign w:val="bottom"/>
          </w:tcPr>
          <w:p>
            <w:pPr>
              <w:spacing w:after="0"/>
              <w:rPr>
                <w:sz w:val="1"/>
                <w:szCs w:val="1"/>
                <w:color w:val="auto"/>
              </w:rPr>
            </w:pPr>
          </w:p>
        </w:tc>
      </w:tr>
      <w:tr>
        <w:trPr>
          <w:trHeight w:val="221"/>
        </w:trPr>
        <w:tc>
          <w:tcPr>
            <w:tcW w:w="29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David C. Kuo</w:t>
            </w:r>
          </w:p>
        </w:tc>
        <w:tc>
          <w:tcPr>
            <w:tcW w:w="27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   600,000</w:t>
            </w:r>
          </w:p>
        </w:tc>
        <w:tc>
          <w:tcPr>
            <w:tcW w:w="2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   600,000</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35560</wp:posOffset>
            </wp:positionV>
            <wp:extent cx="59664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9" w:lineRule="exact"/>
        <w:rPr>
          <w:sz w:val="20"/>
          <w:szCs w:val="20"/>
          <w:color w:val="auto"/>
        </w:rPr>
      </w:pPr>
    </w:p>
    <w:p>
      <w:pPr>
        <w:ind w:left="1240" w:right="420" w:hanging="358"/>
        <w:spacing w:after="0" w:line="304"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Value was converted to number of units on the applicable grant date based on the average closing price for the prior 20 trading-days.</w:t>
      </w:r>
    </w:p>
    <w:p>
      <w:pPr>
        <w:spacing w:after="0" w:line="33" w:lineRule="exact"/>
        <w:rPr>
          <w:sz w:val="20"/>
          <w:szCs w:val="20"/>
          <w:color w:val="auto"/>
        </w:rPr>
      </w:pPr>
    </w:p>
    <w:p>
      <w:pPr>
        <w:jc w:val="both"/>
        <w:ind w:left="660" w:right="120"/>
        <w:spacing w:after="0" w:line="266" w:lineRule="auto"/>
        <w:rPr>
          <w:sz w:val="20"/>
          <w:szCs w:val="20"/>
          <w:color w:val="auto"/>
        </w:rPr>
      </w:pPr>
      <w:r>
        <w:rPr>
          <w:rFonts w:ascii="Arial" w:cs="Arial" w:eastAsia="Arial" w:hAnsi="Arial"/>
          <w:sz w:val="16"/>
          <w:szCs w:val="16"/>
          <w:color w:val="auto"/>
        </w:rPr>
        <w:t>The compensation committee granted these RSUs to the NEOs under the 2021 Amended and Restated Equity Incentive Plan (the “2021 Plan”). The number of shares and grant date fair values for these awards are disclosed in the “2025 Summary Compensation Table” and “2025 Grants of Plan-Based Awards” table below.</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Earned 2022-2025 Performance-Based Restricted Stock Units</w:t>
      </w:r>
    </w:p>
    <w:p>
      <w:pPr>
        <w:spacing w:after="0" w:line="113" w:lineRule="exact"/>
        <w:rPr>
          <w:sz w:val="20"/>
          <w:szCs w:val="20"/>
          <w:color w:val="auto"/>
        </w:rPr>
      </w:pPr>
    </w:p>
    <w:p>
      <w:pPr>
        <w:ind w:left="660" w:right="400"/>
        <w:spacing w:after="0" w:line="321" w:lineRule="auto"/>
        <w:rPr>
          <w:sz w:val="20"/>
          <w:szCs w:val="20"/>
          <w:color w:val="auto"/>
        </w:rPr>
      </w:pPr>
      <w:r>
        <w:rPr>
          <w:rFonts w:ascii="Arial" w:cs="Arial" w:eastAsia="Arial" w:hAnsi="Arial"/>
          <w:sz w:val="15"/>
          <w:szCs w:val="15"/>
          <w:color w:val="auto"/>
        </w:rPr>
        <w:t>In 2022, the compensation committee granted performance-vesting restricted stock units granted that vested 50% based on achievement of specified levels of relative total stockholder return, or relative TSR, and 50% based on achievement of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170180</wp:posOffset>
            </wp:positionV>
            <wp:extent cx="334010" cy="162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79" w:lineRule="exact"/>
        <w:rPr>
          <w:sz w:val="20"/>
          <w:szCs w:val="20"/>
          <w:color w:val="auto"/>
        </w:rPr>
      </w:pPr>
    </w:p>
    <w:p>
      <w:pPr>
        <w:jc w:val="right"/>
        <w:ind w:right="20"/>
        <w:spacing w:after="0"/>
        <w:tabs>
          <w:tab w:leader="none" w:pos="1400" w:val="left"/>
        </w:tabs>
        <w:rPr>
          <w:sz w:val="20"/>
          <w:szCs w:val="20"/>
          <w:color w:val="auto"/>
        </w:rPr>
      </w:pPr>
      <w:r>
        <w:rPr>
          <w:rFonts w:ascii="Arial" w:cs="Arial" w:eastAsia="Arial" w:hAnsi="Arial"/>
          <w:sz w:val="14"/>
          <w:szCs w:val="14"/>
          <w:color w:val="auto"/>
        </w:rPr>
        <w:t>»  36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5" w:lineRule="exact"/>
        <w:rPr>
          <w:sz w:val="20"/>
          <w:szCs w:val="20"/>
          <w:color w:val="auto"/>
        </w:rPr>
      </w:pPr>
    </w:p>
    <w:p>
      <w:pPr>
        <w:ind w:left="660" w:right="40"/>
        <w:spacing w:after="0" w:line="275" w:lineRule="auto"/>
        <w:rPr>
          <w:sz w:val="20"/>
          <w:szCs w:val="20"/>
          <w:color w:val="auto"/>
        </w:rPr>
      </w:pPr>
      <w:r>
        <w:rPr>
          <w:rFonts w:ascii="Arial" w:cs="Arial" w:eastAsia="Arial" w:hAnsi="Arial"/>
          <w:sz w:val="16"/>
          <w:szCs w:val="16"/>
          <w:color w:val="auto"/>
        </w:rPr>
        <w:t>stock price hurdle, for a three-year performance period ending April 29, 2025. The Company’s relative TSR for the period ended April 29, 2025 was at the 100th percentile, and the stock price for these purposes was $37.00, the combination of which translated to the maximum number of PSUs earned of 200% of target, as follows: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980" w:type="dxa"/>
            <w:vAlign w:val="bottom"/>
            <w:shd w:val="clear" w:color="auto" w:fill="4834BA"/>
          </w:tcPr>
          <w:p>
            <w:pPr>
              <w:spacing w:after="0"/>
              <w:rPr>
                <w:sz w:val="19"/>
                <w:szCs w:val="19"/>
                <w:color w:val="auto"/>
              </w:rPr>
            </w:pPr>
          </w:p>
        </w:tc>
        <w:tc>
          <w:tcPr>
            <w:tcW w:w="2880" w:type="dxa"/>
            <w:vAlign w:val="bottom"/>
            <w:shd w:val="clear" w:color="auto" w:fill="4834BA"/>
          </w:tcPr>
          <w:p>
            <w:pPr>
              <w:jc w:val="right"/>
              <w:ind w:right="119"/>
              <w:spacing w:after="0"/>
              <w:rPr>
                <w:sz w:val="20"/>
                <w:szCs w:val="20"/>
                <w:color w:val="auto"/>
              </w:rPr>
            </w:pPr>
            <w:r>
              <w:rPr>
                <w:rFonts w:ascii="Arial" w:cs="Arial" w:eastAsia="Arial" w:hAnsi="Arial"/>
                <w:sz w:val="16"/>
                <w:szCs w:val="16"/>
                <w:b w:val="1"/>
                <w:bCs w:val="1"/>
                <w:color w:val="FFFFFF"/>
              </w:rPr>
              <w:t>Target PSU</w:t>
            </w:r>
          </w:p>
        </w:tc>
        <w:tc>
          <w:tcPr>
            <w:tcW w:w="1340" w:type="dxa"/>
            <w:vAlign w:val="bottom"/>
            <w:shd w:val="clear" w:color="auto" w:fill="4834BA"/>
          </w:tcPr>
          <w:p>
            <w:pPr>
              <w:jc w:val="right"/>
              <w:ind w:right="119"/>
              <w:spacing w:after="0"/>
              <w:rPr>
                <w:sz w:val="20"/>
                <w:szCs w:val="20"/>
                <w:color w:val="auto"/>
              </w:rPr>
            </w:pPr>
            <w:r>
              <w:rPr>
                <w:rFonts w:ascii="Arial" w:cs="Arial" w:eastAsia="Arial" w:hAnsi="Arial"/>
                <w:sz w:val="16"/>
                <w:szCs w:val="16"/>
                <w:b w:val="1"/>
                <w:bCs w:val="1"/>
                <w:color w:val="FFFFFF"/>
              </w:rPr>
              <w:t>Achievement</w:t>
            </w:r>
          </w:p>
        </w:tc>
        <w:tc>
          <w:tcPr>
            <w:tcW w:w="120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Actual PSUs</w:t>
            </w:r>
          </w:p>
        </w:tc>
      </w:tr>
      <w:tr>
        <w:trPr>
          <w:trHeight w:val="244"/>
        </w:trPr>
        <w:tc>
          <w:tcPr>
            <w:tcW w:w="3980" w:type="dxa"/>
            <w:vAlign w:val="bottom"/>
            <w:shd w:val="clear" w:color="auto" w:fill="4834BA"/>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288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Opportunity</w:t>
            </w:r>
          </w:p>
        </w:tc>
        <w:tc>
          <w:tcPr>
            <w:tcW w:w="134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Percentage</w:t>
            </w:r>
          </w:p>
        </w:tc>
        <w:tc>
          <w:tcPr>
            <w:tcW w:w="120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Earned</w:t>
            </w:r>
          </w:p>
        </w:tc>
      </w:tr>
      <w:tr>
        <w:trPr>
          <w:trHeight w:val="227"/>
        </w:trPr>
        <w:tc>
          <w:tcPr>
            <w:tcW w:w="3980" w:type="dxa"/>
            <w:vAlign w:val="bottom"/>
          </w:tcPr>
          <w:p>
            <w:pPr>
              <w:ind w:left="80"/>
              <w:spacing w:after="0"/>
              <w:rPr>
                <w:sz w:val="20"/>
                <w:szCs w:val="20"/>
                <w:color w:val="auto"/>
              </w:rPr>
            </w:pPr>
            <w:r>
              <w:rPr>
                <w:rFonts w:ascii="Arial" w:cs="Arial" w:eastAsia="Arial" w:hAnsi="Arial"/>
                <w:sz w:val="16"/>
                <w:szCs w:val="16"/>
                <w:color w:val="auto"/>
              </w:rPr>
              <w:t>Chih-Hsiang (Thompson) Lin</w:t>
            </w:r>
          </w:p>
        </w:tc>
        <w:tc>
          <w:tcPr>
            <w:tcW w:w="2880" w:type="dxa"/>
            <w:vAlign w:val="bottom"/>
          </w:tcPr>
          <w:p>
            <w:pPr>
              <w:jc w:val="right"/>
              <w:ind w:right="79"/>
              <w:spacing w:after="0"/>
              <w:rPr>
                <w:sz w:val="20"/>
                <w:szCs w:val="20"/>
                <w:color w:val="auto"/>
              </w:rPr>
            </w:pPr>
            <w:r>
              <w:rPr>
                <w:rFonts w:ascii="Arial" w:cs="Arial" w:eastAsia="Arial" w:hAnsi="Arial"/>
                <w:sz w:val="16"/>
                <w:szCs w:val="16"/>
                <w:color w:val="auto"/>
              </w:rPr>
              <w:t>223,214</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200%</w:t>
            </w:r>
          </w:p>
        </w:tc>
        <w:tc>
          <w:tcPr>
            <w:tcW w:w="1200" w:type="dxa"/>
            <w:vAlign w:val="bottom"/>
          </w:tcPr>
          <w:p>
            <w:pPr>
              <w:jc w:val="right"/>
              <w:spacing w:after="0"/>
              <w:rPr>
                <w:sz w:val="20"/>
                <w:szCs w:val="20"/>
                <w:color w:val="auto"/>
              </w:rPr>
            </w:pPr>
            <w:r>
              <w:rPr>
                <w:rFonts w:ascii="Arial" w:cs="Arial" w:eastAsia="Arial" w:hAnsi="Arial"/>
                <w:sz w:val="16"/>
                <w:szCs w:val="16"/>
                <w:color w:val="auto"/>
              </w:rPr>
              <w:t>446,428</w:t>
            </w:r>
          </w:p>
        </w:tc>
      </w:tr>
      <w:tr>
        <w:trPr>
          <w:trHeight w:val="29"/>
        </w:trPr>
        <w:tc>
          <w:tcPr>
            <w:tcW w:w="39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39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Stefan J. Murry</w:t>
            </w:r>
          </w:p>
        </w:tc>
        <w:tc>
          <w:tcPr>
            <w:tcW w:w="288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78,125</w:t>
            </w:r>
          </w:p>
        </w:tc>
        <w:tc>
          <w:tcPr>
            <w:tcW w:w="134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200%</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156,250</w:t>
            </w:r>
          </w:p>
        </w:tc>
      </w:tr>
      <w:tr>
        <w:trPr>
          <w:trHeight w:val="221"/>
        </w:trPr>
        <w:tc>
          <w:tcPr>
            <w:tcW w:w="39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Hung-Lun (Fred) Chang</w:t>
            </w:r>
          </w:p>
        </w:tc>
        <w:tc>
          <w:tcPr>
            <w:tcW w:w="2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71,428</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142,857</w:t>
            </w:r>
          </w:p>
        </w:tc>
      </w:tr>
      <w:tr>
        <w:trPr>
          <w:trHeight w:val="29"/>
        </w:trPr>
        <w:tc>
          <w:tcPr>
            <w:tcW w:w="39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39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Shu-Hua (Joshua) Yeh</w:t>
            </w:r>
          </w:p>
        </w:tc>
        <w:tc>
          <w:tcPr>
            <w:tcW w:w="288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71,428</w:t>
            </w:r>
          </w:p>
        </w:tc>
        <w:tc>
          <w:tcPr>
            <w:tcW w:w="134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200%</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142,857</w:t>
            </w:r>
          </w:p>
        </w:tc>
      </w:tr>
      <w:tr>
        <w:trPr>
          <w:trHeight w:val="221"/>
        </w:trPr>
        <w:tc>
          <w:tcPr>
            <w:tcW w:w="39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David C. Kuo</w:t>
            </w:r>
          </w:p>
        </w:tc>
        <w:tc>
          <w:tcPr>
            <w:tcW w:w="2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44,642</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89,285</w:t>
            </w:r>
          </w:p>
        </w:tc>
      </w:tr>
      <w:tr>
        <w:trPr>
          <w:trHeight w:val="56"/>
        </w:trPr>
        <w:tc>
          <w:tcPr>
            <w:tcW w:w="398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Health and Welfare and Retirement Benefits</w:t>
      </w:r>
    </w:p>
    <w:p>
      <w:pPr>
        <w:spacing w:after="0" w:line="127" w:lineRule="exact"/>
        <w:rPr>
          <w:sz w:val="20"/>
          <w:szCs w:val="20"/>
          <w:color w:val="auto"/>
        </w:rPr>
      </w:pPr>
    </w:p>
    <w:p>
      <w:pPr>
        <w:ind w:left="660"/>
        <w:spacing w:after="0" w:line="262" w:lineRule="auto"/>
        <w:rPr>
          <w:sz w:val="20"/>
          <w:szCs w:val="20"/>
          <w:color w:val="auto"/>
        </w:rPr>
      </w:pPr>
      <w:r>
        <w:rPr>
          <w:rFonts w:ascii="Arial" w:cs="Arial" w:eastAsia="Arial" w:hAnsi="Arial"/>
          <w:sz w:val="16"/>
          <w:szCs w:val="16"/>
          <w:color w:val="auto"/>
        </w:rPr>
        <w:t>Our NEOs are eligible to participate in our broad-based health and welfare programs on the same terms as our non-executive employees. These benefits include medical, vision and dental benefits, life insurance benefits, and short-term and long-term disability insurance. Our executive officers are eligible to participate in the same life insurance program as is offered to our employees at or above the level of deputy director. In addition, we maintain a Section 401(k) retirement savings plan that provides our employees, including our executive officers, with the opportunity to save for retirement on a tax-advantaged basis. All participant contributions are fully vested when contributed, and our NEOs are eligible to receive, on the same basis as other employees, employer matching contributions under the plan. In structuring these benefit programs, we seek to provide an aggregate level of benefits that are comparable to those provided by similar companies.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Perquisites and Other Personal Benefits</w:t>
      </w:r>
    </w:p>
    <w:p>
      <w:pPr>
        <w:spacing w:after="0" w:line="127" w:lineRule="exact"/>
        <w:rPr>
          <w:sz w:val="20"/>
          <w:szCs w:val="20"/>
          <w:color w:val="auto"/>
        </w:rPr>
      </w:pPr>
    </w:p>
    <w:p>
      <w:pPr>
        <w:ind w:left="660" w:right="180"/>
        <w:spacing w:after="0" w:line="275" w:lineRule="auto"/>
        <w:rPr>
          <w:sz w:val="20"/>
          <w:szCs w:val="20"/>
          <w:color w:val="auto"/>
        </w:rPr>
      </w:pPr>
      <w:r>
        <w:rPr>
          <w:rFonts w:ascii="Arial" w:cs="Arial" w:eastAsia="Arial" w:hAnsi="Arial"/>
          <w:sz w:val="16"/>
          <w:szCs w:val="16"/>
          <w:color w:val="auto"/>
        </w:rPr>
        <w:t>We generally do not provide perquisites to our executive officers, except where we believe it is appropriate to assist an individual in the performance of his or her duties, to make our executive officers more efficient and effective and for recruitment and retention purposes.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Employment Agreements &amp; Post-Employment Compensation</w:t>
      </w:r>
    </w:p>
    <w:p>
      <w:pPr>
        <w:spacing w:after="0" w:line="112" w:lineRule="exact"/>
        <w:rPr>
          <w:sz w:val="20"/>
          <w:szCs w:val="20"/>
          <w:color w:val="auto"/>
        </w:rPr>
      </w:pPr>
    </w:p>
    <w:p>
      <w:pPr>
        <w:ind w:left="660" w:right="200"/>
        <w:spacing w:after="0" w:line="271" w:lineRule="auto"/>
        <w:rPr>
          <w:sz w:val="20"/>
          <w:szCs w:val="20"/>
          <w:color w:val="auto"/>
        </w:rPr>
      </w:pPr>
      <w:r>
        <w:rPr>
          <w:rFonts w:ascii="Arial" w:cs="Arial" w:eastAsia="Arial" w:hAnsi="Arial"/>
          <w:sz w:val="16"/>
          <w:szCs w:val="16"/>
          <w:color w:val="auto"/>
        </w:rPr>
        <w:t>We have entered into written employment agreements providing for at will employment with our CEO and each of our other NEOs. These employment agreements provided for their initial base salary and target bonus opportunity, as well as severance eligibility in the event of qualifying terminations of employment, including a termination of employment following a change of control of the Company (a so-called “double-trigger” arrangement).</w:t>
      </w:r>
    </w:p>
    <w:p>
      <w:pPr>
        <w:spacing w:after="0" w:line="73" w:lineRule="exact"/>
        <w:rPr>
          <w:sz w:val="20"/>
          <w:szCs w:val="20"/>
          <w:color w:val="auto"/>
        </w:rPr>
      </w:pPr>
    </w:p>
    <w:p>
      <w:pPr>
        <w:ind w:left="660" w:right="60"/>
        <w:spacing w:after="0" w:line="271" w:lineRule="auto"/>
        <w:rPr>
          <w:sz w:val="20"/>
          <w:szCs w:val="20"/>
          <w:color w:val="auto"/>
        </w:rPr>
      </w:pPr>
      <w:r>
        <w:rPr>
          <w:rFonts w:ascii="Arial" w:cs="Arial" w:eastAsia="Arial" w:hAnsi="Arial"/>
          <w:sz w:val="16"/>
          <w:szCs w:val="16"/>
          <w:color w:val="auto"/>
        </w:rPr>
        <w:t>In the case of the acceleration of vesting of outstanding equity awards, we use this double-trigger arrangement to protect against the loss of retention value following a change of control of the Company and to avoid windfalls, both of which could occur if vesting of either equity or cash-based awards accelerated automatically or if cash severance amounts became due solely as a result of the transaction.</w:t>
      </w:r>
    </w:p>
    <w:p>
      <w:pPr>
        <w:spacing w:after="0" w:line="73" w:lineRule="exact"/>
        <w:rPr>
          <w:sz w:val="20"/>
          <w:szCs w:val="20"/>
          <w:color w:val="auto"/>
        </w:rPr>
      </w:pPr>
    </w:p>
    <w:p>
      <w:pPr>
        <w:ind w:left="660" w:right="120"/>
        <w:spacing w:after="0" w:line="265" w:lineRule="auto"/>
        <w:rPr>
          <w:sz w:val="20"/>
          <w:szCs w:val="20"/>
          <w:color w:val="auto"/>
        </w:rPr>
      </w:pPr>
      <w:r>
        <w:rPr>
          <w:rFonts w:ascii="Arial" w:cs="Arial" w:eastAsia="Arial" w:hAnsi="Arial"/>
          <w:sz w:val="16"/>
          <w:szCs w:val="16"/>
          <w:color w:val="auto"/>
        </w:rPr>
        <w:t>We believe that having in place reasonable severance benefits, particularly for terminations in connection with a change of control, allow us to attract and retain highly qualified executive officers, permit those officers to focus on the best interests of the Company without undue concern for their own financial position in a change of control, and reduce conflict at the time of a termination through a pre-negotiated package conditioned on signing a release of claims.</w:t>
      </w:r>
    </w:p>
    <w:p>
      <w:pPr>
        <w:spacing w:after="0" w:line="78" w:lineRule="exact"/>
        <w:rPr>
          <w:sz w:val="20"/>
          <w:szCs w:val="20"/>
          <w:color w:val="auto"/>
        </w:rPr>
      </w:pPr>
    </w:p>
    <w:p>
      <w:pPr>
        <w:jc w:val="both"/>
        <w:ind w:left="660" w:right="80"/>
        <w:spacing w:after="0" w:line="275" w:lineRule="auto"/>
        <w:rPr>
          <w:sz w:val="20"/>
          <w:szCs w:val="20"/>
          <w:color w:val="auto"/>
        </w:rPr>
      </w:pPr>
      <w:r>
        <w:rPr>
          <w:rFonts w:ascii="Arial" w:cs="Arial" w:eastAsia="Arial" w:hAnsi="Arial"/>
          <w:sz w:val="16"/>
          <w:szCs w:val="16"/>
          <w:color w:val="auto"/>
        </w:rPr>
        <w:t>For detailed descriptions of the post-employment compensation arrangements we maintained with our NEOs for 2025, as well as an estimate of the potential payments and benefits payable under these arrangements, see “Potential Payments Upon Termination and Change of Control” below.</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Other Compensation Policies and Practices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Insider Trading Policy and Policies on Hedging and Pledging</w:t>
      </w:r>
    </w:p>
    <w:p>
      <w:pPr>
        <w:spacing w:after="0" w:line="113" w:lineRule="exact"/>
        <w:rPr>
          <w:sz w:val="20"/>
          <w:szCs w:val="20"/>
          <w:color w:val="auto"/>
        </w:rPr>
      </w:pPr>
    </w:p>
    <w:p>
      <w:pPr>
        <w:ind w:left="660" w:right="40"/>
        <w:spacing w:after="0" w:line="269" w:lineRule="auto"/>
        <w:rPr>
          <w:sz w:val="20"/>
          <w:szCs w:val="20"/>
          <w:color w:val="auto"/>
        </w:rPr>
      </w:pPr>
      <w:r>
        <w:rPr>
          <w:rFonts w:ascii="Arial" w:cs="Arial" w:eastAsia="Arial" w:hAnsi="Arial"/>
          <w:sz w:val="16"/>
          <w:szCs w:val="16"/>
          <w:color w:val="auto"/>
        </w:rPr>
        <w:t>The Company has adopted an insider trading policy governing the purchase and sale and other disposition of Company securities by our directors, officers and employees. It is also the Company’s policy to comply with applicable insider trading laws, rules and regulations, and any Nasdaq listing standards when engaging in transactions in Company securities</w:t>
      </w:r>
      <w:r>
        <w:rPr>
          <w:rFonts w:ascii="Arial" w:cs="Arial" w:eastAsia="Arial" w:hAnsi="Arial"/>
          <w:sz w:val="16"/>
          <w:szCs w:val="16"/>
          <w:i w:val="1"/>
          <w:iCs w:val="1"/>
          <w:color w:val="auto"/>
        </w:rPr>
        <w:t>.</w:t>
      </w:r>
      <w:r>
        <w:rPr>
          <w:rFonts w:ascii="Arial" w:cs="Arial" w:eastAsia="Arial" w:hAnsi="Arial"/>
          <w:sz w:val="16"/>
          <w:szCs w:val="16"/>
          <w:color w:val="auto"/>
        </w:rPr>
        <w:t xml:space="preserve"> Our insider trading policy prohibits hedging and pledging of our equity securities by our employees, including our executive officers, and the non-employee members of the Board, including specifically as follows:</w:t>
      </w:r>
    </w:p>
    <w:p>
      <w:pPr>
        <w:spacing w:after="0" w:line="76" w:lineRule="exact"/>
        <w:rPr>
          <w:sz w:val="20"/>
          <w:szCs w:val="20"/>
          <w:color w:val="auto"/>
        </w:rPr>
      </w:pPr>
    </w:p>
    <w:p>
      <w:pPr>
        <w:ind w:left="1060" w:right="260" w:hanging="178"/>
        <w:spacing w:after="0" w:line="275" w:lineRule="auto"/>
        <w:tabs>
          <w:tab w:leader="none" w:pos="1060" w:val="left"/>
        </w:tabs>
        <w:numPr>
          <w:ilvl w:val="0"/>
          <w:numId w:val="18"/>
        </w:numPr>
        <w:rPr>
          <w:rFonts w:ascii="Arial" w:cs="Arial" w:eastAsia="Arial" w:hAnsi="Arial"/>
          <w:sz w:val="9"/>
          <w:szCs w:val="9"/>
          <w:color w:val="auto"/>
        </w:rPr>
      </w:pPr>
      <w:r>
        <w:rPr>
          <w:rFonts w:ascii="Arial" w:cs="Arial" w:eastAsia="Arial" w:hAnsi="Arial"/>
          <w:sz w:val="16"/>
          <w:szCs w:val="16"/>
          <w:color w:val="auto"/>
        </w:rPr>
        <w:t>Short sales of our equity securities, as well as transactions in puts, calls, or other derivative securities involving our common stock, on an exchange or in any other organized market, by our employees, including our executive officers, and the non-employee members of the Board are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198755</wp:posOffset>
            </wp:positionV>
            <wp:extent cx="334010" cy="162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24"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37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5" w:lineRule="exact"/>
        <w:rPr>
          <w:sz w:val="20"/>
          <w:szCs w:val="20"/>
          <w:color w:val="auto"/>
        </w:rPr>
      </w:pPr>
    </w:p>
    <w:p>
      <w:pPr>
        <w:ind w:left="1060" w:right="220" w:hanging="178"/>
        <w:spacing w:after="0" w:line="304" w:lineRule="auto"/>
        <w:tabs>
          <w:tab w:leader="none" w:pos="1060" w:val="left"/>
        </w:tabs>
        <w:numPr>
          <w:ilvl w:val="0"/>
          <w:numId w:val="19"/>
        </w:numPr>
        <w:rPr>
          <w:rFonts w:ascii="Arial" w:cs="Arial" w:eastAsia="Arial" w:hAnsi="Arial"/>
          <w:sz w:val="9"/>
          <w:szCs w:val="9"/>
          <w:color w:val="auto"/>
        </w:rPr>
      </w:pPr>
      <w:r>
        <w:rPr>
          <w:rFonts w:ascii="Arial" w:cs="Arial" w:eastAsia="Arial" w:hAnsi="Arial"/>
          <w:sz w:val="16"/>
          <w:szCs w:val="16"/>
          <w:color w:val="auto"/>
        </w:rPr>
        <w:t>Hedging or monetization transactions involving our equity securities, such as zero-cost collars and forward sale contracts, by our employees, including our executive officers, and the non-employee members of the Board are prohibited; and</w:t>
      </w:r>
    </w:p>
    <w:p>
      <w:pPr>
        <w:spacing w:after="0" w:line="33" w:lineRule="exact"/>
        <w:rPr>
          <w:rFonts w:ascii="Arial" w:cs="Arial" w:eastAsia="Arial" w:hAnsi="Arial"/>
          <w:sz w:val="9"/>
          <w:szCs w:val="9"/>
          <w:color w:val="auto"/>
        </w:rPr>
      </w:pPr>
    </w:p>
    <w:p>
      <w:pPr>
        <w:ind w:left="1060" w:right="100" w:hanging="178"/>
        <w:spacing w:after="0" w:line="304" w:lineRule="auto"/>
        <w:tabs>
          <w:tab w:leader="none" w:pos="1060" w:val="left"/>
        </w:tabs>
        <w:numPr>
          <w:ilvl w:val="0"/>
          <w:numId w:val="19"/>
        </w:numPr>
        <w:rPr>
          <w:rFonts w:ascii="Arial" w:cs="Arial" w:eastAsia="Arial" w:hAnsi="Arial"/>
          <w:sz w:val="9"/>
          <w:szCs w:val="9"/>
          <w:color w:val="auto"/>
        </w:rPr>
      </w:pPr>
      <w:r>
        <w:rPr>
          <w:rFonts w:ascii="Arial" w:cs="Arial" w:eastAsia="Arial" w:hAnsi="Arial"/>
          <w:sz w:val="16"/>
          <w:szCs w:val="16"/>
          <w:color w:val="auto"/>
        </w:rPr>
        <w:t>Holding our equity securities in a margin account or pledging our securities as collateral for a loan by our employees, including our executive officers, and the non-employee members of the Board are prohibited.</w:t>
      </w:r>
    </w:p>
    <w:p>
      <w:pPr>
        <w:spacing w:after="0" w:line="47" w:lineRule="exact"/>
        <w:rPr>
          <w:sz w:val="20"/>
          <w:szCs w:val="20"/>
          <w:color w:val="auto"/>
        </w:rPr>
      </w:pPr>
    </w:p>
    <w:p>
      <w:pPr>
        <w:jc w:val="both"/>
        <w:ind w:left="660" w:right="640"/>
        <w:spacing w:after="0" w:line="275" w:lineRule="auto"/>
        <w:rPr>
          <w:sz w:val="20"/>
          <w:szCs w:val="20"/>
          <w:color w:val="auto"/>
        </w:rPr>
      </w:pPr>
      <w:r>
        <w:rPr>
          <w:rFonts w:ascii="Arial" w:cs="Arial" w:eastAsia="Arial" w:hAnsi="Arial"/>
          <w:sz w:val="16"/>
          <w:szCs w:val="16"/>
          <w:color w:val="auto"/>
        </w:rPr>
        <w:t>The Company believes that its policies are reasonably designed to promote compliance with insider trading laws, rules, and regulations and Nasdaq listing standards. A copy of our insider trading policy was filed as an exhibit to our Annual Report on Form 10-K for the year ended December 31, 2025.</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Clawback Policy</w:t>
      </w:r>
    </w:p>
    <w:p>
      <w:pPr>
        <w:spacing w:after="0" w:line="113" w:lineRule="exact"/>
        <w:rPr>
          <w:sz w:val="20"/>
          <w:szCs w:val="20"/>
          <w:color w:val="auto"/>
        </w:rPr>
      </w:pPr>
    </w:p>
    <w:p>
      <w:pPr>
        <w:ind w:left="660" w:right="80"/>
        <w:spacing w:after="0" w:line="271" w:lineRule="auto"/>
        <w:rPr>
          <w:sz w:val="20"/>
          <w:szCs w:val="20"/>
          <w:color w:val="auto"/>
        </w:rPr>
      </w:pPr>
      <w:r>
        <w:rPr>
          <w:rFonts w:ascii="Arial" w:cs="Arial" w:eastAsia="Arial" w:hAnsi="Arial"/>
          <w:sz w:val="16"/>
          <w:szCs w:val="16"/>
          <w:color w:val="auto"/>
        </w:rPr>
        <w:t>In 2023, our Board adopted an Incentive Compensation Recovery Policy for executive officers in compliance with Section 10D of the Exchange Act, Rule 10D-1 promulgated under the Exchange Act and Nasdaq Listing Rule 5608, which requires us to recoup incentive compensation from our executive officers in the event we restate our financial statements. A copy of our Incentive Compensation Recovery Policy was filed as an exhibit to our Annual Report on Form 10-K for the year ended December 31, 2023.</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Stock Ownership Guidelines</w:t>
      </w:r>
    </w:p>
    <w:p>
      <w:pPr>
        <w:spacing w:after="0" w:line="127" w:lineRule="exact"/>
        <w:rPr>
          <w:sz w:val="20"/>
          <w:szCs w:val="20"/>
          <w:color w:val="auto"/>
        </w:rPr>
      </w:pPr>
    </w:p>
    <w:p>
      <w:pPr>
        <w:jc w:val="both"/>
        <w:ind w:left="660" w:right="140"/>
        <w:spacing w:after="0" w:line="275" w:lineRule="auto"/>
        <w:rPr>
          <w:sz w:val="20"/>
          <w:szCs w:val="20"/>
          <w:color w:val="auto"/>
        </w:rPr>
      </w:pPr>
      <w:r>
        <w:rPr>
          <w:rFonts w:ascii="Arial" w:cs="Arial" w:eastAsia="Arial" w:hAnsi="Arial"/>
          <w:sz w:val="16"/>
          <w:szCs w:val="16"/>
          <w:color w:val="auto"/>
        </w:rPr>
        <w:t>To further align the interests of senior management and stockholders, we adopted stock ownership and retention guidelines in 2018 that provide for our executive officers and non-employee directors to own minimum amounts of the Company’s common stock. The guidelines’ minimum levels of stock ownership for our executive officers are as follows:</w:t>
      </w:r>
    </w:p>
    <w:p>
      <w:pPr>
        <w:spacing w:after="0" w:line="8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4780" w:type="dxa"/>
            <w:vAlign w:val="bottom"/>
          </w:tcPr>
          <w:p>
            <w:pPr>
              <w:ind w:left="80"/>
              <w:spacing w:after="0"/>
              <w:rPr>
                <w:sz w:val="20"/>
                <w:szCs w:val="20"/>
                <w:color w:val="auto"/>
              </w:rPr>
            </w:pPr>
            <w:r>
              <w:rPr>
                <w:rFonts w:ascii="Arial" w:cs="Arial" w:eastAsia="Arial" w:hAnsi="Arial"/>
                <w:sz w:val="16"/>
                <w:szCs w:val="16"/>
                <w:b w:val="1"/>
                <w:bCs w:val="1"/>
                <w:color w:val="auto"/>
              </w:rPr>
              <w:t>Officer Level</w:t>
            </w:r>
          </w:p>
        </w:tc>
        <w:tc>
          <w:tcPr>
            <w:tcW w:w="4620" w:type="dxa"/>
            <w:vAlign w:val="bottom"/>
          </w:tcPr>
          <w:p>
            <w:pPr>
              <w:ind w:left="3080"/>
              <w:spacing w:after="0"/>
              <w:rPr>
                <w:sz w:val="20"/>
                <w:szCs w:val="20"/>
                <w:color w:val="auto"/>
              </w:rPr>
            </w:pPr>
            <w:r>
              <w:rPr>
                <w:rFonts w:ascii="Arial" w:cs="Arial" w:eastAsia="Arial" w:hAnsi="Arial"/>
                <w:sz w:val="16"/>
                <w:szCs w:val="16"/>
                <w:b w:val="1"/>
                <w:bCs w:val="1"/>
                <w:color w:val="auto"/>
                <w:w w:val="94"/>
              </w:rPr>
              <w:t>Ownership Guideline</w:t>
            </w:r>
          </w:p>
        </w:tc>
      </w:tr>
      <w:tr>
        <w:trPr>
          <w:trHeight w:val="34"/>
        </w:trPr>
        <w:tc>
          <w:tcPr>
            <w:tcW w:w="478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r>
      <w:tr>
        <w:trPr>
          <w:trHeight w:val="309"/>
        </w:trPr>
        <w:tc>
          <w:tcPr>
            <w:tcW w:w="4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Chief Executive Officer</w:t>
            </w:r>
          </w:p>
        </w:tc>
        <w:tc>
          <w:tcPr>
            <w:tcW w:w="4620" w:type="dxa"/>
            <w:vAlign w:val="bottom"/>
            <w:tcBorders>
              <w:bottom w:val="single" w:sz="8" w:color="CCEEFF"/>
            </w:tcBorders>
            <w:shd w:val="clear" w:color="auto" w:fill="CCEEFF"/>
          </w:tcPr>
          <w:p>
            <w:pPr>
              <w:ind w:left="3060"/>
              <w:spacing w:after="0"/>
              <w:rPr>
                <w:sz w:val="20"/>
                <w:szCs w:val="20"/>
                <w:color w:val="auto"/>
              </w:rPr>
            </w:pPr>
            <w:r>
              <w:rPr>
                <w:rFonts w:ascii="Arial" w:cs="Arial" w:eastAsia="Arial" w:hAnsi="Arial"/>
                <w:sz w:val="16"/>
                <w:szCs w:val="16"/>
                <w:color w:val="auto"/>
                <w:w w:val="98"/>
              </w:rPr>
              <w:t>5x annual base salary</w:t>
            </w:r>
          </w:p>
        </w:tc>
      </w:tr>
      <w:tr>
        <w:trPr>
          <w:trHeight w:val="261"/>
        </w:trPr>
        <w:tc>
          <w:tcPr>
            <w:tcW w:w="47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Chief Financial Officer</w:t>
            </w:r>
          </w:p>
        </w:tc>
        <w:tc>
          <w:tcPr>
            <w:tcW w:w="4620" w:type="dxa"/>
            <w:vAlign w:val="bottom"/>
            <w:tcBorders>
              <w:top w:val="single" w:sz="8" w:color="auto"/>
            </w:tcBorders>
          </w:tcPr>
          <w:p>
            <w:pPr>
              <w:ind w:left="3060"/>
              <w:spacing w:after="0"/>
              <w:rPr>
                <w:sz w:val="20"/>
                <w:szCs w:val="20"/>
                <w:color w:val="auto"/>
              </w:rPr>
            </w:pPr>
            <w:r>
              <w:rPr>
                <w:rFonts w:ascii="Arial" w:cs="Arial" w:eastAsia="Arial" w:hAnsi="Arial"/>
                <w:sz w:val="16"/>
                <w:szCs w:val="16"/>
                <w:color w:val="auto"/>
                <w:w w:val="98"/>
              </w:rPr>
              <w:t>2x annual base salary</w:t>
            </w:r>
          </w:p>
        </w:tc>
      </w:tr>
      <w:tr>
        <w:trPr>
          <w:trHeight w:val="43"/>
        </w:trPr>
        <w:tc>
          <w:tcPr>
            <w:tcW w:w="478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r>
      <w:tr>
        <w:trPr>
          <w:trHeight w:val="309"/>
        </w:trPr>
        <w:tc>
          <w:tcPr>
            <w:tcW w:w="4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Senior Vice President</w:t>
            </w:r>
          </w:p>
        </w:tc>
        <w:tc>
          <w:tcPr>
            <w:tcW w:w="4620" w:type="dxa"/>
            <w:vAlign w:val="bottom"/>
            <w:tcBorders>
              <w:bottom w:val="single" w:sz="8" w:color="CCEEFF"/>
            </w:tcBorders>
            <w:shd w:val="clear" w:color="auto" w:fill="CCEEFF"/>
          </w:tcPr>
          <w:p>
            <w:pPr>
              <w:ind w:left="3060"/>
              <w:spacing w:after="0"/>
              <w:rPr>
                <w:sz w:val="20"/>
                <w:szCs w:val="20"/>
                <w:color w:val="auto"/>
              </w:rPr>
            </w:pPr>
            <w:r>
              <w:rPr>
                <w:rFonts w:ascii="Arial" w:cs="Arial" w:eastAsia="Arial" w:hAnsi="Arial"/>
                <w:sz w:val="16"/>
                <w:szCs w:val="16"/>
                <w:color w:val="auto"/>
                <w:w w:val="98"/>
              </w:rPr>
              <w:t>2x annual base salary</w:t>
            </w:r>
          </w:p>
        </w:tc>
      </w:tr>
      <w:tr>
        <w:trPr>
          <w:trHeight w:val="261"/>
        </w:trPr>
        <w:tc>
          <w:tcPr>
            <w:tcW w:w="47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Vice President</w:t>
            </w:r>
          </w:p>
        </w:tc>
        <w:tc>
          <w:tcPr>
            <w:tcW w:w="4620" w:type="dxa"/>
            <w:vAlign w:val="bottom"/>
            <w:tcBorders>
              <w:top w:val="single" w:sz="8" w:color="auto"/>
            </w:tcBorders>
          </w:tcPr>
          <w:p>
            <w:pPr>
              <w:ind w:left="3060"/>
              <w:spacing w:after="0"/>
              <w:rPr>
                <w:sz w:val="20"/>
                <w:szCs w:val="20"/>
                <w:color w:val="auto"/>
              </w:rPr>
            </w:pPr>
            <w:r>
              <w:rPr>
                <w:rFonts w:ascii="Arial" w:cs="Arial" w:eastAsia="Arial" w:hAnsi="Arial"/>
                <w:sz w:val="16"/>
                <w:szCs w:val="16"/>
                <w:color w:val="auto"/>
                <w:w w:val="98"/>
              </w:rPr>
              <w:t>1x annual base salary</w:t>
            </w:r>
          </w:p>
        </w:tc>
      </w:tr>
      <w:tr>
        <w:trPr>
          <w:trHeight w:val="43"/>
        </w:trPr>
        <w:tc>
          <w:tcPr>
            <w:tcW w:w="478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r>
    </w:tbl>
    <w:p>
      <w:pPr>
        <w:spacing w:after="0" w:line="188" w:lineRule="exact"/>
        <w:rPr>
          <w:sz w:val="20"/>
          <w:szCs w:val="20"/>
          <w:color w:val="auto"/>
        </w:rPr>
      </w:pPr>
    </w:p>
    <w:p>
      <w:pPr>
        <w:ind w:left="660" w:right="40"/>
        <w:spacing w:after="0" w:line="262" w:lineRule="auto"/>
        <w:rPr>
          <w:sz w:val="20"/>
          <w:szCs w:val="20"/>
          <w:color w:val="auto"/>
        </w:rPr>
      </w:pPr>
      <w:r>
        <w:rPr>
          <w:rFonts w:ascii="Arial" w:cs="Arial" w:eastAsia="Arial" w:hAnsi="Arial"/>
          <w:sz w:val="16"/>
          <w:szCs w:val="16"/>
          <w:color w:val="auto"/>
        </w:rPr>
        <w:t>Directors who are not also executive officers of the Company are required to hold shares of the Company’s common stock with a value equal to three times the amount of the annual retainer paid to directors. Stock ownership levels must be achieved by each executive officer and director within five years of the individual’s first appointment as an executive officer or director. Until the applicable stock ownership guideline is achieved, individuals are encouraged to retain an amount equal to 50% of the net shares obtained through the Company’s stock incentive plans. Stock that counts toward satisfaction of the guidelines includes: (i) shares of common stock owned directly by the executive officer or director; (ii) shares of common stock owned indirectly by the executive officer or director (e.g., by a spouse or other immediate family member residing in the same household or a trust for the benefit of the executive officer or director or his or her family), whether held individually or jointly; (iii) shares of common stock held under the Company’s employee stock purchase plan; (iv) shares granted under the Company’s long-term incentive plans; (v) shares represented by amounts invested in the Company’s 401(k) plan; and (vi) shares purchased in the open market. As of the date of this filing all of our executive officers and directors are in compliance with the guidelines.</w:t>
      </w:r>
    </w:p>
    <w:p>
      <w:pPr>
        <w:spacing w:after="0" w:line="86" w:lineRule="exact"/>
        <w:rPr>
          <w:sz w:val="20"/>
          <w:szCs w:val="20"/>
          <w:color w:val="auto"/>
        </w:rPr>
      </w:pPr>
    </w:p>
    <w:p>
      <w:pPr>
        <w:ind w:left="660" w:right="520"/>
        <w:spacing w:after="0" w:line="275" w:lineRule="auto"/>
        <w:rPr>
          <w:sz w:val="20"/>
          <w:szCs w:val="20"/>
          <w:color w:val="auto"/>
        </w:rPr>
      </w:pPr>
      <w:r>
        <w:rPr>
          <w:rFonts w:ascii="Arial" w:cs="Arial" w:eastAsia="Arial" w:hAnsi="Arial"/>
          <w:sz w:val="16"/>
          <w:szCs w:val="16"/>
          <w:color w:val="auto"/>
        </w:rPr>
        <w:t>In February 2025, we amended our stock ownership and retention guidelines to make it clear that shares underlying vested or unvested unexercised stock options and unvested PSUs do not count toward the satisfaction of the minimum levels of stock ownership.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Equity Grant Practices</w:t>
      </w:r>
    </w:p>
    <w:p>
      <w:pPr>
        <w:spacing w:after="0" w:line="113" w:lineRule="exact"/>
        <w:rPr>
          <w:sz w:val="20"/>
          <w:szCs w:val="20"/>
          <w:color w:val="auto"/>
        </w:rPr>
      </w:pPr>
    </w:p>
    <w:p>
      <w:pPr>
        <w:ind w:left="660" w:right="80"/>
        <w:spacing w:after="0" w:line="268" w:lineRule="auto"/>
        <w:rPr>
          <w:sz w:val="20"/>
          <w:szCs w:val="20"/>
          <w:color w:val="auto"/>
        </w:rPr>
      </w:pPr>
      <w:r>
        <w:rPr>
          <w:rFonts w:ascii="Arial" w:cs="Arial" w:eastAsia="Arial" w:hAnsi="Arial"/>
          <w:sz w:val="16"/>
          <w:szCs w:val="16"/>
          <w:color w:val="auto"/>
        </w:rPr>
        <w:t>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such awards. Although we do not have a formal policy with respect to the timing of our equity award grants, the compensation committee has historically granted such awards on a predetermined annual schedule. We currently do not grant any stock options to our employees, including our NEOs.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Tax and Accounting Considerations</w:t>
      </w:r>
    </w:p>
    <w:p>
      <w:pPr>
        <w:spacing w:after="0" w:line="126" w:lineRule="exact"/>
        <w:rPr>
          <w:sz w:val="20"/>
          <w:szCs w:val="20"/>
          <w:color w:val="auto"/>
        </w:rPr>
      </w:pPr>
    </w:p>
    <w:p>
      <w:pPr>
        <w:jc w:val="both"/>
        <w:ind w:left="660" w:right="260"/>
        <w:spacing w:after="0" w:line="275" w:lineRule="auto"/>
        <w:rPr>
          <w:sz w:val="20"/>
          <w:szCs w:val="20"/>
          <w:color w:val="auto"/>
        </w:rPr>
      </w:pPr>
      <w:r>
        <w:rPr>
          <w:rFonts w:ascii="Arial" w:cs="Arial" w:eastAsia="Arial" w:hAnsi="Arial"/>
          <w:sz w:val="16"/>
          <w:szCs w:val="16"/>
          <w:b w:val="1"/>
          <w:bCs w:val="1"/>
          <w:color w:val="auto"/>
        </w:rPr>
        <w:t xml:space="preserve">Deductibility of Executive Compensation. </w:t>
      </w:r>
      <w:r>
        <w:rPr>
          <w:rFonts w:ascii="Arial" w:cs="Arial" w:eastAsia="Arial" w:hAnsi="Arial"/>
          <w:sz w:val="16"/>
          <w:szCs w:val="16"/>
          <w:color w:val="auto"/>
        </w:rPr>
        <w:t>Section 162(m) of the Internal Revenue Code of 1986, as amended (the “IRC”), places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on the deductibility of executive compensation paid by public companies. In 2025, the tax deductibility of our executive compensation was not a material factor in our compensation committee’s deliberations.</w:t>
      </w:r>
    </w:p>
    <w:p>
      <w:pPr>
        <w:spacing w:after="0" w:line="70" w:lineRule="exact"/>
        <w:rPr>
          <w:sz w:val="20"/>
          <w:szCs w:val="20"/>
          <w:color w:val="auto"/>
        </w:rPr>
      </w:pPr>
    </w:p>
    <w:p>
      <w:pPr>
        <w:ind w:left="660" w:right="60"/>
        <w:spacing w:after="0" w:line="275" w:lineRule="auto"/>
        <w:rPr>
          <w:sz w:val="20"/>
          <w:szCs w:val="20"/>
          <w:color w:val="auto"/>
        </w:rPr>
      </w:pPr>
      <w:r>
        <w:rPr>
          <w:rFonts w:ascii="Arial" w:cs="Arial" w:eastAsia="Arial" w:hAnsi="Arial"/>
          <w:sz w:val="16"/>
          <w:szCs w:val="16"/>
          <w:b w:val="1"/>
          <w:bCs w:val="1"/>
          <w:color w:val="auto"/>
        </w:rPr>
        <w:t xml:space="preserve">Accounting for Stock-Based Compensation. </w:t>
      </w:r>
      <w:r>
        <w:rPr>
          <w:rFonts w:ascii="Arial" w:cs="Arial" w:eastAsia="Arial" w:hAnsi="Arial"/>
          <w:sz w:val="16"/>
          <w:szCs w:val="16"/>
          <w:color w:val="auto"/>
        </w:rPr>
        <w:t>We follow the Financial Accounting Standard Board’s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Codification Topic 718 (“FASB ASC Topic 718”) for our stock-based compensation awards. In 2025, the accounting consequences of our executive compensation were not a material factor in our compensation committee’s deliberations.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198755</wp:posOffset>
            </wp:positionV>
            <wp:extent cx="334010" cy="162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24" w:lineRule="exact"/>
        <w:rPr>
          <w:sz w:val="20"/>
          <w:szCs w:val="20"/>
          <w:color w:val="auto"/>
        </w:rPr>
      </w:pPr>
    </w:p>
    <w:p>
      <w:pPr>
        <w:jc w:val="right"/>
        <w:ind w:right="20"/>
        <w:spacing w:after="0"/>
        <w:tabs>
          <w:tab w:leader="none" w:pos="1400" w:val="left"/>
        </w:tabs>
        <w:rPr>
          <w:sz w:val="20"/>
          <w:szCs w:val="20"/>
          <w:color w:val="auto"/>
        </w:rPr>
      </w:pPr>
      <w:r>
        <w:rPr>
          <w:rFonts w:ascii="Arial" w:cs="Arial" w:eastAsia="Arial" w:hAnsi="Arial"/>
          <w:sz w:val="14"/>
          <w:szCs w:val="14"/>
          <w:color w:val="auto"/>
        </w:rPr>
        <w:t>»  38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2025 Summary Compensation Table</w:t>
      </w:r>
    </w:p>
    <w:p>
      <w:pPr>
        <w:spacing w:after="0" w:line="119" w:lineRule="exact"/>
        <w:rPr>
          <w:sz w:val="20"/>
          <w:szCs w:val="20"/>
          <w:color w:val="auto"/>
        </w:rPr>
      </w:pPr>
    </w:p>
    <w:p>
      <w:pPr>
        <w:ind w:left="660" w:right="20"/>
        <w:spacing w:after="0" w:line="275" w:lineRule="auto"/>
        <w:rPr>
          <w:sz w:val="20"/>
          <w:szCs w:val="20"/>
          <w:color w:val="auto"/>
        </w:rPr>
      </w:pPr>
      <w:r>
        <w:rPr>
          <w:rFonts w:ascii="Arial" w:cs="Arial" w:eastAsia="Arial" w:hAnsi="Arial"/>
          <w:sz w:val="16"/>
          <w:szCs w:val="16"/>
          <w:color w:val="auto"/>
        </w:rPr>
        <w:t>The following table presents summary information regarding the total compensation awarded to, earned by, and paid to our NEOs for services rendered during the fiscal years ended December 31, 2025, 2024 and 2023, as applicable for the years that the individuals were deemed to be NEOs.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320" w:type="dxa"/>
            <w:vAlign w:val="bottom"/>
            <w:shd w:val="clear" w:color="auto" w:fill="4834BA"/>
          </w:tcPr>
          <w:p>
            <w:pPr>
              <w:spacing w:after="0"/>
              <w:rPr>
                <w:sz w:val="18"/>
                <w:szCs w:val="18"/>
                <w:color w:val="auto"/>
              </w:rPr>
            </w:pPr>
          </w:p>
        </w:tc>
        <w:tc>
          <w:tcPr>
            <w:tcW w:w="180" w:type="dxa"/>
            <w:vAlign w:val="bottom"/>
            <w:shd w:val="clear" w:color="auto" w:fill="4834BA"/>
          </w:tcPr>
          <w:p>
            <w:pPr>
              <w:spacing w:after="0"/>
              <w:rPr>
                <w:sz w:val="18"/>
                <w:szCs w:val="18"/>
                <w:color w:val="auto"/>
              </w:rPr>
            </w:pPr>
          </w:p>
        </w:tc>
        <w:tc>
          <w:tcPr>
            <w:tcW w:w="320" w:type="dxa"/>
            <w:vAlign w:val="bottom"/>
            <w:shd w:val="clear" w:color="auto" w:fill="4834BA"/>
          </w:tcPr>
          <w:p>
            <w:pPr>
              <w:spacing w:after="0"/>
              <w:rPr>
                <w:sz w:val="18"/>
                <w:szCs w:val="18"/>
                <w:color w:val="auto"/>
              </w:rPr>
            </w:pPr>
          </w:p>
        </w:tc>
        <w:tc>
          <w:tcPr>
            <w:tcW w:w="1020" w:type="dxa"/>
            <w:vAlign w:val="bottom"/>
            <w:shd w:val="clear" w:color="auto" w:fill="4834BA"/>
          </w:tcPr>
          <w:p>
            <w:pPr>
              <w:spacing w:after="0"/>
              <w:rPr>
                <w:sz w:val="18"/>
                <w:szCs w:val="18"/>
                <w:color w:val="auto"/>
              </w:rPr>
            </w:pPr>
          </w:p>
        </w:tc>
        <w:tc>
          <w:tcPr>
            <w:tcW w:w="960" w:type="dxa"/>
            <w:vAlign w:val="bottom"/>
            <w:vMerge w:val="restart"/>
            <w:shd w:val="clear" w:color="auto" w:fill="4834BA"/>
          </w:tcPr>
          <w:p>
            <w:pPr>
              <w:jc w:val="right"/>
              <w:ind w:right="153"/>
              <w:spacing w:after="0"/>
              <w:rPr>
                <w:sz w:val="20"/>
                <w:szCs w:val="20"/>
                <w:color w:val="auto"/>
              </w:rPr>
            </w:pPr>
            <w:r>
              <w:rPr>
                <w:rFonts w:ascii="Arial" w:cs="Arial" w:eastAsia="Arial" w:hAnsi="Arial"/>
                <w:sz w:val="13"/>
                <w:szCs w:val="13"/>
                <w:b w:val="1"/>
                <w:bCs w:val="1"/>
                <w:color w:val="FFFFFF"/>
              </w:rPr>
              <w:t>Stock</w:t>
            </w:r>
          </w:p>
        </w:tc>
        <w:tc>
          <w:tcPr>
            <w:tcW w:w="1380" w:type="dxa"/>
            <w:vAlign w:val="bottom"/>
            <w:shd w:val="clear" w:color="auto" w:fill="4834BA"/>
          </w:tcPr>
          <w:p>
            <w:pPr>
              <w:jc w:val="right"/>
              <w:ind w:right="153"/>
              <w:spacing w:after="0"/>
              <w:rPr>
                <w:sz w:val="20"/>
                <w:szCs w:val="20"/>
                <w:color w:val="auto"/>
              </w:rPr>
            </w:pPr>
            <w:r>
              <w:rPr>
                <w:rFonts w:ascii="Arial" w:cs="Arial" w:eastAsia="Arial" w:hAnsi="Arial"/>
                <w:sz w:val="13"/>
                <w:szCs w:val="13"/>
                <w:b w:val="1"/>
                <w:bCs w:val="1"/>
                <w:color w:val="FFFFFF"/>
              </w:rPr>
              <w:t>Non-Equity</w:t>
            </w:r>
          </w:p>
        </w:tc>
        <w:tc>
          <w:tcPr>
            <w:tcW w:w="1380" w:type="dxa"/>
            <w:vAlign w:val="bottom"/>
            <w:vMerge w:val="restart"/>
            <w:shd w:val="clear" w:color="auto" w:fill="4834BA"/>
          </w:tcPr>
          <w:p>
            <w:pPr>
              <w:jc w:val="right"/>
              <w:ind w:right="153"/>
              <w:spacing w:after="0"/>
              <w:rPr>
                <w:sz w:val="20"/>
                <w:szCs w:val="20"/>
                <w:color w:val="auto"/>
              </w:rPr>
            </w:pPr>
            <w:r>
              <w:rPr>
                <w:rFonts w:ascii="Arial" w:cs="Arial" w:eastAsia="Arial" w:hAnsi="Arial"/>
                <w:sz w:val="13"/>
                <w:szCs w:val="13"/>
                <w:b w:val="1"/>
                <w:bCs w:val="1"/>
                <w:color w:val="FFFFFF"/>
              </w:rPr>
              <w:t>All Other</w:t>
            </w:r>
          </w:p>
        </w:tc>
        <w:tc>
          <w:tcPr>
            <w:tcW w:w="840" w:type="dxa"/>
            <w:vAlign w:val="bottom"/>
            <w:shd w:val="clear" w:color="auto" w:fill="4834BA"/>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4834BA"/>
          </w:tcPr>
          <w:p>
            <w:pPr>
              <w:spacing w:after="0"/>
              <w:rPr>
                <w:sz w:val="12"/>
                <w:szCs w:val="12"/>
                <w:color w:val="auto"/>
              </w:rPr>
            </w:pPr>
          </w:p>
        </w:tc>
        <w:tc>
          <w:tcPr>
            <w:tcW w:w="180" w:type="dxa"/>
            <w:vAlign w:val="bottom"/>
            <w:shd w:val="clear" w:color="auto" w:fill="4834BA"/>
          </w:tcPr>
          <w:p>
            <w:pPr>
              <w:spacing w:after="0"/>
              <w:rPr>
                <w:sz w:val="12"/>
                <w:szCs w:val="12"/>
                <w:color w:val="auto"/>
              </w:rPr>
            </w:pPr>
          </w:p>
        </w:tc>
        <w:tc>
          <w:tcPr>
            <w:tcW w:w="320" w:type="dxa"/>
            <w:vAlign w:val="bottom"/>
            <w:shd w:val="clear" w:color="auto" w:fill="4834BA"/>
          </w:tcPr>
          <w:p>
            <w:pPr>
              <w:spacing w:after="0"/>
              <w:rPr>
                <w:sz w:val="12"/>
                <w:szCs w:val="12"/>
                <w:color w:val="auto"/>
              </w:rPr>
            </w:pPr>
          </w:p>
        </w:tc>
        <w:tc>
          <w:tcPr>
            <w:tcW w:w="1020" w:type="dxa"/>
            <w:vAlign w:val="bottom"/>
            <w:shd w:val="clear" w:color="auto" w:fill="4834BA"/>
          </w:tcPr>
          <w:p>
            <w:pPr>
              <w:spacing w:after="0"/>
              <w:rPr>
                <w:sz w:val="12"/>
                <w:szCs w:val="12"/>
                <w:color w:val="auto"/>
              </w:rPr>
            </w:pPr>
          </w:p>
        </w:tc>
        <w:tc>
          <w:tcPr>
            <w:tcW w:w="960" w:type="dxa"/>
            <w:vAlign w:val="bottom"/>
            <w:vMerge w:val="continue"/>
            <w:shd w:val="clear" w:color="auto" w:fill="4834BA"/>
          </w:tcPr>
          <w:p>
            <w:pPr>
              <w:spacing w:after="0"/>
              <w:rPr>
                <w:sz w:val="12"/>
                <w:szCs w:val="12"/>
                <w:color w:val="auto"/>
              </w:rPr>
            </w:pPr>
          </w:p>
        </w:tc>
        <w:tc>
          <w:tcPr>
            <w:tcW w:w="1380" w:type="dxa"/>
            <w:vAlign w:val="bottom"/>
            <w:shd w:val="clear" w:color="auto" w:fill="4834BA"/>
          </w:tcPr>
          <w:p>
            <w:pPr>
              <w:jc w:val="right"/>
              <w:ind w:right="153"/>
              <w:spacing w:after="0"/>
              <w:rPr>
                <w:sz w:val="20"/>
                <w:szCs w:val="20"/>
                <w:color w:val="auto"/>
              </w:rPr>
            </w:pPr>
            <w:r>
              <w:rPr>
                <w:rFonts w:ascii="Arial" w:cs="Arial" w:eastAsia="Arial" w:hAnsi="Arial"/>
                <w:sz w:val="13"/>
                <w:szCs w:val="13"/>
                <w:b w:val="1"/>
                <w:bCs w:val="1"/>
                <w:color w:val="FFFFFF"/>
              </w:rPr>
              <w:t>Incentive Plan</w:t>
            </w:r>
          </w:p>
        </w:tc>
        <w:tc>
          <w:tcPr>
            <w:tcW w:w="1380" w:type="dxa"/>
            <w:vAlign w:val="bottom"/>
            <w:vMerge w:val="continue"/>
            <w:shd w:val="clear" w:color="auto" w:fill="4834BA"/>
          </w:tcPr>
          <w:p>
            <w:pPr>
              <w:spacing w:after="0"/>
              <w:rPr>
                <w:sz w:val="12"/>
                <w:szCs w:val="12"/>
                <w:color w:val="auto"/>
              </w:rPr>
            </w:pPr>
          </w:p>
        </w:tc>
        <w:tc>
          <w:tcPr>
            <w:tcW w:w="840" w:type="dxa"/>
            <w:vAlign w:val="bottom"/>
            <w:shd w:val="clear" w:color="auto" w:fill="4834BA"/>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320" w:type="dxa"/>
            <w:vAlign w:val="bottom"/>
            <w:vMerge w:val="restart"/>
            <w:shd w:val="clear" w:color="auto" w:fill="4834BA"/>
          </w:tcPr>
          <w:p>
            <w:pPr>
              <w:ind w:left="80"/>
              <w:spacing w:after="0"/>
              <w:rPr>
                <w:sz w:val="20"/>
                <w:szCs w:val="20"/>
                <w:color w:val="auto"/>
              </w:rPr>
            </w:pPr>
            <w:r>
              <w:rPr>
                <w:rFonts w:ascii="Arial" w:cs="Arial" w:eastAsia="Arial" w:hAnsi="Arial"/>
                <w:sz w:val="13"/>
                <w:szCs w:val="13"/>
                <w:b w:val="1"/>
                <w:bCs w:val="1"/>
                <w:color w:val="FFFFFF"/>
              </w:rPr>
              <w:t>Name and Principal Position</w:t>
            </w:r>
          </w:p>
        </w:tc>
        <w:tc>
          <w:tcPr>
            <w:tcW w:w="180" w:type="dxa"/>
            <w:vAlign w:val="bottom"/>
            <w:shd w:val="clear" w:color="auto" w:fill="4834BA"/>
          </w:tcPr>
          <w:p>
            <w:pPr>
              <w:spacing w:after="0"/>
              <w:rPr>
                <w:sz w:val="13"/>
                <w:szCs w:val="13"/>
                <w:color w:val="auto"/>
              </w:rPr>
            </w:pPr>
          </w:p>
        </w:tc>
        <w:tc>
          <w:tcPr>
            <w:tcW w:w="320" w:type="dxa"/>
            <w:vAlign w:val="bottom"/>
            <w:vMerge w:val="restart"/>
            <w:shd w:val="clear" w:color="auto" w:fill="4834BA"/>
          </w:tcPr>
          <w:p>
            <w:pPr>
              <w:jc w:val="right"/>
              <w:spacing w:after="0"/>
              <w:rPr>
                <w:sz w:val="20"/>
                <w:szCs w:val="20"/>
                <w:color w:val="auto"/>
              </w:rPr>
            </w:pPr>
            <w:r>
              <w:rPr>
                <w:rFonts w:ascii="Arial" w:cs="Arial" w:eastAsia="Arial" w:hAnsi="Arial"/>
                <w:sz w:val="13"/>
                <w:szCs w:val="13"/>
                <w:b w:val="1"/>
                <w:bCs w:val="1"/>
                <w:color w:val="FFFFFF"/>
                <w:w w:val="99"/>
              </w:rPr>
              <w:t>Year</w:t>
            </w:r>
          </w:p>
        </w:tc>
        <w:tc>
          <w:tcPr>
            <w:tcW w:w="1020" w:type="dxa"/>
            <w:vAlign w:val="bottom"/>
            <w:shd w:val="clear" w:color="auto" w:fill="4834BA"/>
          </w:tcPr>
          <w:p>
            <w:pPr>
              <w:jc w:val="right"/>
              <w:ind w:right="153"/>
              <w:spacing w:after="0"/>
              <w:rPr>
                <w:sz w:val="20"/>
                <w:szCs w:val="20"/>
                <w:color w:val="auto"/>
              </w:rPr>
            </w:pPr>
            <w:r>
              <w:rPr>
                <w:rFonts w:ascii="Arial" w:cs="Arial" w:eastAsia="Arial" w:hAnsi="Arial"/>
                <w:sz w:val="13"/>
                <w:szCs w:val="13"/>
                <w:b w:val="1"/>
                <w:bCs w:val="1"/>
                <w:color w:val="FFFFFF"/>
              </w:rPr>
              <w:t>Salary</w:t>
            </w:r>
          </w:p>
        </w:tc>
        <w:tc>
          <w:tcPr>
            <w:tcW w:w="960" w:type="dxa"/>
            <w:vAlign w:val="bottom"/>
            <w:shd w:val="clear" w:color="auto" w:fill="4834BA"/>
          </w:tcPr>
          <w:p>
            <w:pPr>
              <w:jc w:val="right"/>
              <w:ind w:right="153"/>
              <w:spacing w:after="0" w:line="150"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6"/>
                <w:szCs w:val="16"/>
                <w:b w:val="1"/>
                <w:bCs w:val="1"/>
                <w:color w:val="FFFFFF"/>
                <w:vertAlign w:val="superscript"/>
              </w:rPr>
              <w:t>(1)</w:t>
            </w:r>
          </w:p>
        </w:tc>
        <w:tc>
          <w:tcPr>
            <w:tcW w:w="1380" w:type="dxa"/>
            <w:vAlign w:val="bottom"/>
            <w:shd w:val="clear" w:color="auto" w:fill="4834BA"/>
          </w:tcPr>
          <w:p>
            <w:pPr>
              <w:jc w:val="right"/>
              <w:ind w:right="153"/>
              <w:spacing w:after="0" w:line="150" w:lineRule="exact"/>
              <w:rPr>
                <w:sz w:val="20"/>
                <w:szCs w:val="20"/>
                <w:color w:val="auto"/>
              </w:rPr>
            </w:pPr>
            <w:r>
              <w:rPr>
                <w:rFonts w:ascii="Arial" w:cs="Arial" w:eastAsia="Arial" w:hAnsi="Arial"/>
                <w:sz w:val="13"/>
                <w:szCs w:val="13"/>
                <w:b w:val="1"/>
                <w:bCs w:val="1"/>
                <w:color w:val="FFFFFF"/>
              </w:rPr>
              <w:t>Compensation</w:t>
            </w:r>
            <w:r>
              <w:rPr>
                <w:rFonts w:ascii="Arial" w:cs="Arial" w:eastAsia="Arial" w:hAnsi="Arial"/>
                <w:sz w:val="16"/>
                <w:szCs w:val="16"/>
                <w:b w:val="1"/>
                <w:bCs w:val="1"/>
                <w:color w:val="FFFFFF"/>
                <w:vertAlign w:val="superscript"/>
              </w:rPr>
              <w:t>(2)</w:t>
            </w:r>
          </w:p>
        </w:tc>
        <w:tc>
          <w:tcPr>
            <w:tcW w:w="1380" w:type="dxa"/>
            <w:vAlign w:val="bottom"/>
            <w:shd w:val="clear" w:color="auto" w:fill="4834BA"/>
          </w:tcPr>
          <w:p>
            <w:pPr>
              <w:jc w:val="right"/>
              <w:ind w:right="153"/>
              <w:spacing w:after="0" w:line="150" w:lineRule="exact"/>
              <w:rPr>
                <w:sz w:val="20"/>
                <w:szCs w:val="20"/>
                <w:color w:val="auto"/>
              </w:rPr>
            </w:pPr>
            <w:r>
              <w:rPr>
                <w:rFonts w:ascii="Arial" w:cs="Arial" w:eastAsia="Arial" w:hAnsi="Arial"/>
                <w:sz w:val="13"/>
                <w:szCs w:val="13"/>
                <w:b w:val="1"/>
                <w:bCs w:val="1"/>
                <w:color w:val="FFFFFF"/>
              </w:rPr>
              <w:t>Compensation</w:t>
            </w:r>
            <w:r>
              <w:rPr>
                <w:rFonts w:ascii="Arial" w:cs="Arial" w:eastAsia="Arial" w:hAnsi="Arial"/>
                <w:sz w:val="16"/>
                <w:szCs w:val="16"/>
                <w:b w:val="1"/>
                <w:bCs w:val="1"/>
                <w:color w:val="FFFFFF"/>
                <w:vertAlign w:val="superscript"/>
              </w:rPr>
              <w:t>(3)</w:t>
            </w:r>
          </w:p>
        </w:tc>
        <w:tc>
          <w:tcPr>
            <w:tcW w:w="84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216"/>
        </w:trPr>
        <w:tc>
          <w:tcPr>
            <w:tcW w:w="3320" w:type="dxa"/>
            <w:vAlign w:val="bottom"/>
            <w:vMerge w:val="continue"/>
            <w:shd w:val="clear" w:color="auto" w:fill="4834BA"/>
          </w:tcPr>
          <w:p>
            <w:pPr>
              <w:spacing w:after="0"/>
              <w:rPr>
                <w:sz w:val="18"/>
                <w:szCs w:val="18"/>
                <w:color w:val="auto"/>
              </w:rPr>
            </w:pPr>
          </w:p>
        </w:tc>
        <w:tc>
          <w:tcPr>
            <w:tcW w:w="180" w:type="dxa"/>
            <w:vAlign w:val="bottom"/>
            <w:shd w:val="clear" w:color="auto" w:fill="4834BA"/>
          </w:tcPr>
          <w:p>
            <w:pPr>
              <w:spacing w:after="0"/>
              <w:rPr>
                <w:sz w:val="18"/>
                <w:szCs w:val="18"/>
                <w:color w:val="auto"/>
              </w:rPr>
            </w:pPr>
          </w:p>
        </w:tc>
        <w:tc>
          <w:tcPr>
            <w:tcW w:w="320" w:type="dxa"/>
            <w:vAlign w:val="bottom"/>
            <w:vMerge w:val="continue"/>
            <w:shd w:val="clear" w:color="auto" w:fill="4834BA"/>
          </w:tcPr>
          <w:p>
            <w:pPr>
              <w:spacing w:after="0"/>
              <w:rPr>
                <w:sz w:val="18"/>
                <w:szCs w:val="18"/>
                <w:color w:val="auto"/>
              </w:rPr>
            </w:pPr>
          </w:p>
        </w:tc>
        <w:tc>
          <w:tcPr>
            <w:tcW w:w="1020" w:type="dxa"/>
            <w:vAlign w:val="bottom"/>
            <w:shd w:val="clear" w:color="auto" w:fill="4834BA"/>
          </w:tcPr>
          <w:p>
            <w:pPr>
              <w:jc w:val="right"/>
              <w:ind w:right="113"/>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4834BA"/>
          </w:tcPr>
          <w:p>
            <w:pPr>
              <w:jc w:val="right"/>
              <w:ind w:right="113"/>
              <w:spacing w:after="0"/>
              <w:rPr>
                <w:sz w:val="20"/>
                <w:szCs w:val="20"/>
                <w:color w:val="auto"/>
              </w:rPr>
            </w:pPr>
            <w:r>
              <w:rPr>
                <w:rFonts w:ascii="Arial" w:cs="Arial" w:eastAsia="Arial" w:hAnsi="Arial"/>
                <w:sz w:val="13"/>
                <w:szCs w:val="13"/>
                <w:b w:val="1"/>
                <w:bCs w:val="1"/>
                <w:color w:val="FFFFFF"/>
              </w:rPr>
              <w:t>($)</w:t>
            </w:r>
          </w:p>
        </w:tc>
        <w:tc>
          <w:tcPr>
            <w:tcW w:w="1380" w:type="dxa"/>
            <w:vAlign w:val="bottom"/>
            <w:shd w:val="clear" w:color="auto" w:fill="4834BA"/>
          </w:tcPr>
          <w:p>
            <w:pPr>
              <w:jc w:val="right"/>
              <w:ind w:right="113"/>
              <w:spacing w:after="0"/>
              <w:rPr>
                <w:sz w:val="20"/>
                <w:szCs w:val="20"/>
                <w:color w:val="auto"/>
              </w:rPr>
            </w:pPr>
            <w:r>
              <w:rPr>
                <w:rFonts w:ascii="Arial" w:cs="Arial" w:eastAsia="Arial" w:hAnsi="Arial"/>
                <w:sz w:val="13"/>
                <w:szCs w:val="13"/>
                <w:b w:val="1"/>
                <w:bCs w:val="1"/>
                <w:color w:val="FFFFFF"/>
              </w:rPr>
              <w:t>($)</w:t>
            </w:r>
          </w:p>
        </w:tc>
        <w:tc>
          <w:tcPr>
            <w:tcW w:w="1380" w:type="dxa"/>
            <w:vAlign w:val="bottom"/>
            <w:shd w:val="clear" w:color="auto" w:fill="4834BA"/>
          </w:tcPr>
          <w:p>
            <w:pPr>
              <w:jc w:val="right"/>
              <w:ind w:right="113"/>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4834BA"/>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3"/>
        </w:trPr>
        <w:tc>
          <w:tcPr>
            <w:tcW w:w="3320" w:type="dxa"/>
            <w:vAlign w:val="bottom"/>
          </w:tcPr>
          <w:p>
            <w:pPr>
              <w:ind w:left="80"/>
              <w:spacing w:after="0"/>
              <w:rPr>
                <w:sz w:val="20"/>
                <w:szCs w:val="20"/>
                <w:color w:val="auto"/>
              </w:rPr>
            </w:pPr>
            <w:r>
              <w:rPr>
                <w:rFonts w:ascii="Arial" w:cs="Arial" w:eastAsia="Arial" w:hAnsi="Arial"/>
                <w:sz w:val="13"/>
                <w:szCs w:val="13"/>
                <w:b w:val="1"/>
                <w:bCs w:val="1"/>
                <w:color w:val="auto"/>
              </w:rPr>
              <w:t>Chih-Hsiang (Thompson) Lin</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2025</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828,657</w:t>
            </w:r>
          </w:p>
        </w:tc>
        <w:tc>
          <w:tcPr>
            <w:tcW w:w="960" w:type="dxa"/>
            <w:vAlign w:val="bottom"/>
          </w:tcPr>
          <w:p>
            <w:pPr>
              <w:jc w:val="right"/>
              <w:ind w:right="113"/>
              <w:spacing w:after="0"/>
              <w:rPr>
                <w:sz w:val="20"/>
                <w:szCs w:val="20"/>
                <w:color w:val="auto"/>
              </w:rPr>
            </w:pPr>
            <w:r>
              <w:rPr>
                <w:rFonts w:ascii="Arial" w:cs="Arial" w:eastAsia="Arial" w:hAnsi="Arial"/>
                <w:sz w:val="13"/>
                <w:szCs w:val="13"/>
                <w:color w:val="auto"/>
              </w:rPr>
              <w:t>2,837,667</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1,009,087</w:t>
            </w: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93,603</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4,769,014</w:t>
            </w:r>
          </w:p>
        </w:tc>
        <w:tc>
          <w:tcPr>
            <w:tcW w:w="0" w:type="dxa"/>
            <w:vAlign w:val="bottom"/>
          </w:tcPr>
          <w:p>
            <w:pPr>
              <w:spacing w:after="0"/>
              <w:rPr>
                <w:sz w:val="1"/>
                <w:szCs w:val="1"/>
                <w:color w:val="auto"/>
              </w:rPr>
            </w:pPr>
          </w:p>
        </w:tc>
      </w:tr>
      <w:tr>
        <w:trPr>
          <w:trHeight w:val="67"/>
        </w:trPr>
        <w:tc>
          <w:tcPr>
            <w:tcW w:w="3320" w:type="dxa"/>
            <w:vAlign w:val="bottom"/>
            <w:vMerge w:val="restart"/>
          </w:tcPr>
          <w:p>
            <w:pPr>
              <w:ind w:left="80"/>
              <w:spacing w:after="0"/>
              <w:rPr>
                <w:sz w:val="20"/>
                <w:szCs w:val="20"/>
                <w:color w:val="auto"/>
              </w:rPr>
            </w:pPr>
            <w:r>
              <w:rPr>
                <w:rFonts w:ascii="Arial" w:cs="Arial" w:eastAsia="Arial" w:hAnsi="Arial"/>
                <w:sz w:val="13"/>
                <w:szCs w:val="13"/>
                <w:color w:val="auto"/>
              </w:rPr>
              <w:t>President and Chief Executive Officer</w:t>
            </w:r>
          </w:p>
        </w:tc>
        <w:tc>
          <w:tcPr>
            <w:tcW w:w="180" w:type="dxa"/>
            <w:vAlign w:val="bottom"/>
            <w:tcBorders>
              <w:bottom w:val="single" w:sz="8" w:color="999999"/>
            </w:tcBorders>
          </w:tcPr>
          <w:p>
            <w:pPr>
              <w:spacing w:after="0"/>
              <w:rPr>
                <w:sz w:val="5"/>
                <w:szCs w:val="5"/>
                <w:color w:val="auto"/>
              </w:rPr>
            </w:pPr>
          </w:p>
        </w:tc>
        <w:tc>
          <w:tcPr>
            <w:tcW w:w="320" w:type="dxa"/>
            <w:vAlign w:val="bottom"/>
            <w:tcBorders>
              <w:bottom w:val="single" w:sz="8" w:color="999999"/>
            </w:tcBorders>
          </w:tcPr>
          <w:p>
            <w:pPr>
              <w:spacing w:after="0"/>
              <w:rPr>
                <w:sz w:val="5"/>
                <w:szCs w:val="5"/>
                <w:color w:val="auto"/>
              </w:rPr>
            </w:pPr>
          </w:p>
        </w:tc>
        <w:tc>
          <w:tcPr>
            <w:tcW w:w="102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380" w:type="dxa"/>
            <w:vAlign w:val="bottom"/>
            <w:tcBorders>
              <w:bottom w:val="single" w:sz="8" w:color="999999"/>
            </w:tcBorders>
          </w:tcPr>
          <w:p>
            <w:pPr>
              <w:spacing w:after="0"/>
              <w:rPr>
                <w:sz w:val="5"/>
                <w:szCs w:val="5"/>
                <w:color w:val="auto"/>
              </w:rPr>
            </w:pPr>
          </w:p>
        </w:tc>
        <w:tc>
          <w:tcPr>
            <w:tcW w:w="1380" w:type="dxa"/>
            <w:vAlign w:val="bottom"/>
            <w:tcBorders>
              <w:bottom w:val="single" w:sz="8" w:color="999999"/>
            </w:tcBorders>
          </w:tcPr>
          <w:p>
            <w:pPr>
              <w:spacing w:after="0"/>
              <w:rPr>
                <w:sz w:val="5"/>
                <w:szCs w:val="5"/>
                <w:color w:val="auto"/>
              </w:rPr>
            </w:pPr>
          </w:p>
        </w:tc>
        <w:tc>
          <w:tcPr>
            <w:tcW w:w="84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320" w:type="dxa"/>
            <w:vAlign w:val="bottom"/>
            <w:vMerge w:val="continue"/>
          </w:tcPr>
          <w:p>
            <w:pPr>
              <w:spacing w:after="0"/>
              <w:rPr>
                <w:sz w:val="7"/>
                <w:szCs w:val="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2024</w:t>
            </w:r>
          </w:p>
        </w:tc>
        <w:tc>
          <w:tcPr>
            <w:tcW w:w="1020" w:type="dxa"/>
            <w:vAlign w:val="bottom"/>
            <w:vMerge w:val="restart"/>
          </w:tcPr>
          <w:p>
            <w:pPr>
              <w:jc w:val="right"/>
              <w:ind w:right="113"/>
              <w:spacing w:after="0"/>
              <w:rPr>
                <w:sz w:val="20"/>
                <w:szCs w:val="20"/>
                <w:color w:val="auto"/>
              </w:rPr>
            </w:pPr>
            <w:r>
              <w:rPr>
                <w:rFonts w:ascii="Arial" w:cs="Arial" w:eastAsia="Arial" w:hAnsi="Arial"/>
                <w:sz w:val="13"/>
                <w:szCs w:val="13"/>
                <w:color w:val="auto"/>
              </w:rPr>
              <w:t>693,251</w:t>
            </w:r>
          </w:p>
        </w:tc>
        <w:tc>
          <w:tcPr>
            <w:tcW w:w="960" w:type="dxa"/>
            <w:vAlign w:val="bottom"/>
            <w:vMerge w:val="restart"/>
          </w:tcPr>
          <w:p>
            <w:pPr>
              <w:jc w:val="right"/>
              <w:ind w:right="113"/>
              <w:spacing w:after="0"/>
              <w:rPr>
                <w:sz w:val="20"/>
                <w:szCs w:val="20"/>
                <w:color w:val="auto"/>
              </w:rPr>
            </w:pPr>
            <w:r>
              <w:rPr>
                <w:rFonts w:ascii="Arial" w:cs="Arial" w:eastAsia="Arial" w:hAnsi="Arial"/>
                <w:sz w:val="13"/>
                <w:szCs w:val="13"/>
                <w:color w:val="auto"/>
              </w:rPr>
              <w:t>2,522,729</w:t>
            </w:r>
          </w:p>
        </w:tc>
        <w:tc>
          <w:tcPr>
            <w:tcW w:w="1380" w:type="dxa"/>
            <w:vAlign w:val="bottom"/>
            <w:vMerge w:val="restart"/>
          </w:tcPr>
          <w:p>
            <w:pPr>
              <w:jc w:val="right"/>
              <w:ind w:right="113"/>
              <w:spacing w:after="0"/>
              <w:rPr>
                <w:sz w:val="20"/>
                <w:szCs w:val="20"/>
                <w:color w:val="auto"/>
              </w:rPr>
            </w:pPr>
            <w:r>
              <w:rPr>
                <w:rFonts w:ascii="Arial" w:cs="Arial" w:eastAsia="Arial" w:hAnsi="Arial"/>
                <w:sz w:val="13"/>
                <w:szCs w:val="13"/>
                <w:color w:val="auto"/>
              </w:rPr>
              <w:t>394,656</w:t>
            </w:r>
          </w:p>
        </w:tc>
        <w:tc>
          <w:tcPr>
            <w:tcW w:w="1380" w:type="dxa"/>
            <w:vAlign w:val="bottom"/>
            <w:vMerge w:val="restart"/>
          </w:tcPr>
          <w:p>
            <w:pPr>
              <w:jc w:val="right"/>
              <w:ind w:right="133"/>
              <w:spacing w:after="0"/>
              <w:rPr>
                <w:sz w:val="20"/>
                <w:szCs w:val="20"/>
                <w:color w:val="auto"/>
              </w:rPr>
            </w:pPr>
            <w:r>
              <w:rPr>
                <w:rFonts w:ascii="Arial" w:cs="Arial" w:eastAsia="Arial" w:hAnsi="Arial"/>
                <w:sz w:val="13"/>
                <w:szCs w:val="13"/>
                <w:color w:val="auto"/>
              </w:rPr>
              <w:t>84,785</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3,695,421</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500" w:type="dxa"/>
            <w:vAlign w:val="bottom"/>
            <w:tcBorders>
              <w:bottom w:val="single" w:sz="8" w:color="999999"/>
            </w:tcBorders>
            <w:gridSpan w:val="2"/>
          </w:tcPr>
          <w:p>
            <w:pPr>
              <w:spacing w:after="0"/>
              <w:rPr>
                <w:sz w:val="2"/>
                <w:szCs w:val="2"/>
                <w:color w:val="auto"/>
              </w:rPr>
            </w:pPr>
          </w:p>
        </w:tc>
        <w:tc>
          <w:tcPr>
            <w:tcW w:w="102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c>
          <w:tcPr>
            <w:tcW w:w="1380" w:type="dxa"/>
            <w:vAlign w:val="bottom"/>
            <w:tcBorders>
              <w:bottom w:val="single" w:sz="8" w:color="999999"/>
            </w:tcBorders>
          </w:tcPr>
          <w:p>
            <w:pPr>
              <w:spacing w:after="0"/>
              <w:rPr>
                <w:sz w:val="2"/>
                <w:szCs w:val="2"/>
                <w:color w:val="auto"/>
              </w:rPr>
            </w:pPr>
          </w:p>
        </w:tc>
        <w:tc>
          <w:tcPr>
            <w:tcW w:w="1380" w:type="dxa"/>
            <w:vAlign w:val="bottom"/>
            <w:tcBorders>
              <w:bottom w:val="single" w:sz="8" w:color="999999"/>
            </w:tcBorders>
          </w:tcPr>
          <w:p>
            <w:pPr>
              <w:spacing w:after="0"/>
              <w:rPr>
                <w:sz w:val="2"/>
                <w:szCs w:val="2"/>
                <w:color w:val="auto"/>
              </w:rPr>
            </w:pPr>
          </w:p>
        </w:tc>
        <w:tc>
          <w:tcPr>
            <w:tcW w:w="8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3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2023</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596,747</w:t>
            </w:r>
          </w:p>
        </w:tc>
        <w:tc>
          <w:tcPr>
            <w:tcW w:w="960" w:type="dxa"/>
            <w:vAlign w:val="bottom"/>
          </w:tcPr>
          <w:p>
            <w:pPr>
              <w:jc w:val="right"/>
              <w:ind w:right="113"/>
              <w:spacing w:after="0"/>
              <w:rPr>
                <w:sz w:val="20"/>
                <w:szCs w:val="20"/>
                <w:color w:val="auto"/>
              </w:rPr>
            </w:pPr>
            <w:r>
              <w:rPr>
                <w:rFonts w:ascii="Arial" w:cs="Arial" w:eastAsia="Arial" w:hAnsi="Arial"/>
                <w:sz w:val="13"/>
                <w:szCs w:val="13"/>
                <w:color w:val="auto"/>
              </w:rPr>
              <w:t>4,816,714</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594,334</w:t>
            </w: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41,675</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6,049,470</w:t>
            </w:r>
          </w:p>
        </w:tc>
        <w:tc>
          <w:tcPr>
            <w:tcW w:w="0" w:type="dxa"/>
            <w:vAlign w:val="bottom"/>
          </w:tcPr>
          <w:p>
            <w:pPr>
              <w:spacing w:after="0"/>
              <w:rPr>
                <w:sz w:val="1"/>
                <w:szCs w:val="1"/>
                <w:color w:val="auto"/>
              </w:rPr>
            </w:pPr>
          </w:p>
        </w:tc>
      </w:tr>
      <w:tr>
        <w:trPr>
          <w:trHeight w:val="26"/>
        </w:trPr>
        <w:tc>
          <w:tcPr>
            <w:tcW w:w="3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320" w:type="dxa"/>
            <w:vAlign w:val="bottom"/>
            <w:shd w:val="clear" w:color="auto" w:fill="E5E5E5"/>
          </w:tcPr>
          <w:p>
            <w:pPr>
              <w:ind w:left="80"/>
              <w:spacing w:after="0"/>
              <w:rPr>
                <w:sz w:val="20"/>
                <w:szCs w:val="20"/>
                <w:color w:val="auto"/>
              </w:rPr>
            </w:pPr>
            <w:r>
              <w:rPr>
                <w:rFonts w:ascii="Arial" w:cs="Arial" w:eastAsia="Arial" w:hAnsi="Arial"/>
                <w:sz w:val="13"/>
                <w:szCs w:val="13"/>
                <w:b w:val="1"/>
                <w:bCs w:val="1"/>
                <w:color w:val="auto"/>
              </w:rPr>
              <w:t>Stefan J. Murry</w:t>
            </w:r>
          </w:p>
        </w:tc>
        <w:tc>
          <w:tcPr>
            <w:tcW w:w="180" w:type="dxa"/>
            <w:vAlign w:val="bottom"/>
            <w:shd w:val="clear" w:color="auto" w:fill="E5E5E5"/>
          </w:tcPr>
          <w:p>
            <w:pPr>
              <w:spacing w:after="0"/>
              <w:rPr>
                <w:sz w:val="17"/>
                <w:szCs w:val="17"/>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w w:val="96"/>
              </w:rPr>
              <w:t>2025</w:t>
            </w:r>
          </w:p>
        </w:tc>
        <w:tc>
          <w:tcPr>
            <w:tcW w:w="1020" w:type="dxa"/>
            <w:vAlign w:val="bottom"/>
            <w:shd w:val="clear" w:color="auto" w:fill="E5E5E5"/>
          </w:tcPr>
          <w:p>
            <w:pPr>
              <w:jc w:val="right"/>
              <w:ind w:right="113"/>
              <w:spacing w:after="0"/>
              <w:rPr>
                <w:sz w:val="20"/>
                <w:szCs w:val="20"/>
                <w:color w:val="auto"/>
              </w:rPr>
            </w:pPr>
            <w:r>
              <w:rPr>
                <w:rFonts w:ascii="Arial" w:cs="Arial" w:eastAsia="Arial" w:hAnsi="Arial"/>
                <w:sz w:val="13"/>
                <w:szCs w:val="13"/>
                <w:color w:val="auto"/>
              </w:rPr>
              <w:t>517,084</w:t>
            </w:r>
          </w:p>
        </w:tc>
        <w:tc>
          <w:tcPr>
            <w:tcW w:w="960" w:type="dxa"/>
            <w:vAlign w:val="bottom"/>
            <w:shd w:val="clear" w:color="auto" w:fill="E5E5E5"/>
          </w:tcPr>
          <w:p>
            <w:pPr>
              <w:jc w:val="right"/>
              <w:ind w:right="113"/>
              <w:spacing w:after="0"/>
              <w:rPr>
                <w:sz w:val="20"/>
                <w:szCs w:val="20"/>
                <w:color w:val="auto"/>
              </w:rPr>
            </w:pPr>
            <w:r>
              <w:rPr>
                <w:rFonts w:ascii="Arial" w:cs="Arial" w:eastAsia="Arial" w:hAnsi="Arial"/>
                <w:sz w:val="13"/>
                <w:szCs w:val="13"/>
                <w:color w:val="auto"/>
              </w:rPr>
              <w:t>1,145,013</w:t>
            </w:r>
          </w:p>
        </w:tc>
        <w:tc>
          <w:tcPr>
            <w:tcW w:w="1380" w:type="dxa"/>
            <w:vAlign w:val="bottom"/>
            <w:shd w:val="clear" w:color="auto" w:fill="E5E5E5"/>
          </w:tcPr>
          <w:p>
            <w:pPr>
              <w:jc w:val="right"/>
              <w:ind w:right="113"/>
              <w:spacing w:after="0"/>
              <w:rPr>
                <w:sz w:val="20"/>
                <w:szCs w:val="20"/>
                <w:color w:val="auto"/>
              </w:rPr>
            </w:pPr>
            <w:r>
              <w:rPr>
                <w:rFonts w:ascii="Arial" w:cs="Arial" w:eastAsia="Arial" w:hAnsi="Arial"/>
                <w:sz w:val="13"/>
                <w:szCs w:val="13"/>
                <w:color w:val="auto"/>
              </w:rPr>
              <w:t>386,830</w:t>
            </w:r>
          </w:p>
        </w:tc>
        <w:tc>
          <w:tcPr>
            <w:tcW w:w="1380" w:type="dxa"/>
            <w:vAlign w:val="bottom"/>
            <w:shd w:val="clear" w:color="auto" w:fill="E5E5E5"/>
          </w:tcPr>
          <w:p>
            <w:pPr>
              <w:jc w:val="right"/>
              <w:ind w:right="133"/>
              <w:spacing w:after="0"/>
              <w:rPr>
                <w:sz w:val="20"/>
                <w:szCs w:val="20"/>
                <w:color w:val="auto"/>
              </w:rPr>
            </w:pPr>
            <w:r>
              <w:rPr>
                <w:rFonts w:ascii="Arial" w:cs="Arial" w:eastAsia="Arial" w:hAnsi="Arial"/>
                <w:sz w:val="13"/>
                <w:szCs w:val="13"/>
                <w:color w:val="auto"/>
              </w:rPr>
              <w:t>46,422</w:t>
            </w:r>
          </w:p>
        </w:tc>
        <w:tc>
          <w:tcPr>
            <w:tcW w:w="840" w:type="dxa"/>
            <w:vAlign w:val="bottom"/>
            <w:shd w:val="clear" w:color="auto" w:fill="E5E5E5"/>
          </w:tcPr>
          <w:p>
            <w:pPr>
              <w:jc w:val="right"/>
              <w:ind w:right="13"/>
              <w:spacing w:after="0"/>
              <w:rPr>
                <w:sz w:val="20"/>
                <w:szCs w:val="20"/>
                <w:color w:val="auto"/>
              </w:rPr>
            </w:pPr>
            <w:r>
              <w:rPr>
                <w:rFonts w:ascii="Arial" w:cs="Arial" w:eastAsia="Arial" w:hAnsi="Arial"/>
                <w:sz w:val="13"/>
                <w:szCs w:val="13"/>
                <w:color w:val="auto"/>
              </w:rPr>
              <w:t>2,095,350</w:t>
            </w:r>
          </w:p>
        </w:tc>
        <w:tc>
          <w:tcPr>
            <w:tcW w:w="0" w:type="dxa"/>
            <w:vAlign w:val="bottom"/>
          </w:tcPr>
          <w:p>
            <w:pPr>
              <w:spacing w:after="0"/>
              <w:rPr>
                <w:sz w:val="1"/>
                <w:szCs w:val="1"/>
                <w:color w:val="auto"/>
              </w:rPr>
            </w:pPr>
          </w:p>
        </w:tc>
      </w:tr>
      <w:tr>
        <w:trPr>
          <w:trHeight w:val="67"/>
        </w:trPr>
        <w:tc>
          <w:tcPr>
            <w:tcW w:w="3320" w:type="dxa"/>
            <w:vAlign w:val="bottom"/>
            <w:tcBorders>
              <w:bottom w:val="single" w:sz="8" w:color="E5E5E5"/>
            </w:tcBorders>
            <w:vMerge w:val="restart"/>
            <w:shd w:val="clear" w:color="auto" w:fill="E5E5E5"/>
          </w:tcPr>
          <w:p>
            <w:pPr>
              <w:ind w:left="80"/>
              <w:spacing w:after="0"/>
              <w:rPr>
                <w:sz w:val="20"/>
                <w:szCs w:val="20"/>
                <w:color w:val="auto"/>
              </w:rPr>
            </w:pPr>
            <w:r>
              <w:rPr>
                <w:rFonts w:ascii="Arial" w:cs="Arial" w:eastAsia="Arial" w:hAnsi="Arial"/>
                <w:sz w:val="13"/>
                <w:szCs w:val="13"/>
                <w:color w:val="auto"/>
              </w:rPr>
              <w:t>Chief Financial Officer and Chief Strategy Officer</w:t>
            </w:r>
          </w:p>
        </w:tc>
        <w:tc>
          <w:tcPr>
            <w:tcW w:w="180" w:type="dxa"/>
            <w:vAlign w:val="bottom"/>
            <w:tcBorders>
              <w:bottom w:val="single" w:sz="8" w:color="999999"/>
            </w:tcBorders>
            <w:shd w:val="clear" w:color="auto" w:fill="E5E5E5"/>
          </w:tcPr>
          <w:p>
            <w:pPr>
              <w:spacing w:after="0"/>
              <w:rPr>
                <w:sz w:val="5"/>
                <w:szCs w:val="5"/>
                <w:color w:val="auto"/>
              </w:rPr>
            </w:pPr>
          </w:p>
        </w:tc>
        <w:tc>
          <w:tcPr>
            <w:tcW w:w="320" w:type="dxa"/>
            <w:vAlign w:val="bottom"/>
            <w:tcBorders>
              <w:bottom w:val="single" w:sz="8" w:color="999999"/>
            </w:tcBorders>
            <w:shd w:val="clear" w:color="auto" w:fill="E5E5E5"/>
          </w:tcPr>
          <w:p>
            <w:pPr>
              <w:spacing w:after="0"/>
              <w:rPr>
                <w:sz w:val="5"/>
                <w:szCs w:val="5"/>
                <w:color w:val="auto"/>
              </w:rPr>
            </w:pPr>
          </w:p>
        </w:tc>
        <w:tc>
          <w:tcPr>
            <w:tcW w:w="1020" w:type="dxa"/>
            <w:vAlign w:val="bottom"/>
            <w:tcBorders>
              <w:bottom w:val="single" w:sz="8" w:color="999999"/>
            </w:tcBorders>
            <w:shd w:val="clear" w:color="auto" w:fill="E5E5E5"/>
          </w:tcPr>
          <w:p>
            <w:pPr>
              <w:spacing w:after="0"/>
              <w:rPr>
                <w:sz w:val="5"/>
                <w:szCs w:val="5"/>
                <w:color w:val="auto"/>
              </w:rPr>
            </w:pPr>
          </w:p>
        </w:tc>
        <w:tc>
          <w:tcPr>
            <w:tcW w:w="960" w:type="dxa"/>
            <w:vAlign w:val="bottom"/>
            <w:tcBorders>
              <w:bottom w:val="single" w:sz="8" w:color="999999"/>
            </w:tcBorders>
            <w:shd w:val="clear" w:color="auto" w:fill="E5E5E5"/>
          </w:tcPr>
          <w:p>
            <w:pPr>
              <w:spacing w:after="0"/>
              <w:rPr>
                <w:sz w:val="5"/>
                <w:szCs w:val="5"/>
                <w:color w:val="auto"/>
              </w:rPr>
            </w:pPr>
          </w:p>
        </w:tc>
        <w:tc>
          <w:tcPr>
            <w:tcW w:w="1380" w:type="dxa"/>
            <w:vAlign w:val="bottom"/>
            <w:tcBorders>
              <w:bottom w:val="single" w:sz="8" w:color="999999"/>
            </w:tcBorders>
            <w:shd w:val="clear" w:color="auto" w:fill="E5E5E5"/>
          </w:tcPr>
          <w:p>
            <w:pPr>
              <w:spacing w:after="0"/>
              <w:rPr>
                <w:sz w:val="5"/>
                <w:szCs w:val="5"/>
                <w:color w:val="auto"/>
              </w:rPr>
            </w:pPr>
          </w:p>
        </w:tc>
        <w:tc>
          <w:tcPr>
            <w:tcW w:w="1380" w:type="dxa"/>
            <w:vAlign w:val="bottom"/>
            <w:tcBorders>
              <w:bottom w:val="single" w:sz="8" w:color="999999"/>
            </w:tcBorders>
            <w:shd w:val="clear" w:color="auto" w:fill="E5E5E5"/>
          </w:tcPr>
          <w:p>
            <w:pPr>
              <w:spacing w:after="0"/>
              <w:rPr>
                <w:sz w:val="5"/>
                <w:szCs w:val="5"/>
                <w:color w:val="auto"/>
              </w:rPr>
            </w:pPr>
          </w:p>
        </w:tc>
        <w:tc>
          <w:tcPr>
            <w:tcW w:w="840" w:type="dxa"/>
            <w:vAlign w:val="bottom"/>
            <w:tcBorders>
              <w:bottom w:val="single" w:sz="8" w:color="999999"/>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320" w:type="dxa"/>
            <w:vAlign w:val="bottom"/>
            <w:vMerge w:val="continue"/>
            <w:shd w:val="clear" w:color="auto" w:fill="E5E5E5"/>
          </w:tcPr>
          <w:p>
            <w:pPr>
              <w:spacing w:after="0"/>
              <w:rPr>
                <w:sz w:val="7"/>
                <w:szCs w:val="7"/>
                <w:color w:val="auto"/>
              </w:rPr>
            </w:pPr>
          </w:p>
        </w:tc>
        <w:tc>
          <w:tcPr>
            <w:tcW w:w="180" w:type="dxa"/>
            <w:vAlign w:val="bottom"/>
            <w:shd w:val="clear" w:color="auto" w:fill="E5E5E5"/>
          </w:tcPr>
          <w:p>
            <w:pPr>
              <w:spacing w:after="0"/>
              <w:rPr>
                <w:sz w:val="7"/>
                <w:szCs w:val="7"/>
                <w:color w:val="auto"/>
              </w:rPr>
            </w:pPr>
          </w:p>
        </w:tc>
        <w:tc>
          <w:tcPr>
            <w:tcW w:w="32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w w:val="96"/>
              </w:rPr>
              <w:t>2024</w:t>
            </w:r>
          </w:p>
        </w:tc>
        <w:tc>
          <w:tcPr>
            <w:tcW w:w="1020" w:type="dxa"/>
            <w:vAlign w:val="bottom"/>
            <w:vMerge w:val="restart"/>
            <w:shd w:val="clear" w:color="auto" w:fill="E5E5E5"/>
          </w:tcPr>
          <w:p>
            <w:pPr>
              <w:jc w:val="right"/>
              <w:ind w:right="113"/>
              <w:spacing w:after="0"/>
              <w:rPr>
                <w:sz w:val="20"/>
                <w:szCs w:val="20"/>
                <w:color w:val="auto"/>
              </w:rPr>
            </w:pPr>
            <w:r>
              <w:rPr>
                <w:rFonts w:ascii="Arial" w:cs="Arial" w:eastAsia="Arial" w:hAnsi="Arial"/>
                <w:sz w:val="13"/>
                <w:szCs w:val="13"/>
                <w:color w:val="auto"/>
              </w:rPr>
              <w:t>454,179</w:t>
            </w:r>
          </w:p>
        </w:tc>
        <w:tc>
          <w:tcPr>
            <w:tcW w:w="960" w:type="dxa"/>
            <w:vAlign w:val="bottom"/>
            <w:vMerge w:val="restart"/>
            <w:shd w:val="clear" w:color="auto" w:fill="E5E5E5"/>
          </w:tcPr>
          <w:p>
            <w:pPr>
              <w:jc w:val="right"/>
              <w:ind w:right="113"/>
              <w:spacing w:after="0"/>
              <w:rPr>
                <w:sz w:val="20"/>
                <w:szCs w:val="20"/>
                <w:color w:val="auto"/>
              </w:rPr>
            </w:pPr>
            <w:r>
              <w:rPr>
                <w:rFonts w:ascii="Arial" w:cs="Arial" w:eastAsia="Arial" w:hAnsi="Arial"/>
                <w:sz w:val="13"/>
                <w:szCs w:val="13"/>
                <w:color w:val="auto"/>
              </w:rPr>
              <w:t>756,824</w:t>
            </w:r>
          </w:p>
        </w:tc>
        <w:tc>
          <w:tcPr>
            <w:tcW w:w="1380" w:type="dxa"/>
            <w:vAlign w:val="bottom"/>
            <w:vMerge w:val="restart"/>
            <w:shd w:val="clear" w:color="auto" w:fill="E5E5E5"/>
          </w:tcPr>
          <w:p>
            <w:pPr>
              <w:jc w:val="right"/>
              <w:ind w:right="113"/>
              <w:spacing w:after="0"/>
              <w:rPr>
                <w:sz w:val="20"/>
                <w:szCs w:val="20"/>
                <w:color w:val="auto"/>
              </w:rPr>
            </w:pPr>
            <w:r>
              <w:rPr>
                <w:rFonts w:ascii="Arial" w:cs="Arial" w:eastAsia="Arial" w:hAnsi="Arial"/>
                <w:sz w:val="13"/>
                <w:szCs w:val="13"/>
                <w:color w:val="auto"/>
              </w:rPr>
              <w:t>132,596</w:t>
            </w:r>
          </w:p>
        </w:tc>
        <w:tc>
          <w:tcPr>
            <w:tcW w:w="1380" w:type="dxa"/>
            <w:vAlign w:val="bottom"/>
            <w:vMerge w:val="restart"/>
            <w:shd w:val="clear" w:color="auto" w:fill="E5E5E5"/>
          </w:tcPr>
          <w:p>
            <w:pPr>
              <w:jc w:val="right"/>
              <w:ind w:right="133"/>
              <w:spacing w:after="0"/>
              <w:rPr>
                <w:sz w:val="20"/>
                <w:szCs w:val="20"/>
                <w:color w:val="auto"/>
              </w:rPr>
            </w:pPr>
            <w:r>
              <w:rPr>
                <w:rFonts w:ascii="Arial" w:cs="Arial" w:eastAsia="Arial" w:hAnsi="Arial"/>
                <w:sz w:val="13"/>
                <w:szCs w:val="13"/>
                <w:color w:val="auto"/>
              </w:rPr>
              <w:t>39,451</w:t>
            </w:r>
          </w:p>
        </w:tc>
        <w:tc>
          <w:tcPr>
            <w:tcW w:w="840" w:type="dxa"/>
            <w:vAlign w:val="bottom"/>
            <w:vMerge w:val="restart"/>
            <w:shd w:val="clear" w:color="auto" w:fill="E5E5E5"/>
          </w:tcPr>
          <w:p>
            <w:pPr>
              <w:jc w:val="right"/>
              <w:ind w:right="13"/>
              <w:spacing w:after="0"/>
              <w:rPr>
                <w:sz w:val="20"/>
                <w:szCs w:val="20"/>
                <w:color w:val="auto"/>
              </w:rPr>
            </w:pPr>
            <w:r>
              <w:rPr>
                <w:rFonts w:ascii="Arial" w:cs="Arial" w:eastAsia="Arial" w:hAnsi="Arial"/>
                <w:sz w:val="13"/>
                <w:szCs w:val="13"/>
                <w:color w:val="auto"/>
              </w:rPr>
              <w:t>1,383,050</w:t>
            </w:r>
          </w:p>
        </w:tc>
        <w:tc>
          <w:tcPr>
            <w:tcW w:w="0" w:type="dxa"/>
            <w:vAlign w:val="bottom"/>
          </w:tcPr>
          <w:p>
            <w:pPr>
              <w:spacing w:after="0"/>
              <w:rPr>
                <w:sz w:val="1"/>
                <w:szCs w:val="1"/>
                <w:color w:val="auto"/>
              </w:rPr>
            </w:pPr>
          </w:p>
        </w:tc>
      </w:tr>
      <w:tr>
        <w:trPr>
          <w:trHeight w:val="134"/>
        </w:trPr>
        <w:tc>
          <w:tcPr>
            <w:tcW w:w="3320" w:type="dxa"/>
            <w:vAlign w:val="bottom"/>
            <w:tcBorders>
              <w:bottom w:val="single" w:sz="8" w:color="E5E5E5"/>
            </w:tcBorders>
            <w:shd w:val="clear" w:color="auto" w:fill="E5E5E5"/>
          </w:tcPr>
          <w:p>
            <w:pPr>
              <w:spacing w:after="0"/>
              <w:rPr>
                <w:sz w:val="11"/>
                <w:szCs w:val="11"/>
                <w:color w:val="auto"/>
              </w:rPr>
            </w:pPr>
          </w:p>
        </w:tc>
        <w:tc>
          <w:tcPr>
            <w:tcW w:w="180" w:type="dxa"/>
            <w:vAlign w:val="bottom"/>
            <w:tcBorders>
              <w:bottom w:val="single" w:sz="8" w:color="E5E5E5"/>
            </w:tcBorders>
            <w:shd w:val="clear" w:color="auto" w:fill="E5E5E5"/>
          </w:tcPr>
          <w:p>
            <w:pPr>
              <w:spacing w:after="0"/>
              <w:rPr>
                <w:sz w:val="11"/>
                <w:szCs w:val="11"/>
                <w:color w:val="auto"/>
              </w:rPr>
            </w:pPr>
          </w:p>
        </w:tc>
        <w:tc>
          <w:tcPr>
            <w:tcW w:w="320" w:type="dxa"/>
            <w:vAlign w:val="bottom"/>
            <w:tcBorders>
              <w:bottom w:val="single" w:sz="8" w:color="E5E5E5"/>
            </w:tcBorders>
            <w:vMerge w:val="continue"/>
            <w:shd w:val="clear" w:color="auto" w:fill="E5E5E5"/>
          </w:tcPr>
          <w:p>
            <w:pPr>
              <w:spacing w:after="0"/>
              <w:rPr>
                <w:sz w:val="11"/>
                <w:szCs w:val="11"/>
                <w:color w:val="auto"/>
              </w:rPr>
            </w:pPr>
          </w:p>
        </w:tc>
        <w:tc>
          <w:tcPr>
            <w:tcW w:w="1020" w:type="dxa"/>
            <w:vAlign w:val="bottom"/>
            <w:tcBorders>
              <w:bottom w:val="single" w:sz="8" w:color="E5E5E5"/>
            </w:tcBorders>
            <w:vMerge w:val="continue"/>
            <w:shd w:val="clear" w:color="auto" w:fill="E5E5E5"/>
          </w:tcPr>
          <w:p>
            <w:pPr>
              <w:spacing w:after="0"/>
              <w:rPr>
                <w:sz w:val="11"/>
                <w:szCs w:val="11"/>
                <w:color w:val="auto"/>
              </w:rPr>
            </w:pPr>
          </w:p>
        </w:tc>
        <w:tc>
          <w:tcPr>
            <w:tcW w:w="960" w:type="dxa"/>
            <w:vAlign w:val="bottom"/>
            <w:tcBorders>
              <w:bottom w:val="single" w:sz="8" w:color="E5E5E5"/>
            </w:tcBorders>
            <w:vMerge w:val="continue"/>
            <w:shd w:val="clear" w:color="auto" w:fill="E5E5E5"/>
          </w:tcPr>
          <w:p>
            <w:pPr>
              <w:spacing w:after="0"/>
              <w:rPr>
                <w:sz w:val="11"/>
                <w:szCs w:val="11"/>
                <w:color w:val="auto"/>
              </w:rPr>
            </w:pPr>
          </w:p>
        </w:tc>
        <w:tc>
          <w:tcPr>
            <w:tcW w:w="1380" w:type="dxa"/>
            <w:vAlign w:val="bottom"/>
            <w:tcBorders>
              <w:bottom w:val="single" w:sz="8" w:color="E5E5E5"/>
            </w:tcBorders>
            <w:vMerge w:val="continue"/>
            <w:shd w:val="clear" w:color="auto" w:fill="E5E5E5"/>
          </w:tcPr>
          <w:p>
            <w:pPr>
              <w:spacing w:after="0"/>
              <w:rPr>
                <w:sz w:val="11"/>
                <w:szCs w:val="11"/>
                <w:color w:val="auto"/>
              </w:rPr>
            </w:pPr>
          </w:p>
        </w:tc>
        <w:tc>
          <w:tcPr>
            <w:tcW w:w="1380" w:type="dxa"/>
            <w:vAlign w:val="bottom"/>
            <w:tcBorders>
              <w:bottom w:val="single" w:sz="8" w:color="E5E5E5"/>
            </w:tcBorders>
            <w:vMerge w:val="continue"/>
            <w:shd w:val="clear" w:color="auto" w:fill="E5E5E5"/>
          </w:tcPr>
          <w:p>
            <w:pPr>
              <w:spacing w:after="0"/>
              <w:rPr>
                <w:sz w:val="11"/>
                <w:szCs w:val="11"/>
                <w:color w:val="auto"/>
              </w:rPr>
            </w:pPr>
          </w:p>
        </w:tc>
        <w:tc>
          <w:tcPr>
            <w:tcW w:w="840" w:type="dxa"/>
            <w:vAlign w:val="bottom"/>
            <w:tcBorders>
              <w:bottom w:val="single" w:sz="8" w:color="E5E5E5"/>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180" w:type="dxa"/>
            <w:vAlign w:val="bottom"/>
            <w:tcBorders>
              <w:top w:val="single" w:sz="8" w:color="999999"/>
              <w:bottom w:val="single" w:sz="8" w:color="E5E5E5"/>
            </w:tcBorders>
            <w:shd w:val="clear" w:color="auto" w:fill="E5E5E5"/>
          </w:tcPr>
          <w:p>
            <w:pPr>
              <w:spacing w:after="0"/>
              <w:rPr>
                <w:sz w:val="19"/>
                <w:szCs w:val="19"/>
                <w:color w:val="auto"/>
              </w:rPr>
            </w:pPr>
          </w:p>
        </w:tc>
        <w:tc>
          <w:tcPr>
            <w:tcW w:w="32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w w:val="96"/>
              </w:rPr>
              <w:t>2023</w:t>
            </w:r>
          </w:p>
        </w:tc>
        <w:tc>
          <w:tcPr>
            <w:tcW w:w="1020" w:type="dxa"/>
            <w:vAlign w:val="bottom"/>
            <w:tcBorders>
              <w:top w:val="single" w:sz="8" w:color="999999"/>
              <w:bottom w:val="single" w:sz="8" w:color="E5E5E5"/>
            </w:tcBorders>
            <w:shd w:val="clear" w:color="auto" w:fill="E5E5E5"/>
          </w:tcPr>
          <w:p>
            <w:pPr>
              <w:jc w:val="right"/>
              <w:ind w:right="113"/>
              <w:spacing w:after="0"/>
              <w:rPr>
                <w:sz w:val="20"/>
                <w:szCs w:val="20"/>
                <w:color w:val="auto"/>
              </w:rPr>
            </w:pPr>
            <w:r>
              <w:rPr>
                <w:rFonts w:ascii="Arial" w:cs="Arial" w:eastAsia="Arial" w:hAnsi="Arial"/>
                <w:sz w:val="13"/>
                <w:szCs w:val="13"/>
                <w:color w:val="auto"/>
              </w:rPr>
              <w:t>400,564</w:t>
            </w:r>
          </w:p>
        </w:tc>
        <w:tc>
          <w:tcPr>
            <w:tcW w:w="960" w:type="dxa"/>
            <w:vAlign w:val="bottom"/>
            <w:tcBorders>
              <w:top w:val="single" w:sz="8" w:color="999999"/>
              <w:bottom w:val="single" w:sz="8" w:color="E5E5E5"/>
            </w:tcBorders>
            <w:shd w:val="clear" w:color="auto" w:fill="E5E5E5"/>
          </w:tcPr>
          <w:p>
            <w:pPr>
              <w:jc w:val="right"/>
              <w:ind w:right="113"/>
              <w:spacing w:after="0"/>
              <w:rPr>
                <w:sz w:val="20"/>
                <w:szCs w:val="20"/>
                <w:color w:val="auto"/>
              </w:rPr>
            </w:pPr>
            <w:r>
              <w:rPr>
                <w:rFonts w:ascii="Arial" w:cs="Arial" w:eastAsia="Arial" w:hAnsi="Arial"/>
                <w:sz w:val="13"/>
                <w:szCs w:val="13"/>
                <w:color w:val="auto"/>
              </w:rPr>
              <w:t>1,685,852</w:t>
            </w:r>
          </w:p>
        </w:tc>
        <w:tc>
          <w:tcPr>
            <w:tcW w:w="1380" w:type="dxa"/>
            <w:vAlign w:val="bottom"/>
            <w:tcBorders>
              <w:top w:val="single" w:sz="8" w:color="999999"/>
              <w:bottom w:val="single" w:sz="8" w:color="E5E5E5"/>
            </w:tcBorders>
            <w:shd w:val="clear" w:color="auto" w:fill="E5E5E5"/>
          </w:tcPr>
          <w:p>
            <w:pPr>
              <w:jc w:val="right"/>
              <w:ind w:right="113"/>
              <w:spacing w:after="0"/>
              <w:rPr>
                <w:sz w:val="20"/>
                <w:szCs w:val="20"/>
                <w:color w:val="auto"/>
              </w:rPr>
            </w:pPr>
            <w:r>
              <w:rPr>
                <w:rFonts w:ascii="Arial" w:cs="Arial" w:eastAsia="Arial" w:hAnsi="Arial"/>
                <w:sz w:val="13"/>
                <w:szCs w:val="13"/>
                <w:color w:val="auto"/>
              </w:rPr>
              <w:t>199,684</w:t>
            </w:r>
          </w:p>
        </w:tc>
        <w:tc>
          <w:tcPr>
            <w:tcW w:w="1380" w:type="dxa"/>
            <w:vAlign w:val="bottom"/>
            <w:tcBorders>
              <w:top w:val="single" w:sz="8" w:color="999999"/>
              <w:bottom w:val="single" w:sz="8" w:color="E5E5E5"/>
            </w:tcBorders>
            <w:shd w:val="clear" w:color="auto" w:fill="E5E5E5"/>
          </w:tcPr>
          <w:p>
            <w:pPr>
              <w:jc w:val="right"/>
              <w:ind w:right="133"/>
              <w:spacing w:after="0"/>
              <w:rPr>
                <w:sz w:val="20"/>
                <w:szCs w:val="20"/>
                <w:color w:val="auto"/>
              </w:rPr>
            </w:pPr>
            <w:r>
              <w:rPr>
                <w:rFonts w:ascii="Arial" w:cs="Arial" w:eastAsia="Arial" w:hAnsi="Arial"/>
                <w:sz w:val="13"/>
                <w:szCs w:val="13"/>
                <w:color w:val="auto"/>
              </w:rPr>
              <w:t>37,611</w:t>
            </w:r>
          </w:p>
        </w:tc>
        <w:tc>
          <w:tcPr>
            <w:tcW w:w="84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2,323,710</w:t>
            </w:r>
          </w:p>
        </w:tc>
        <w:tc>
          <w:tcPr>
            <w:tcW w:w="0" w:type="dxa"/>
            <w:vAlign w:val="bottom"/>
          </w:tcPr>
          <w:p>
            <w:pPr>
              <w:spacing w:after="0"/>
              <w:rPr>
                <w:sz w:val="1"/>
                <w:szCs w:val="1"/>
                <w:color w:val="auto"/>
              </w:rPr>
            </w:pPr>
          </w:p>
        </w:tc>
      </w:tr>
      <w:tr>
        <w:trPr>
          <w:trHeight w:val="197"/>
        </w:trPr>
        <w:tc>
          <w:tcPr>
            <w:tcW w:w="332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rPr>
              <w:t>Hung-Lun (Fred) Chang</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2025</w:t>
            </w:r>
          </w:p>
        </w:tc>
        <w:tc>
          <w:tcPr>
            <w:tcW w:w="102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444,301</w:t>
            </w:r>
          </w:p>
        </w:tc>
        <w:tc>
          <w:tcPr>
            <w:tcW w:w="96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896,101</w:t>
            </w:r>
          </w:p>
        </w:tc>
        <w:tc>
          <w:tcPr>
            <w:tcW w:w="138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348,034</w:t>
            </w:r>
          </w:p>
        </w:tc>
        <w:tc>
          <w:tcPr>
            <w:tcW w:w="1380" w:type="dxa"/>
            <w:vAlign w:val="bottom"/>
            <w:tcBorders>
              <w:top w:val="single" w:sz="8" w:color="auto"/>
            </w:tcBorders>
          </w:tcPr>
          <w:p>
            <w:pPr>
              <w:jc w:val="right"/>
              <w:ind w:right="133"/>
              <w:spacing w:after="0"/>
              <w:rPr>
                <w:sz w:val="20"/>
                <w:szCs w:val="20"/>
                <w:color w:val="auto"/>
              </w:rPr>
            </w:pPr>
            <w:r>
              <w:rPr>
                <w:rFonts w:ascii="Arial" w:cs="Arial" w:eastAsia="Arial" w:hAnsi="Arial"/>
                <w:sz w:val="13"/>
                <w:szCs w:val="13"/>
                <w:color w:val="auto"/>
              </w:rPr>
              <w:t>21,324</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1,709,760</w:t>
            </w:r>
          </w:p>
        </w:tc>
        <w:tc>
          <w:tcPr>
            <w:tcW w:w="0" w:type="dxa"/>
            <w:vAlign w:val="bottom"/>
          </w:tcPr>
          <w:p>
            <w:pPr>
              <w:spacing w:after="0"/>
              <w:rPr>
                <w:sz w:val="1"/>
                <w:szCs w:val="1"/>
                <w:color w:val="auto"/>
              </w:rPr>
            </w:pPr>
          </w:p>
        </w:tc>
      </w:tr>
      <w:tr>
        <w:trPr>
          <w:trHeight w:val="67"/>
        </w:trPr>
        <w:tc>
          <w:tcPr>
            <w:tcW w:w="3320" w:type="dxa"/>
            <w:vAlign w:val="bottom"/>
            <w:vMerge w:val="restart"/>
          </w:tcPr>
          <w:p>
            <w:pPr>
              <w:ind w:left="80"/>
              <w:spacing w:after="0"/>
              <w:rPr>
                <w:sz w:val="20"/>
                <w:szCs w:val="20"/>
                <w:color w:val="auto"/>
              </w:rPr>
            </w:pPr>
            <w:r>
              <w:rPr>
                <w:rFonts w:ascii="Arial" w:cs="Arial" w:eastAsia="Arial" w:hAnsi="Arial"/>
                <w:sz w:val="13"/>
                <w:szCs w:val="13"/>
                <w:color w:val="auto"/>
              </w:rPr>
              <w:t>Senior Vice President and North America General</w:t>
            </w:r>
          </w:p>
        </w:tc>
        <w:tc>
          <w:tcPr>
            <w:tcW w:w="180" w:type="dxa"/>
            <w:vAlign w:val="bottom"/>
            <w:tcBorders>
              <w:bottom w:val="single" w:sz="8" w:color="999999"/>
            </w:tcBorders>
          </w:tcPr>
          <w:p>
            <w:pPr>
              <w:spacing w:after="0"/>
              <w:rPr>
                <w:sz w:val="5"/>
                <w:szCs w:val="5"/>
                <w:color w:val="auto"/>
              </w:rPr>
            </w:pPr>
          </w:p>
        </w:tc>
        <w:tc>
          <w:tcPr>
            <w:tcW w:w="320" w:type="dxa"/>
            <w:vAlign w:val="bottom"/>
            <w:tcBorders>
              <w:bottom w:val="single" w:sz="8" w:color="999999"/>
            </w:tcBorders>
          </w:tcPr>
          <w:p>
            <w:pPr>
              <w:spacing w:after="0"/>
              <w:rPr>
                <w:sz w:val="5"/>
                <w:szCs w:val="5"/>
                <w:color w:val="auto"/>
              </w:rPr>
            </w:pPr>
          </w:p>
        </w:tc>
        <w:tc>
          <w:tcPr>
            <w:tcW w:w="102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380" w:type="dxa"/>
            <w:vAlign w:val="bottom"/>
            <w:tcBorders>
              <w:bottom w:val="single" w:sz="8" w:color="999999"/>
            </w:tcBorders>
          </w:tcPr>
          <w:p>
            <w:pPr>
              <w:spacing w:after="0"/>
              <w:rPr>
                <w:sz w:val="5"/>
                <w:szCs w:val="5"/>
                <w:color w:val="auto"/>
              </w:rPr>
            </w:pPr>
          </w:p>
        </w:tc>
        <w:tc>
          <w:tcPr>
            <w:tcW w:w="1380" w:type="dxa"/>
            <w:vAlign w:val="bottom"/>
            <w:tcBorders>
              <w:bottom w:val="single" w:sz="8" w:color="999999"/>
            </w:tcBorders>
          </w:tcPr>
          <w:p>
            <w:pPr>
              <w:spacing w:after="0"/>
              <w:rPr>
                <w:sz w:val="5"/>
                <w:szCs w:val="5"/>
                <w:color w:val="auto"/>
              </w:rPr>
            </w:pPr>
          </w:p>
        </w:tc>
        <w:tc>
          <w:tcPr>
            <w:tcW w:w="84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320" w:type="dxa"/>
            <w:vAlign w:val="bottom"/>
            <w:vMerge w:val="continue"/>
          </w:tcPr>
          <w:p>
            <w:pPr>
              <w:spacing w:after="0"/>
              <w:rPr>
                <w:sz w:val="7"/>
                <w:szCs w:val="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2024</w:t>
            </w:r>
          </w:p>
        </w:tc>
        <w:tc>
          <w:tcPr>
            <w:tcW w:w="1020" w:type="dxa"/>
            <w:vAlign w:val="bottom"/>
            <w:vMerge w:val="restart"/>
          </w:tcPr>
          <w:p>
            <w:pPr>
              <w:jc w:val="right"/>
              <w:ind w:right="113"/>
              <w:spacing w:after="0"/>
              <w:rPr>
                <w:sz w:val="20"/>
                <w:szCs w:val="20"/>
                <w:color w:val="auto"/>
              </w:rPr>
            </w:pPr>
            <w:r>
              <w:rPr>
                <w:rFonts w:ascii="Arial" w:cs="Arial" w:eastAsia="Arial" w:hAnsi="Arial"/>
                <w:sz w:val="13"/>
                <w:szCs w:val="13"/>
                <w:color w:val="auto"/>
              </w:rPr>
              <w:t>404,039</w:t>
            </w:r>
          </w:p>
        </w:tc>
        <w:tc>
          <w:tcPr>
            <w:tcW w:w="960" w:type="dxa"/>
            <w:vAlign w:val="bottom"/>
            <w:vMerge w:val="restart"/>
          </w:tcPr>
          <w:p>
            <w:pPr>
              <w:jc w:val="right"/>
              <w:ind w:right="113"/>
              <w:spacing w:after="0"/>
              <w:rPr>
                <w:sz w:val="20"/>
                <w:szCs w:val="20"/>
                <w:color w:val="auto"/>
              </w:rPr>
            </w:pPr>
            <w:r>
              <w:rPr>
                <w:rFonts w:ascii="Arial" w:cs="Arial" w:eastAsia="Arial" w:hAnsi="Arial"/>
                <w:sz w:val="13"/>
                <w:szCs w:val="13"/>
                <w:color w:val="auto"/>
              </w:rPr>
              <w:t>683,234</w:t>
            </w:r>
          </w:p>
        </w:tc>
        <w:tc>
          <w:tcPr>
            <w:tcW w:w="1380" w:type="dxa"/>
            <w:vAlign w:val="bottom"/>
            <w:vMerge w:val="restart"/>
          </w:tcPr>
          <w:p>
            <w:pPr>
              <w:jc w:val="right"/>
              <w:ind w:right="113"/>
              <w:spacing w:after="0"/>
              <w:rPr>
                <w:sz w:val="20"/>
                <w:szCs w:val="20"/>
                <w:color w:val="auto"/>
              </w:rPr>
            </w:pPr>
            <w:r>
              <w:rPr>
                <w:rFonts w:ascii="Arial" w:cs="Arial" w:eastAsia="Arial" w:hAnsi="Arial"/>
                <w:sz w:val="13"/>
                <w:szCs w:val="13"/>
                <w:color w:val="auto"/>
              </w:rPr>
              <w:t>119,298</w:t>
            </w:r>
          </w:p>
        </w:tc>
        <w:tc>
          <w:tcPr>
            <w:tcW w:w="1380" w:type="dxa"/>
            <w:vAlign w:val="bottom"/>
            <w:vMerge w:val="restart"/>
          </w:tcPr>
          <w:p>
            <w:pPr>
              <w:jc w:val="right"/>
              <w:ind w:right="133"/>
              <w:spacing w:after="0"/>
              <w:rPr>
                <w:sz w:val="20"/>
                <w:szCs w:val="20"/>
                <w:color w:val="auto"/>
              </w:rPr>
            </w:pPr>
            <w:r>
              <w:rPr>
                <w:rFonts w:ascii="Arial" w:cs="Arial" w:eastAsia="Arial" w:hAnsi="Arial"/>
                <w:sz w:val="13"/>
                <w:szCs w:val="13"/>
                <w:color w:val="auto"/>
              </w:rPr>
              <w:t>20,726</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1,227,297</w:t>
            </w:r>
          </w:p>
        </w:tc>
        <w:tc>
          <w:tcPr>
            <w:tcW w:w="0" w:type="dxa"/>
            <w:vAlign w:val="bottom"/>
          </w:tcPr>
          <w:p>
            <w:pPr>
              <w:spacing w:after="0"/>
              <w:rPr>
                <w:sz w:val="1"/>
                <w:szCs w:val="1"/>
                <w:color w:val="auto"/>
              </w:rPr>
            </w:pPr>
          </w:p>
        </w:tc>
      </w:tr>
      <w:tr>
        <w:trPr>
          <w:trHeight w:val="109"/>
        </w:trPr>
        <w:tc>
          <w:tcPr>
            <w:tcW w:w="3320" w:type="dxa"/>
            <w:vAlign w:val="bottom"/>
            <w:vMerge w:val="restart"/>
          </w:tcPr>
          <w:p>
            <w:pPr>
              <w:ind w:left="80"/>
              <w:spacing w:after="0" w:line="114" w:lineRule="exact"/>
              <w:rPr>
                <w:sz w:val="20"/>
                <w:szCs w:val="20"/>
                <w:color w:val="auto"/>
              </w:rPr>
            </w:pPr>
            <w:r>
              <w:rPr>
                <w:rFonts w:ascii="Arial" w:cs="Arial" w:eastAsia="Arial" w:hAnsi="Arial"/>
                <w:sz w:val="13"/>
                <w:szCs w:val="13"/>
                <w:color w:val="auto"/>
              </w:rPr>
              <w:t>Manager</w:t>
            </w:r>
          </w:p>
        </w:tc>
        <w:tc>
          <w:tcPr>
            <w:tcW w:w="50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320" w:type="dxa"/>
            <w:vAlign w:val="bottom"/>
            <w:vMerge w:val="continue"/>
          </w:tcPr>
          <w:p>
            <w:pPr>
              <w:spacing w:after="0"/>
              <w:rPr>
                <w:sz w:val="2"/>
                <w:szCs w:val="2"/>
                <w:color w:val="auto"/>
              </w:rPr>
            </w:pPr>
          </w:p>
        </w:tc>
        <w:tc>
          <w:tcPr>
            <w:tcW w:w="18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102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c>
          <w:tcPr>
            <w:tcW w:w="1380" w:type="dxa"/>
            <w:vAlign w:val="bottom"/>
            <w:tcBorders>
              <w:bottom w:val="single" w:sz="8" w:color="999999"/>
            </w:tcBorders>
          </w:tcPr>
          <w:p>
            <w:pPr>
              <w:spacing w:after="0"/>
              <w:rPr>
                <w:sz w:val="2"/>
                <w:szCs w:val="2"/>
                <w:color w:val="auto"/>
              </w:rPr>
            </w:pPr>
          </w:p>
        </w:tc>
        <w:tc>
          <w:tcPr>
            <w:tcW w:w="1380" w:type="dxa"/>
            <w:vAlign w:val="bottom"/>
            <w:tcBorders>
              <w:bottom w:val="single" w:sz="8" w:color="999999"/>
            </w:tcBorders>
          </w:tcPr>
          <w:p>
            <w:pPr>
              <w:spacing w:after="0"/>
              <w:rPr>
                <w:sz w:val="2"/>
                <w:szCs w:val="2"/>
                <w:color w:val="auto"/>
              </w:rPr>
            </w:pPr>
          </w:p>
        </w:tc>
        <w:tc>
          <w:tcPr>
            <w:tcW w:w="8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2023</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350,169</w:t>
            </w:r>
          </w:p>
        </w:tc>
        <w:tc>
          <w:tcPr>
            <w:tcW w:w="960" w:type="dxa"/>
            <w:vAlign w:val="bottom"/>
          </w:tcPr>
          <w:p>
            <w:pPr>
              <w:jc w:val="right"/>
              <w:ind w:right="113"/>
              <w:spacing w:after="0"/>
              <w:rPr>
                <w:sz w:val="20"/>
                <w:szCs w:val="20"/>
                <w:color w:val="auto"/>
              </w:rPr>
            </w:pPr>
            <w:r>
              <w:rPr>
                <w:rFonts w:ascii="Arial" w:cs="Arial" w:eastAsia="Arial" w:hAnsi="Arial"/>
                <w:sz w:val="13"/>
                <w:szCs w:val="13"/>
                <w:color w:val="auto"/>
              </w:rPr>
              <w:t>1,517,260</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179,657</w:t>
            </w: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17,156</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2,064,242</w:t>
            </w:r>
          </w:p>
        </w:tc>
        <w:tc>
          <w:tcPr>
            <w:tcW w:w="0" w:type="dxa"/>
            <w:vAlign w:val="bottom"/>
          </w:tcPr>
          <w:p>
            <w:pPr>
              <w:spacing w:after="0"/>
              <w:rPr>
                <w:sz w:val="1"/>
                <w:szCs w:val="1"/>
                <w:color w:val="auto"/>
              </w:rPr>
            </w:pPr>
          </w:p>
        </w:tc>
      </w:tr>
      <w:tr>
        <w:trPr>
          <w:trHeight w:val="26"/>
        </w:trPr>
        <w:tc>
          <w:tcPr>
            <w:tcW w:w="3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32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Shu-Hua (Joshua) Yeh</w:t>
            </w:r>
            <w:r>
              <w:rPr>
                <w:rFonts w:ascii="Arial" w:cs="Arial" w:eastAsia="Arial" w:hAnsi="Arial"/>
                <w:sz w:val="16"/>
                <w:szCs w:val="16"/>
                <w:b w:val="1"/>
                <w:bCs w:val="1"/>
                <w:color w:val="auto"/>
                <w:vertAlign w:val="superscript"/>
              </w:rPr>
              <w:t>(4)</w:t>
            </w:r>
          </w:p>
        </w:tc>
        <w:tc>
          <w:tcPr>
            <w:tcW w:w="18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w w:val="96"/>
              </w:rPr>
              <w:t>2025</w:t>
            </w:r>
          </w:p>
        </w:tc>
        <w:tc>
          <w:tcPr>
            <w:tcW w:w="1020" w:type="dxa"/>
            <w:vAlign w:val="bottom"/>
            <w:tcBorders>
              <w:bottom w:val="single" w:sz="8" w:color="E5E5E5"/>
            </w:tcBorders>
            <w:shd w:val="clear" w:color="auto" w:fill="E5E5E5"/>
          </w:tcPr>
          <w:p>
            <w:pPr>
              <w:jc w:val="right"/>
              <w:ind w:right="113"/>
              <w:spacing w:after="0"/>
              <w:rPr>
                <w:sz w:val="20"/>
                <w:szCs w:val="20"/>
                <w:color w:val="auto"/>
              </w:rPr>
            </w:pPr>
            <w:r>
              <w:rPr>
                <w:rFonts w:ascii="Arial" w:cs="Arial" w:eastAsia="Arial" w:hAnsi="Arial"/>
                <w:sz w:val="13"/>
                <w:szCs w:val="13"/>
                <w:color w:val="auto"/>
              </w:rPr>
              <w:t>411,918</w:t>
            </w:r>
          </w:p>
        </w:tc>
        <w:tc>
          <w:tcPr>
            <w:tcW w:w="960" w:type="dxa"/>
            <w:vAlign w:val="bottom"/>
            <w:tcBorders>
              <w:bottom w:val="single" w:sz="8" w:color="E5E5E5"/>
            </w:tcBorders>
            <w:shd w:val="clear" w:color="auto" w:fill="E5E5E5"/>
          </w:tcPr>
          <w:p>
            <w:pPr>
              <w:jc w:val="right"/>
              <w:ind w:right="113"/>
              <w:spacing w:after="0"/>
              <w:rPr>
                <w:sz w:val="20"/>
                <w:szCs w:val="20"/>
                <w:color w:val="auto"/>
              </w:rPr>
            </w:pPr>
            <w:r>
              <w:rPr>
                <w:rFonts w:ascii="Arial" w:cs="Arial" w:eastAsia="Arial" w:hAnsi="Arial"/>
                <w:sz w:val="13"/>
                <w:szCs w:val="13"/>
                <w:color w:val="auto"/>
              </w:rPr>
              <w:t>896,101</w:t>
            </w:r>
          </w:p>
        </w:tc>
        <w:tc>
          <w:tcPr>
            <w:tcW w:w="1380" w:type="dxa"/>
            <w:vAlign w:val="bottom"/>
            <w:tcBorders>
              <w:bottom w:val="single" w:sz="8" w:color="E5E5E5"/>
            </w:tcBorders>
            <w:shd w:val="clear" w:color="auto" w:fill="E5E5E5"/>
          </w:tcPr>
          <w:p>
            <w:pPr>
              <w:jc w:val="right"/>
              <w:ind w:right="113"/>
              <w:spacing w:after="0"/>
              <w:rPr>
                <w:sz w:val="20"/>
                <w:szCs w:val="20"/>
                <w:color w:val="auto"/>
              </w:rPr>
            </w:pPr>
            <w:r>
              <w:rPr>
                <w:rFonts w:ascii="Arial" w:cs="Arial" w:eastAsia="Arial" w:hAnsi="Arial"/>
                <w:sz w:val="13"/>
                <w:szCs w:val="13"/>
                <w:color w:val="auto"/>
              </w:rPr>
              <w:t>317,536</w:t>
            </w:r>
          </w:p>
        </w:tc>
        <w:tc>
          <w:tcPr>
            <w:tcW w:w="1380" w:type="dxa"/>
            <w:vAlign w:val="bottom"/>
            <w:tcBorders>
              <w:bottom w:val="single" w:sz="8" w:color="E5E5E5"/>
            </w:tcBorders>
            <w:shd w:val="clear" w:color="auto" w:fill="E5E5E5"/>
          </w:tcPr>
          <w:p>
            <w:pPr>
              <w:jc w:val="right"/>
              <w:ind w:right="133"/>
              <w:spacing w:after="0"/>
              <w:rPr>
                <w:sz w:val="20"/>
                <w:szCs w:val="20"/>
                <w:color w:val="auto"/>
              </w:rPr>
            </w:pPr>
            <w:r>
              <w:rPr>
                <w:rFonts w:ascii="Arial" w:cs="Arial" w:eastAsia="Arial" w:hAnsi="Arial"/>
                <w:sz w:val="13"/>
                <w:szCs w:val="13"/>
                <w:color w:val="auto"/>
              </w:rPr>
              <w:t>19,252</w:t>
            </w:r>
          </w:p>
        </w:tc>
        <w:tc>
          <w:tcPr>
            <w:tcW w:w="840" w:type="dxa"/>
            <w:vAlign w:val="bottom"/>
            <w:tcBorders>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1,644,807</w:t>
            </w:r>
          </w:p>
        </w:tc>
        <w:tc>
          <w:tcPr>
            <w:tcW w:w="0" w:type="dxa"/>
            <w:vAlign w:val="bottom"/>
          </w:tcPr>
          <w:p>
            <w:pPr>
              <w:spacing w:after="0"/>
              <w:rPr>
                <w:sz w:val="1"/>
                <w:szCs w:val="1"/>
                <w:color w:val="auto"/>
              </w:rPr>
            </w:pPr>
          </w:p>
        </w:tc>
      </w:tr>
      <w:tr>
        <w:trPr>
          <w:trHeight w:val="103"/>
        </w:trPr>
        <w:tc>
          <w:tcPr>
            <w:tcW w:w="3320" w:type="dxa"/>
            <w:vAlign w:val="bottom"/>
            <w:tcBorders>
              <w:top w:val="single" w:sz="8" w:color="E5E5E5"/>
            </w:tcBorders>
            <w:shd w:val="clear" w:color="auto" w:fill="E5E5E5"/>
          </w:tcPr>
          <w:p>
            <w:pPr>
              <w:ind w:left="80"/>
              <w:spacing w:after="0" w:line="103" w:lineRule="exact"/>
              <w:rPr>
                <w:sz w:val="20"/>
                <w:szCs w:val="20"/>
                <w:color w:val="auto"/>
              </w:rPr>
            </w:pPr>
            <w:r>
              <w:rPr>
                <w:rFonts w:ascii="Arial" w:cs="Arial" w:eastAsia="Arial" w:hAnsi="Arial"/>
                <w:sz w:val="11"/>
                <w:szCs w:val="11"/>
                <w:color w:val="auto"/>
              </w:rPr>
              <w:t>Senior Vice President and Asia General Manager</w:t>
            </w:r>
          </w:p>
        </w:tc>
        <w:tc>
          <w:tcPr>
            <w:tcW w:w="180" w:type="dxa"/>
            <w:vAlign w:val="bottom"/>
            <w:tcBorders>
              <w:top w:val="single" w:sz="8" w:color="999999"/>
            </w:tcBorders>
            <w:shd w:val="clear" w:color="auto" w:fill="E5E5E5"/>
          </w:tcPr>
          <w:p>
            <w:pPr>
              <w:spacing w:after="0"/>
              <w:rPr>
                <w:sz w:val="8"/>
                <w:szCs w:val="8"/>
                <w:color w:val="auto"/>
              </w:rPr>
            </w:pPr>
          </w:p>
        </w:tc>
        <w:tc>
          <w:tcPr>
            <w:tcW w:w="320" w:type="dxa"/>
            <w:vAlign w:val="bottom"/>
            <w:tcBorders>
              <w:top w:val="single" w:sz="8" w:color="999999"/>
            </w:tcBorders>
            <w:vMerge w:val="restart"/>
            <w:shd w:val="clear" w:color="auto" w:fill="E5E5E5"/>
          </w:tcPr>
          <w:p>
            <w:pPr>
              <w:jc w:val="right"/>
              <w:spacing w:after="0"/>
              <w:rPr>
                <w:sz w:val="20"/>
                <w:szCs w:val="20"/>
                <w:color w:val="auto"/>
              </w:rPr>
            </w:pPr>
            <w:r>
              <w:rPr>
                <w:rFonts w:ascii="Arial" w:cs="Arial" w:eastAsia="Arial" w:hAnsi="Arial"/>
                <w:sz w:val="13"/>
                <w:szCs w:val="13"/>
                <w:color w:val="auto"/>
                <w:w w:val="96"/>
              </w:rPr>
              <w:t>2024</w:t>
            </w:r>
          </w:p>
        </w:tc>
        <w:tc>
          <w:tcPr>
            <w:tcW w:w="1020" w:type="dxa"/>
            <w:vAlign w:val="bottom"/>
            <w:tcBorders>
              <w:top w:val="single" w:sz="8" w:color="999999"/>
            </w:tcBorders>
            <w:vMerge w:val="restart"/>
            <w:shd w:val="clear" w:color="auto" w:fill="E5E5E5"/>
          </w:tcPr>
          <w:p>
            <w:pPr>
              <w:jc w:val="right"/>
              <w:ind w:right="113"/>
              <w:spacing w:after="0"/>
              <w:rPr>
                <w:sz w:val="20"/>
                <w:szCs w:val="20"/>
                <w:color w:val="auto"/>
              </w:rPr>
            </w:pPr>
            <w:r>
              <w:rPr>
                <w:rFonts w:ascii="Arial" w:cs="Arial" w:eastAsia="Arial" w:hAnsi="Arial"/>
                <w:sz w:val="13"/>
                <w:szCs w:val="13"/>
                <w:color w:val="auto"/>
              </w:rPr>
              <w:t>350,403</w:t>
            </w:r>
          </w:p>
        </w:tc>
        <w:tc>
          <w:tcPr>
            <w:tcW w:w="960" w:type="dxa"/>
            <w:vAlign w:val="bottom"/>
            <w:tcBorders>
              <w:top w:val="single" w:sz="8" w:color="999999"/>
            </w:tcBorders>
            <w:vMerge w:val="restart"/>
            <w:shd w:val="clear" w:color="auto" w:fill="E5E5E5"/>
          </w:tcPr>
          <w:p>
            <w:pPr>
              <w:jc w:val="right"/>
              <w:ind w:right="113"/>
              <w:spacing w:after="0"/>
              <w:rPr>
                <w:sz w:val="20"/>
                <w:szCs w:val="20"/>
                <w:color w:val="auto"/>
              </w:rPr>
            </w:pPr>
            <w:r>
              <w:rPr>
                <w:rFonts w:ascii="Arial" w:cs="Arial" w:eastAsia="Arial" w:hAnsi="Arial"/>
                <w:sz w:val="13"/>
                <w:szCs w:val="13"/>
                <w:color w:val="auto"/>
              </w:rPr>
              <w:t>609,643</w:t>
            </w:r>
          </w:p>
        </w:tc>
        <w:tc>
          <w:tcPr>
            <w:tcW w:w="1380" w:type="dxa"/>
            <w:vAlign w:val="bottom"/>
            <w:tcBorders>
              <w:top w:val="single" w:sz="8" w:color="999999"/>
            </w:tcBorders>
            <w:vMerge w:val="restart"/>
            <w:shd w:val="clear" w:color="auto" w:fill="E5E5E5"/>
          </w:tcPr>
          <w:p>
            <w:pPr>
              <w:jc w:val="right"/>
              <w:ind w:right="113"/>
              <w:spacing w:after="0"/>
              <w:rPr>
                <w:sz w:val="20"/>
                <w:szCs w:val="20"/>
                <w:color w:val="auto"/>
              </w:rPr>
            </w:pPr>
            <w:r>
              <w:rPr>
                <w:rFonts w:ascii="Arial" w:cs="Arial" w:eastAsia="Arial" w:hAnsi="Arial"/>
                <w:sz w:val="13"/>
                <w:szCs w:val="13"/>
                <w:color w:val="auto"/>
              </w:rPr>
              <w:t>109,905</w:t>
            </w:r>
          </w:p>
        </w:tc>
        <w:tc>
          <w:tcPr>
            <w:tcW w:w="1380" w:type="dxa"/>
            <w:vAlign w:val="bottom"/>
            <w:tcBorders>
              <w:top w:val="single" w:sz="8" w:color="999999"/>
            </w:tcBorders>
            <w:vMerge w:val="restart"/>
            <w:shd w:val="clear" w:color="auto" w:fill="E5E5E5"/>
          </w:tcPr>
          <w:p>
            <w:pPr>
              <w:jc w:val="right"/>
              <w:ind w:right="133"/>
              <w:spacing w:after="0"/>
              <w:rPr>
                <w:sz w:val="20"/>
                <w:szCs w:val="20"/>
                <w:color w:val="auto"/>
              </w:rPr>
            </w:pPr>
            <w:r>
              <w:rPr>
                <w:rFonts w:ascii="Arial" w:cs="Arial" w:eastAsia="Arial" w:hAnsi="Arial"/>
                <w:sz w:val="13"/>
                <w:szCs w:val="13"/>
                <w:color w:val="auto"/>
              </w:rPr>
              <w:t>19,173</w:t>
            </w:r>
          </w:p>
        </w:tc>
        <w:tc>
          <w:tcPr>
            <w:tcW w:w="840" w:type="dxa"/>
            <w:vAlign w:val="bottom"/>
            <w:tcBorders>
              <w:top w:val="single" w:sz="8" w:color="999999"/>
            </w:tcBorders>
            <w:vMerge w:val="restart"/>
            <w:shd w:val="clear" w:color="auto" w:fill="E5E5E5"/>
          </w:tcPr>
          <w:p>
            <w:pPr>
              <w:jc w:val="right"/>
              <w:ind w:right="13"/>
              <w:spacing w:after="0"/>
              <w:rPr>
                <w:sz w:val="20"/>
                <w:szCs w:val="20"/>
                <w:color w:val="auto"/>
              </w:rPr>
            </w:pPr>
            <w:r>
              <w:rPr>
                <w:rFonts w:ascii="Arial" w:cs="Arial" w:eastAsia="Arial" w:hAnsi="Arial"/>
                <w:sz w:val="13"/>
                <w:szCs w:val="13"/>
                <w:color w:val="auto"/>
              </w:rPr>
              <w:t>1,089,124</w:t>
            </w:r>
          </w:p>
        </w:tc>
        <w:tc>
          <w:tcPr>
            <w:tcW w:w="0" w:type="dxa"/>
            <w:vAlign w:val="bottom"/>
          </w:tcPr>
          <w:p>
            <w:pPr>
              <w:spacing w:after="0"/>
              <w:rPr>
                <w:sz w:val="1"/>
                <w:szCs w:val="1"/>
                <w:color w:val="auto"/>
              </w:rPr>
            </w:pPr>
          </w:p>
        </w:tc>
      </w:tr>
      <w:tr>
        <w:trPr>
          <w:trHeight w:val="120"/>
        </w:trPr>
        <w:tc>
          <w:tcPr>
            <w:tcW w:w="3320" w:type="dxa"/>
            <w:vAlign w:val="bottom"/>
            <w:tcBorders>
              <w:bottom w:val="single" w:sz="8" w:color="E5E5E5"/>
            </w:tcBorders>
            <w:shd w:val="clear" w:color="auto" w:fill="E5E5E5"/>
          </w:tcPr>
          <w:p>
            <w:pPr>
              <w:spacing w:after="0"/>
              <w:rPr>
                <w:sz w:val="10"/>
                <w:szCs w:val="10"/>
                <w:color w:val="auto"/>
              </w:rPr>
            </w:pPr>
          </w:p>
        </w:tc>
        <w:tc>
          <w:tcPr>
            <w:tcW w:w="180" w:type="dxa"/>
            <w:vAlign w:val="bottom"/>
            <w:tcBorders>
              <w:bottom w:val="single" w:sz="8" w:color="E5E5E5"/>
            </w:tcBorders>
            <w:shd w:val="clear" w:color="auto" w:fill="E5E5E5"/>
          </w:tcPr>
          <w:p>
            <w:pPr>
              <w:spacing w:after="0"/>
              <w:rPr>
                <w:sz w:val="10"/>
                <w:szCs w:val="10"/>
                <w:color w:val="auto"/>
              </w:rPr>
            </w:pPr>
          </w:p>
        </w:tc>
        <w:tc>
          <w:tcPr>
            <w:tcW w:w="320" w:type="dxa"/>
            <w:vAlign w:val="bottom"/>
            <w:tcBorders>
              <w:bottom w:val="single" w:sz="8" w:color="E5E5E5"/>
            </w:tcBorders>
            <w:vMerge w:val="continue"/>
            <w:shd w:val="clear" w:color="auto" w:fill="E5E5E5"/>
          </w:tcPr>
          <w:p>
            <w:pPr>
              <w:spacing w:after="0"/>
              <w:rPr>
                <w:sz w:val="10"/>
                <w:szCs w:val="10"/>
                <w:color w:val="auto"/>
              </w:rPr>
            </w:pPr>
          </w:p>
        </w:tc>
        <w:tc>
          <w:tcPr>
            <w:tcW w:w="1020" w:type="dxa"/>
            <w:vAlign w:val="bottom"/>
            <w:tcBorders>
              <w:bottom w:val="single" w:sz="8" w:color="E5E5E5"/>
            </w:tcBorders>
            <w:vMerge w:val="continue"/>
            <w:shd w:val="clear" w:color="auto" w:fill="E5E5E5"/>
          </w:tcPr>
          <w:p>
            <w:pPr>
              <w:spacing w:after="0"/>
              <w:rPr>
                <w:sz w:val="10"/>
                <w:szCs w:val="10"/>
                <w:color w:val="auto"/>
              </w:rPr>
            </w:pPr>
          </w:p>
        </w:tc>
        <w:tc>
          <w:tcPr>
            <w:tcW w:w="960" w:type="dxa"/>
            <w:vAlign w:val="bottom"/>
            <w:tcBorders>
              <w:bottom w:val="single" w:sz="8" w:color="E5E5E5"/>
            </w:tcBorders>
            <w:vMerge w:val="continue"/>
            <w:shd w:val="clear" w:color="auto" w:fill="E5E5E5"/>
          </w:tcPr>
          <w:p>
            <w:pPr>
              <w:spacing w:after="0"/>
              <w:rPr>
                <w:sz w:val="10"/>
                <w:szCs w:val="10"/>
                <w:color w:val="auto"/>
              </w:rPr>
            </w:pPr>
          </w:p>
        </w:tc>
        <w:tc>
          <w:tcPr>
            <w:tcW w:w="1380" w:type="dxa"/>
            <w:vAlign w:val="bottom"/>
            <w:tcBorders>
              <w:bottom w:val="single" w:sz="8" w:color="E5E5E5"/>
            </w:tcBorders>
            <w:vMerge w:val="continue"/>
            <w:shd w:val="clear" w:color="auto" w:fill="E5E5E5"/>
          </w:tcPr>
          <w:p>
            <w:pPr>
              <w:spacing w:after="0"/>
              <w:rPr>
                <w:sz w:val="10"/>
                <w:szCs w:val="10"/>
                <w:color w:val="auto"/>
              </w:rPr>
            </w:pPr>
          </w:p>
        </w:tc>
        <w:tc>
          <w:tcPr>
            <w:tcW w:w="1380" w:type="dxa"/>
            <w:vAlign w:val="bottom"/>
            <w:tcBorders>
              <w:bottom w:val="single" w:sz="8" w:color="E5E5E5"/>
            </w:tcBorders>
            <w:vMerge w:val="continue"/>
            <w:shd w:val="clear" w:color="auto" w:fill="E5E5E5"/>
          </w:tcPr>
          <w:p>
            <w:pPr>
              <w:spacing w:after="0"/>
              <w:rPr>
                <w:sz w:val="10"/>
                <w:szCs w:val="10"/>
                <w:color w:val="auto"/>
              </w:rPr>
            </w:pPr>
          </w:p>
        </w:tc>
        <w:tc>
          <w:tcPr>
            <w:tcW w:w="840" w:type="dxa"/>
            <w:vAlign w:val="bottom"/>
            <w:tcBorders>
              <w:bottom w:val="single" w:sz="8" w:color="E5E5E5"/>
            </w:tcBorders>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180" w:type="dxa"/>
            <w:vAlign w:val="bottom"/>
            <w:tcBorders>
              <w:top w:val="single" w:sz="8" w:color="999999"/>
              <w:bottom w:val="single" w:sz="8" w:color="E5E5E5"/>
            </w:tcBorders>
            <w:shd w:val="clear" w:color="auto" w:fill="E5E5E5"/>
          </w:tcPr>
          <w:p>
            <w:pPr>
              <w:spacing w:after="0"/>
              <w:rPr>
                <w:sz w:val="19"/>
                <w:szCs w:val="19"/>
                <w:color w:val="auto"/>
              </w:rPr>
            </w:pPr>
          </w:p>
        </w:tc>
        <w:tc>
          <w:tcPr>
            <w:tcW w:w="32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w w:val="96"/>
              </w:rPr>
              <w:t>2023</w:t>
            </w:r>
          </w:p>
        </w:tc>
        <w:tc>
          <w:tcPr>
            <w:tcW w:w="1020" w:type="dxa"/>
            <w:vAlign w:val="bottom"/>
            <w:tcBorders>
              <w:top w:val="single" w:sz="8" w:color="999999"/>
              <w:bottom w:val="single" w:sz="8" w:color="E5E5E5"/>
            </w:tcBorders>
            <w:shd w:val="clear" w:color="auto" w:fill="E5E5E5"/>
          </w:tcPr>
          <w:p>
            <w:pPr>
              <w:jc w:val="right"/>
              <w:ind w:right="113"/>
              <w:spacing w:after="0"/>
              <w:rPr>
                <w:sz w:val="20"/>
                <w:szCs w:val="20"/>
                <w:color w:val="auto"/>
              </w:rPr>
            </w:pPr>
            <w:r>
              <w:rPr>
                <w:rFonts w:ascii="Arial" w:cs="Arial" w:eastAsia="Arial" w:hAnsi="Arial"/>
                <w:sz w:val="13"/>
                <w:szCs w:val="13"/>
                <w:color w:val="auto"/>
              </w:rPr>
              <w:t>334,706</w:t>
            </w:r>
          </w:p>
        </w:tc>
        <w:tc>
          <w:tcPr>
            <w:tcW w:w="960" w:type="dxa"/>
            <w:vAlign w:val="bottom"/>
            <w:tcBorders>
              <w:top w:val="single" w:sz="8" w:color="999999"/>
              <w:bottom w:val="single" w:sz="8" w:color="E5E5E5"/>
            </w:tcBorders>
            <w:shd w:val="clear" w:color="auto" w:fill="E5E5E5"/>
          </w:tcPr>
          <w:p>
            <w:pPr>
              <w:jc w:val="right"/>
              <w:ind w:right="113"/>
              <w:spacing w:after="0"/>
              <w:rPr>
                <w:sz w:val="20"/>
                <w:szCs w:val="20"/>
                <w:color w:val="auto"/>
              </w:rPr>
            </w:pPr>
            <w:r>
              <w:rPr>
                <w:rFonts w:ascii="Arial" w:cs="Arial" w:eastAsia="Arial" w:hAnsi="Arial"/>
                <w:sz w:val="13"/>
                <w:szCs w:val="13"/>
                <w:color w:val="auto"/>
              </w:rPr>
              <w:t>1,300,510</w:t>
            </w:r>
          </w:p>
        </w:tc>
        <w:tc>
          <w:tcPr>
            <w:tcW w:w="1380" w:type="dxa"/>
            <w:vAlign w:val="bottom"/>
            <w:tcBorders>
              <w:top w:val="single" w:sz="8" w:color="999999"/>
              <w:bottom w:val="single" w:sz="8" w:color="E5E5E5"/>
            </w:tcBorders>
            <w:shd w:val="clear" w:color="auto" w:fill="E5E5E5"/>
          </w:tcPr>
          <w:p>
            <w:pPr>
              <w:jc w:val="right"/>
              <w:ind w:right="113"/>
              <w:spacing w:after="0"/>
              <w:rPr>
                <w:sz w:val="20"/>
                <w:szCs w:val="20"/>
                <w:color w:val="auto"/>
              </w:rPr>
            </w:pPr>
            <w:r>
              <w:rPr>
                <w:rFonts w:ascii="Arial" w:cs="Arial" w:eastAsia="Arial" w:hAnsi="Arial"/>
                <w:sz w:val="13"/>
                <w:szCs w:val="13"/>
                <w:color w:val="auto"/>
              </w:rPr>
              <w:t>174,445</w:t>
            </w:r>
          </w:p>
        </w:tc>
        <w:tc>
          <w:tcPr>
            <w:tcW w:w="1380" w:type="dxa"/>
            <w:vAlign w:val="bottom"/>
            <w:tcBorders>
              <w:top w:val="single" w:sz="8" w:color="999999"/>
              <w:bottom w:val="single" w:sz="8" w:color="E5E5E5"/>
            </w:tcBorders>
            <w:shd w:val="clear" w:color="auto" w:fill="E5E5E5"/>
          </w:tcPr>
          <w:p>
            <w:pPr>
              <w:jc w:val="right"/>
              <w:ind w:right="133"/>
              <w:spacing w:after="0"/>
              <w:rPr>
                <w:sz w:val="20"/>
                <w:szCs w:val="20"/>
                <w:color w:val="auto"/>
              </w:rPr>
            </w:pPr>
            <w:r>
              <w:rPr>
                <w:rFonts w:ascii="Arial" w:cs="Arial" w:eastAsia="Arial" w:hAnsi="Arial"/>
                <w:sz w:val="13"/>
                <w:szCs w:val="13"/>
                <w:color w:val="auto"/>
              </w:rPr>
              <w:t>17,013</w:t>
            </w:r>
          </w:p>
        </w:tc>
        <w:tc>
          <w:tcPr>
            <w:tcW w:w="84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1,826,674</w:t>
            </w:r>
          </w:p>
        </w:tc>
        <w:tc>
          <w:tcPr>
            <w:tcW w:w="0" w:type="dxa"/>
            <w:vAlign w:val="bottom"/>
          </w:tcPr>
          <w:p>
            <w:pPr>
              <w:spacing w:after="0"/>
              <w:rPr>
                <w:sz w:val="1"/>
                <w:szCs w:val="1"/>
                <w:color w:val="auto"/>
              </w:rPr>
            </w:pPr>
          </w:p>
        </w:tc>
      </w:tr>
      <w:tr>
        <w:trPr>
          <w:trHeight w:val="197"/>
        </w:trPr>
        <w:tc>
          <w:tcPr>
            <w:tcW w:w="332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rPr>
              <w:t>David C. Kuo</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2025</w:t>
            </w:r>
          </w:p>
        </w:tc>
        <w:tc>
          <w:tcPr>
            <w:tcW w:w="102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356,759</w:t>
            </w:r>
          </w:p>
        </w:tc>
        <w:tc>
          <w:tcPr>
            <w:tcW w:w="96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597,401</w:t>
            </w:r>
          </w:p>
        </w:tc>
        <w:tc>
          <w:tcPr>
            <w:tcW w:w="138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256,252</w:t>
            </w:r>
          </w:p>
        </w:tc>
        <w:tc>
          <w:tcPr>
            <w:tcW w:w="1380" w:type="dxa"/>
            <w:vAlign w:val="bottom"/>
            <w:tcBorders>
              <w:top w:val="single" w:sz="8" w:color="auto"/>
            </w:tcBorders>
          </w:tcPr>
          <w:p>
            <w:pPr>
              <w:jc w:val="right"/>
              <w:ind w:right="133"/>
              <w:spacing w:after="0"/>
              <w:rPr>
                <w:sz w:val="20"/>
                <w:szCs w:val="20"/>
                <w:color w:val="auto"/>
              </w:rPr>
            </w:pPr>
            <w:r>
              <w:rPr>
                <w:rFonts w:ascii="Arial" w:cs="Arial" w:eastAsia="Arial" w:hAnsi="Arial"/>
                <w:sz w:val="13"/>
                <w:szCs w:val="13"/>
                <w:color w:val="auto"/>
              </w:rPr>
              <w:t>14,940</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1,225,352</w:t>
            </w:r>
          </w:p>
        </w:tc>
        <w:tc>
          <w:tcPr>
            <w:tcW w:w="0" w:type="dxa"/>
            <w:vAlign w:val="bottom"/>
          </w:tcPr>
          <w:p>
            <w:pPr>
              <w:spacing w:after="0"/>
              <w:rPr>
                <w:sz w:val="1"/>
                <w:szCs w:val="1"/>
                <w:color w:val="auto"/>
              </w:rPr>
            </w:pPr>
          </w:p>
        </w:tc>
      </w:tr>
      <w:tr>
        <w:trPr>
          <w:trHeight w:val="67"/>
        </w:trPr>
        <w:tc>
          <w:tcPr>
            <w:tcW w:w="3320" w:type="dxa"/>
            <w:vAlign w:val="bottom"/>
            <w:vMerge w:val="restart"/>
          </w:tcPr>
          <w:p>
            <w:pPr>
              <w:ind w:left="80"/>
              <w:spacing w:after="0"/>
              <w:rPr>
                <w:sz w:val="20"/>
                <w:szCs w:val="20"/>
                <w:color w:val="auto"/>
              </w:rPr>
            </w:pPr>
            <w:r>
              <w:rPr>
                <w:rFonts w:ascii="Arial" w:cs="Arial" w:eastAsia="Arial" w:hAnsi="Arial"/>
                <w:sz w:val="13"/>
                <w:szCs w:val="13"/>
                <w:color w:val="auto"/>
              </w:rPr>
              <w:t>Senior Vice President, Chief Legal Officer, Chief</w:t>
            </w:r>
          </w:p>
        </w:tc>
        <w:tc>
          <w:tcPr>
            <w:tcW w:w="180" w:type="dxa"/>
            <w:vAlign w:val="bottom"/>
            <w:tcBorders>
              <w:bottom w:val="single" w:sz="8" w:color="999999"/>
            </w:tcBorders>
          </w:tcPr>
          <w:p>
            <w:pPr>
              <w:spacing w:after="0"/>
              <w:rPr>
                <w:sz w:val="5"/>
                <w:szCs w:val="5"/>
                <w:color w:val="auto"/>
              </w:rPr>
            </w:pPr>
          </w:p>
        </w:tc>
        <w:tc>
          <w:tcPr>
            <w:tcW w:w="320" w:type="dxa"/>
            <w:vAlign w:val="bottom"/>
            <w:tcBorders>
              <w:bottom w:val="single" w:sz="8" w:color="999999"/>
            </w:tcBorders>
          </w:tcPr>
          <w:p>
            <w:pPr>
              <w:spacing w:after="0"/>
              <w:rPr>
                <w:sz w:val="5"/>
                <w:szCs w:val="5"/>
                <w:color w:val="auto"/>
              </w:rPr>
            </w:pPr>
          </w:p>
        </w:tc>
        <w:tc>
          <w:tcPr>
            <w:tcW w:w="102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1380" w:type="dxa"/>
            <w:vAlign w:val="bottom"/>
            <w:tcBorders>
              <w:bottom w:val="single" w:sz="8" w:color="999999"/>
            </w:tcBorders>
          </w:tcPr>
          <w:p>
            <w:pPr>
              <w:spacing w:after="0"/>
              <w:rPr>
                <w:sz w:val="5"/>
                <w:szCs w:val="5"/>
                <w:color w:val="auto"/>
              </w:rPr>
            </w:pPr>
          </w:p>
        </w:tc>
        <w:tc>
          <w:tcPr>
            <w:tcW w:w="1380" w:type="dxa"/>
            <w:vAlign w:val="bottom"/>
            <w:tcBorders>
              <w:bottom w:val="single" w:sz="8" w:color="999999"/>
            </w:tcBorders>
          </w:tcPr>
          <w:p>
            <w:pPr>
              <w:spacing w:after="0"/>
              <w:rPr>
                <w:sz w:val="5"/>
                <w:szCs w:val="5"/>
                <w:color w:val="auto"/>
              </w:rPr>
            </w:pPr>
          </w:p>
        </w:tc>
        <w:tc>
          <w:tcPr>
            <w:tcW w:w="84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320" w:type="dxa"/>
            <w:vAlign w:val="bottom"/>
            <w:vMerge w:val="continue"/>
          </w:tcPr>
          <w:p>
            <w:pPr>
              <w:spacing w:after="0"/>
              <w:rPr>
                <w:sz w:val="7"/>
                <w:szCs w:val="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2024</w:t>
            </w:r>
          </w:p>
        </w:tc>
        <w:tc>
          <w:tcPr>
            <w:tcW w:w="1020" w:type="dxa"/>
            <w:vAlign w:val="bottom"/>
            <w:vMerge w:val="restart"/>
          </w:tcPr>
          <w:p>
            <w:pPr>
              <w:jc w:val="right"/>
              <w:ind w:right="113"/>
              <w:spacing w:after="0"/>
              <w:rPr>
                <w:sz w:val="20"/>
                <w:szCs w:val="20"/>
                <w:color w:val="auto"/>
              </w:rPr>
            </w:pPr>
            <w:r>
              <w:rPr>
                <w:rFonts w:ascii="Arial" w:cs="Arial" w:eastAsia="Arial" w:hAnsi="Arial"/>
                <w:sz w:val="13"/>
                <w:szCs w:val="13"/>
                <w:color w:val="auto"/>
              </w:rPr>
              <w:t>311,736</w:t>
            </w:r>
          </w:p>
        </w:tc>
        <w:tc>
          <w:tcPr>
            <w:tcW w:w="960" w:type="dxa"/>
            <w:vAlign w:val="bottom"/>
            <w:vMerge w:val="restart"/>
          </w:tcPr>
          <w:p>
            <w:pPr>
              <w:jc w:val="right"/>
              <w:ind w:right="113"/>
              <w:spacing w:after="0"/>
              <w:rPr>
                <w:sz w:val="20"/>
                <w:szCs w:val="20"/>
                <w:color w:val="auto"/>
              </w:rPr>
            </w:pPr>
            <w:r>
              <w:rPr>
                <w:rFonts w:ascii="Arial" w:cs="Arial" w:eastAsia="Arial" w:hAnsi="Arial"/>
                <w:sz w:val="13"/>
                <w:szCs w:val="13"/>
                <w:color w:val="auto"/>
              </w:rPr>
              <w:t>525,566</w:t>
            </w:r>
          </w:p>
        </w:tc>
        <w:tc>
          <w:tcPr>
            <w:tcW w:w="1380" w:type="dxa"/>
            <w:vAlign w:val="bottom"/>
            <w:vMerge w:val="restart"/>
          </w:tcPr>
          <w:p>
            <w:pPr>
              <w:jc w:val="right"/>
              <w:ind w:right="113"/>
              <w:spacing w:after="0"/>
              <w:rPr>
                <w:sz w:val="20"/>
                <w:szCs w:val="20"/>
                <w:color w:val="auto"/>
              </w:rPr>
            </w:pPr>
            <w:r>
              <w:rPr>
                <w:rFonts w:ascii="Arial" w:cs="Arial" w:eastAsia="Arial" w:hAnsi="Arial"/>
                <w:sz w:val="13"/>
                <w:szCs w:val="13"/>
                <w:color w:val="auto"/>
              </w:rPr>
              <w:t>90,974</w:t>
            </w:r>
          </w:p>
        </w:tc>
        <w:tc>
          <w:tcPr>
            <w:tcW w:w="1380" w:type="dxa"/>
            <w:vAlign w:val="bottom"/>
            <w:vMerge w:val="restart"/>
          </w:tcPr>
          <w:p>
            <w:pPr>
              <w:jc w:val="right"/>
              <w:ind w:right="133"/>
              <w:spacing w:after="0"/>
              <w:rPr>
                <w:sz w:val="20"/>
                <w:szCs w:val="20"/>
                <w:color w:val="auto"/>
              </w:rPr>
            </w:pPr>
            <w:r>
              <w:rPr>
                <w:rFonts w:ascii="Arial" w:cs="Arial" w:eastAsia="Arial" w:hAnsi="Arial"/>
                <w:sz w:val="13"/>
                <w:szCs w:val="13"/>
                <w:color w:val="auto"/>
              </w:rPr>
              <w:t>14,353</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942,629</w:t>
            </w:r>
          </w:p>
        </w:tc>
        <w:tc>
          <w:tcPr>
            <w:tcW w:w="0" w:type="dxa"/>
            <w:vAlign w:val="bottom"/>
          </w:tcPr>
          <w:p>
            <w:pPr>
              <w:spacing w:after="0"/>
              <w:rPr>
                <w:sz w:val="1"/>
                <w:szCs w:val="1"/>
                <w:color w:val="auto"/>
              </w:rPr>
            </w:pPr>
          </w:p>
        </w:tc>
      </w:tr>
      <w:tr>
        <w:trPr>
          <w:trHeight w:val="109"/>
        </w:trPr>
        <w:tc>
          <w:tcPr>
            <w:tcW w:w="3320" w:type="dxa"/>
            <w:vAlign w:val="bottom"/>
            <w:vMerge w:val="restart"/>
          </w:tcPr>
          <w:p>
            <w:pPr>
              <w:ind w:left="80"/>
              <w:spacing w:after="0" w:line="114" w:lineRule="exact"/>
              <w:rPr>
                <w:sz w:val="20"/>
                <w:szCs w:val="20"/>
                <w:color w:val="auto"/>
              </w:rPr>
            </w:pPr>
            <w:r>
              <w:rPr>
                <w:rFonts w:ascii="Arial" w:cs="Arial" w:eastAsia="Arial" w:hAnsi="Arial"/>
                <w:sz w:val="13"/>
                <w:szCs w:val="13"/>
                <w:color w:val="auto"/>
              </w:rPr>
              <w:t>Compliance Officer and Corporate Secretary</w:t>
            </w:r>
          </w:p>
        </w:tc>
        <w:tc>
          <w:tcPr>
            <w:tcW w:w="50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320" w:type="dxa"/>
            <w:vAlign w:val="bottom"/>
            <w:vMerge w:val="continue"/>
          </w:tcPr>
          <w:p>
            <w:pPr>
              <w:spacing w:after="0"/>
              <w:rPr>
                <w:sz w:val="2"/>
                <w:szCs w:val="2"/>
                <w:color w:val="auto"/>
              </w:rPr>
            </w:pPr>
          </w:p>
        </w:tc>
        <w:tc>
          <w:tcPr>
            <w:tcW w:w="18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102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c>
          <w:tcPr>
            <w:tcW w:w="1380" w:type="dxa"/>
            <w:vAlign w:val="bottom"/>
            <w:tcBorders>
              <w:bottom w:val="single" w:sz="8" w:color="999999"/>
            </w:tcBorders>
          </w:tcPr>
          <w:p>
            <w:pPr>
              <w:spacing w:after="0"/>
              <w:rPr>
                <w:sz w:val="2"/>
                <w:szCs w:val="2"/>
                <w:color w:val="auto"/>
              </w:rPr>
            </w:pPr>
          </w:p>
        </w:tc>
        <w:tc>
          <w:tcPr>
            <w:tcW w:w="1380" w:type="dxa"/>
            <w:vAlign w:val="bottom"/>
            <w:tcBorders>
              <w:bottom w:val="single" w:sz="8" w:color="999999"/>
            </w:tcBorders>
          </w:tcPr>
          <w:p>
            <w:pPr>
              <w:spacing w:after="0"/>
              <w:rPr>
                <w:sz w:val="2"/>
                <w:szCs w:val="2"/>
                <w:color w:val="auto"/>
              </w:rPr>
            </w:pPr>
          </w:p>
        </w:tc>
        <w:tc>
          <w:tcPr>
            <w:tcW w:w="8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2023</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268,296</w:t>
            </w:r>
          </w:p>
        </w:tc>
        <w:tc>
          <w:tcPr>
            <w:tcW w:w="960" w:type="dxa"/>
            <w:vAlign w:val="bottom"/>
          </w:tcPr>
          <w:p>
            <w:pPr>
              <w:jc w:val="right"/>
              <w:ind w:right="113"/>
              <w:spacing w:after="0"/>
              <w:rPr>
                <w:sz w:val="20"/>
                <w:szCs w:val="20"/>
                <w:color w:val="auto"/>
              </w:rPr>
            </w:pPr>
            <w:r>
              <w:rPr>
                <w:rFonts w:ascii="Arial" w:cs="Arial" w:eastAsia="Arial" w:hAnsi="Arial"/>
                <w:sz w:val="13"/>
                <w:szCs w:val="13"/>
                <w:color w:val="auto"/>
              </w:rPr>
              <w:t>1,059,669</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137,003</w:t>
            </w: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12,675</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1,477,643</w:t>
            </w:r>
          </w:p>
        </w:tc>
        <w:tc>
          <w:tcPr>
            <w:tcW w:w="0" w:type="dxa"/>
            <w:vAlign w:val="bottom"/>
          </w:tcPr>
          <w:p>
            <w:pPr>
              <w:spacing w:after="0"/>
              <w:rPr>
                <w:sz w:val="1"/>
                <w:szCs w:val="1"/>
                <w:color w:val="auto"/>
              </w:rPr>
            </w:pPr>
          </w:p>
        </w:tc>
      </w:tr>
      <w:tr>
        <w:trPr>
          <w:trHeight w:val="39"/>
        </w:trPr>
        <w:tc>
          <w:tcPr>
            <w:tcW w:w="3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240" w:hanging="358"/>
        <w:spacing w:after="0" w:line="276" w:lineRule="auto"/>
        <w:tabs>
          <w:tab w:leader="none" w:pos="12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Amounts for 2025 consist of the aggregate grant date fair value of the time-based RSUs plus the PSUs assuming target performance, both as granted by the compensation committee in April 2025 (aggregate grant fair value assuming maximum performance: Dr. Lin — $4,518,124; Dr. Murry —  $1,823,096; Dr. Chang — $1,426,764; Mr. Yeh — $1,426,764; and Mr. Kuo — $951,176). The amounts included for RSUs granted in 2025 represent the aggregate grant date fair value computed in accordance with FASB ASC Topic 718, disregarding the estimate of time-based forfeitures. The assumptions used in calculating the grant date fair value of the RSUs are reported in Note B to the consolidated financial statements included in the Annual Report on Form 10-K for the year ended December 31, 2025 (the “Annual Report”). The amounts reported in this column do not correspond to the actual economic value that may be received by the NEOs for the RSUs. See the “2025 Grants of Plan-Based Awards” table below for additional information.</w:t>
      </w:r>
    </w:p>
    <w:p>
      <w:pPr>
        <w:spacing w:after="0" w:line="214" w:lineRule="exact"/>
        <w:rPr>
          <w:rFonts w:ascii="Arial" w:cs="Arial" w:eastAsia="Arial" w:hAnsi="Arial"/>
          <w:sz w:val="13"/>
          <w:szCs w:val="13"/>
          <w:color w:val="auto"/>
        </w:rPr>
      </w:pPr>
    </w:p>
    <w:p>
      <w:pPr>
        <w:ind w:left="1240" w:right="120" w:hanging="358"/>
        <w:spacing w:after="0" w:line="281" w:lineRule="auto"/>
        <w:tabs>
          <w:tab w:leader="none" w:pos="12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Amounts in this column reflect amounts earned pursuant to our annual cash incentive plan based on the Company’s achievement of performance metrics and targets established by the compensation committee. The performance metrics and targets for these awards are described in the section titled “Compensation Discussion and Analysis” above. See the “2025 Grants of Plan-Based Awards” table below for additional information.</w:t>
      </w:r>
    </w:p>
    <w:p>
      <w:pPr>
        <w:spacing w:after="0" w:line="41" w:lineRule="exact"/>
        <w:rPr>
          <w:rFonts w:ascii="Arial" w:cs="Arial" w:eastAsia="Arial" w:hAnsi="Arial"/>
          <w:sz w:val="13"/>
          <w:szCs w:val="13"/>
          <w:color w:val="auto"/>
        </w:rPr>
      </w:pPr>
    </w:p>
    <w:p>
      <w:pPr>
        <w:ind w:left="1240" w:hanging="358"/>
        <w:spacing w:after="0" w:line="269" w:lineRule="auto"/>
        <w:tabs>
          <w:tab w:leader="none" w:pos="12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life insurance premiums paid by us for the benefit of the NEOs and the Company’s 401(k) matching contributions and mandatory foreign pension contribution made by the Company on behalf of the executive officers. The 401(k) matching contributions for each executive in the 2025 year were as follows: for each of Dr. Lin — $13,800, Dr. Murry — $13,800, Dr. Chang — $13,800 and Mr. Kuo — $13,800. In addition, the cost of personal use of a Company provided car for 2025 is included for Dr. Lin, with the amount determined based on the cost of the lease of the corporate car related to the proportion of mileage the car was driven for non-business trips, which was $34,794, and housing in Taiwan for 2025 while on business, which was $37,485. We also provided Mr. Yeh with a housing allowance for an apartment in Ningbo, China, given his responsibilities for managing operations in both China and Taiwan. The amount disclosed for Dr. Murry also includes $30,000 donated to a charitable organization for which</w:t>
      </w:r>
    </w:p>
    <w:p>
      <w:pPr>
        <w:spacing w:after="0" w:line="2" w:lineRule="exact"/>
        <w:rPr>
          <w:rFonts w:ascii="Arial" w:cs="Arial" w:eastAsia="Arial" w:hAnsi="Arial"/>
          <w:sz w:val="13"/>
          <w:szCs w:val="13"/>
          <w:color w:val="auto"/>
        </w:rPr>
      </w:pPr>
    </w:p>
    <w:p>
      <w:pPr>
        <w:ind w:left="1240" w:right="380"/>
        <w:spacing w:after="0" w:line="301" w:lineRule="auto"/>
        <w:rPr>
          <w:rFonts w:ascii="Arial" w:cs="Arial" w:eastAsia="Arial" w:hAnsi="Arial"/>
          <w:sz w:val="13"/>
          <w:szCs w:val="13"/>
          <w:color w:val="auto"/>
        </w:rPr>
      </w:pPr>
      <w:r>
        <w:rPr>
          <w:rFonts w:ascii="Arial" w:cs="Arial" w:eastAsia="Arial" w:hAnsi="Arial"/>
          <w:sz w:val="13"/>
          <w:szCs w:val="13"/>
          <w:color w:val="auto"/>
        </w:rPr>
        <w:t>Dr. Murry serves on the board of directors, consisting of $20,000 matching donation by the Company and $10,000 donated by Dr. Lin, excluding Dr. Murry.</w:t>
      </w:r>
    </w:p>
    <w:p>
      <w:pPr>
        <w:spacing w:after="0" w:line="29" w:lineRule="exact"/>
        <w:rPr>
          <w:rFonts w:ascii="Arial" w:cs="Arial" w:eastAsia="Arial" w:hAnsi="Arial"/>
          <w:sz w:val="13"/>
          <w:szCs w:val="13"/>
          <w:color w:val="auto"/>
        </w:rPr>
      </w:pPr>
    </w:p>
    <w:p>
      <w:pPr>
        <w:ind w:left="1240" w:right="80" w:hanging="358"/>
        <w:spacing w:after="0" w:line="292" w:lineRule="auto"/>
        <w:tabs>
          <w:tab w:leader="none" w:pos="12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amounts shown for Mr. Yeh for 2025 have been converted from NTD (New Taiwan dollars) and RMB (Chinese Yuan Renminbi), as applicable, to USD (United States dollars), using the exchange rate as of the last trading day of each applicable fiscal year, which on December 31, 2025, was 31.35 NTD = $1 USD and 6.99 RMB = $1 USD,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1642110</wp:posOffset>
            </wp:positionV>
            <wp:extent cx="334010" cy="162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39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2025 Grants of Plan-Based Awards</w:t>
      </w:r>
    </w:p>
    <w:p>
      <w:pPr>
        <w:spacing w:after="0" w:line="119" w:lineRule="exact"/>
        <w:rPr>
          <w:sz w:val="20"/>
          <w:szCs w:val="20"/>
          <w:color w:val="auto"/>
        </w:rPr>
      </w:pPr>
    </w:p>
    <w:p>
      <w:pPr>
        <w:ind w:left="660" w:right="60"/>
        <w:spacing w:after="0" w:line="304" w:lineRule="auto"/>
        <w:rPr>
          <w:sz w:val="20"/>
          <w:szCs w:val="20"/>
          <w:color w:val="auto"/>
        </w:rPr>
      </w:pPr>
      <w:r>
        <w:rPr>
          <w:rFonts w:ascii="Arial" w:cs="Arial" w:eastAsia="Arial" w:hAnsi="Arial"/>
          <w:sz w:val="16"/>
          <w:szCs w:val="16"/>
          <w:color w:val="auto"/>
        </w:rPr>
        <w:t>The following table presents information about grants of plan-based awards made to our NEOs during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55880</wp:posOffset>
            </wp:positionV>
            <wp:extent cx="5966460" cy="7543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6460" cy="75438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FFFFF"/>
        </w:rPr>
        <w:t>​</w:t>
      </w:r>
    </w:p>
    <w:p>
      <w:pPr>
        <w:spacing w:after="0" w:line="310" w:lineRule="exact"/>
        <w:rPr>
          <w:sz w:val="20"/>
          <w:szCs w:val="20"/>
          <w:color w:val="auto"/>
        </w:rPr>
      </w:pPr>
    </w:p>
    <w:p>
      <w:pPr>
        <w:ind w:left="740"/>
        <w:spacing w:after="0"/>
        <w:tabs>
          <w:tab w:leader="none" w:pos="2540" w:val="left"/>
        </w:tabs>
        <w:rPr>
          <w:sz w:val="20"/>
          <w:szCs w:val="20"/>
          <w:color w:val="auto"/>
        </w:rPr>
      </w:pPr>
      <w:r>
        <w:rPr>
          <w:rFonts w:ascii="Arial" w:cs="Arial" w:eastAsia="Arial" w:hAnsi="Arial"/>
          <w:sz w:val="13"/>
          <w:szCs w:val="13"/>
          <w:b w:val="1"/>
          <w:bCs w:val="1"/>
          <w:color w:val="FFFFFF"/>
        </w:rPr>
        <w:t>Named Executive Officer</w:t>
      </w:r>
      <w:r>
        <w:rPr>
          <w:sz w:val="20"/>
          <w:szCs w:val="20"/>
          <w:color w:val="auto"/>
        </w:rPr>
        <w:tab/>
      </w:r>
      <w:r>
        <w:rPr>
          <w:rFonts w:ascii="Arial" w:cs="Arial" w:eastAsia="Arial" w:hAnsi="Arial"/>
          <w:sz w:val="12"/>
          <w:szCs w:val="12"/>
          <w:b w:val="1"/>
          <w:bCs w:val="1"/>
          <w:color w:val="FFFFFF"/>
        </w:rPr>
        <w:t>Grant Date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b w:val="1"/>
                <w:bCs w:val="1"/>
                <w:color w:val="FFFFFF"/>
              </w:rPr>
              <w:t>All Other</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3"/>
                <w:szCs w:val="13"/>
                <w:b w:val="1"/>
                <w:bCs w:val="1"/>
                <w:color w:val="FFFFFF"/>
                <w:w w:val="98"/>
              </w:rPr>
              <w:t>Estimated Future Payouts Under</w:t>
            </w:r>
          </w:p>
        </w:tc>
        <w:tc>
          <w:tcPr>
            <w:tcW w:w="80" w:type="dxa"/>
            <w:vAlign w:val="bottom"/>
          </w:tcPr>
          <w:p>
            <w:pPr>
              <w:spacing w:after="0"/>
              <w:rPr>
                <w:sz w:val="17"/>
                <w:szCs w:val="17"/>
                <w:color w:val="auto"/>
              </w:rPr>
            </w:pPr>
          </w:p>
        </w:tc>
        <w:tc>
          <w:tcPr>
            <w:tcW w:w="2080" w:type="dxa"/>
            <w:vAlign w:val="bottom"/>
            <w:gridSpan w:val="3"/>
          </w:tcPr>
          <w:p>
            <w:pPr>
              <w:jc w:val="right"/>
              <w:ind w:right="13"/>
              <w:spacing w:after="0"/>
              <w:rPr>
                <w:sz w:val="20"/>
                <w:szCs w:val="20"/>
                <w:color w:val="auto"/>
              </w:rPr>
            </w:pPr>
            <w:r>
              <w:rPr>
                <w:rFonts w:ascii="Arial" w:cs="Arial" w:eastAsia="Arial" w:hAnsi="Arial"/>
                <w:sz w:val="13"/>
                <w:szCs w:val="13"/>
                <w:b w:val="1"/>
                <w:bCs w:val="1"/>
                <w:color w:val="FFFFFF"/>
                <w:w w:val="98"/>
              </w:rPr>
              <w:t>Estimated Future Payouts Under</w:t>
            </w:r>
          </w:p>
        </w:tc>
        <w:tc>
          <w:tcPr>
            <w:tcW w:w="1020" w:type="dxa"/>
            <w:vAlign w:val="bottom"/>
          </w:tcPr>
          <w:p>
            <w:pPr>
              <w:jc w:val="right"/>
              <w:ind w:right="13"/>
              <w:spacing w:after="0"/>
              <w:rPr>
                <w:sz w:val="20"/>
                <w:szCs w:val="20"/>
                <w:color w:val="auto"/>
              </w:rPr>
            </w:pPr>
            <w:r>
              <w:rPr>
                <w:rFonts w:ascii="Arial" w:cs="Arial" w:eastAsia="Arial" w:hAnsi="Arial"/>
                <w:sz w:val="13"/>
                <w:szCs w:val="13"/>
                <w:b w:val="1"/>
                <w:bCs w:val="1"/>
                <w:color w:val="FFFFFF"/>
              </w:rPr>
              <w:t>Stock Awards:</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148"/>
        </w:trPr>
        <w:tc>
          <w:tcPr>
            <w:tcW w:w="2680" w:type="dxa"/>
            <w:vAlign w:val="bottom"/>
            <w:gridSpan w:val="4"/>
          </w:tcPr>
          <w:p>
            <w:pPr>
              <w:jc w:val="right"/>
              <w:spacing w:after="0" w:line="148" w:lineRule="exact"/>
              <w:rPr>
                <w:sz w:val="20"/>
                <w:szCs w:val="20"/>
                <w:color w:val="auto"/>
              </w:rPr>
            </w:pPr>
            <w:r>
              <w:rPr>
                <w:rFonts w:ascii="Arial" w:cs="Arial" w:eastAsia="Arial" w:hAnsi="Arial"/>
                <w:sz w:val="13"/>
                <w:szCs w:val="13"/>
                <w:b w:val="1"/>
                <w:bCs w:val="1"/>
                <w:color w:val="FFFFFF"/>
              </w:rPr>
              <w:t>Non-Equity Incentive Plan Awards</w:t>
            </w:r>
            <w:r>
              <w:rPr>
                <w:rFonts w:ascii="Arial" w:cs="Arial" w:eastAsia="Arial" w:hAnsi="Arial"/>
                <w:sz w:val="16"/>
                <w:szCs w:val="16"/>
                <w:b w:val="1"/>
                <w:bCs w:val="1"/>
                <w:color w:val="FFFFFF"/>
                <w:vertAlign w:val="superscript"/>
              </w:rPr>
              <w:t>(1)(2)</w:t>
            </w:r>
          </w:p>
        </w:tc>
        <w:tc>
          <w:tcPr>
            <w:tcW w:w="80" w:type="dxa"/>
            <w:vAlign w:val="bottom"/>
          </w:tcPr>
          <w:p>
            <w:pPr>
              <w:spacing w:after="0"/>
              <w:rPr>
                <w:sz w:val="12"/>
                <w:szCs w:val="12"/>
                <w:color w:val="auto"/>
              </w:rPr>
            </w:pPr>
          </w:p>
        </w:tc>
        <w:tc>
          <w:tcPr>
            <w:tcW w:w="2080" w:type="dxa"/>
            <w:vAlign w:val="bottom"/>
            <w:gridSpan w:val="3"/>
          </w:tcPr>
          <w:p>
            <w:pPr>
              <w:jc w:val="right"/>
              <w:spacing w:after="0" w:line="148" w:lineRule="exact"/>
              <w:rPr>
                <w:sz w:val="20"/>
                <w:szCs w:val="20"/>
                <w:color w:val="auto"/>
              </w:rPr>
            </w:pPr>
            <w:r>
              <w:rPr>
                <w:rFonts w:ascii="Arial" w:cs="Arial" w:eastAsia="Arial" w:hAnsi="Arial"/>
                <w:sz w:val="13"/>
                <w:szCs w:val="13"/>
                <w:b w:val="1"/>
                <w:bCs w:val="1"/>
                <w:color w:val="FFFFFF"/>
              </w:rPr>
              <w:t>Equity Incentive Plan Awards</w:t>
            </w:r>
            <w:r>
              <w:rPr>
                <w:rFonts w:ascii="Arial" w:cs="Arial" w:eastAsia="Arial" w:hAnsi="Arial"/>
                <w:sz w:val="16"/>
                <w:szCs w:val="16"/>
                <w:b w:val="1"/>
                <w:bCs w:val="1"/>
                <w:color w:val="FFFFFF"/>
                <w:vertAlign w:val="superscript"/>
              </w:rPr>
              <w:t>(3)</w:t>
            </w:r>
          </w:p>
        </w:tc>
        <w:tc>
          <w:tcPr>
            <w:tcW w:w="1020" w:type="dxa"/>
            <w:vAlign w:val="bottom"/>
          </w:tcPr>
          <w:p>
            <w:pPr>
              <w:jc w:val="right"/>
              <w:ind w:right="13"/>
              <w:spacing w:after="0"/>
              <w:rPr>
                <w:sz w:val="20"/>
                <w:szCs w:val="20"/>
                <w:color w:val="auto"/>
              </w:rPr>
            </w:pPr>
            <w:r>
              <w:rPr>
                <w:rFonts w:ascii="Arial" w:cs="Arial" w:eastAsia="Arial" w:hAnsi="Arial"/>
                <w:sz w:val="13"/>
                <w:szCs w:val="13"/>
                <w:b w:val="1"/>
                <w:bCs w:val="1"/>
                <w:color w:val="FFFFFF"/>
              </w:rPr>
              <w:t>Number of</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FFFFFF"/>
              </w:rPr>
              <w:t>Fair Value</w:t>
            </w:r>
          </w:p>
        </w:tc>
        <w:tc>
          <w:tcPr>
            <w:tcW w:w="0" w:type="dxa"/>
            <w:vAlign w:val="bottom"/>
          </w:tcPr>
          <w:p>
            <w:pPr>
              <w:spacing w:after="0"/>
              <w:rPr>
                <w:sz w:val="1"/>
                <w:szCs w:val="1"/>
                <w:color w:val="auto"/>
              </w:rPr>
            </w:pPr>
          </w:p>
        </w:tc>
      </w:tr>
      <w:tr>
        <w:trPr>
          <w:trHeight w:val="115"/>
        </w:trPr>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Borders>
              <w:bottom w:val="single" w:sz="8" w:color="4834BA"/>
            </w:tcBorders>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jc w:val="right"/>
              <w:ind w:right="13"/>
              <w:spacing w:after="0" w:line="107" w:lineRule="exact"/>
              <w:rPr>
                <w:sz w:val="20"/>
                <w:szCs w:val="20"/>
                <w:color w:val="auto"/>
              </w:rPr>
            </w:pPr>
            <w:r>
              <w:rPr>
                <w:rFonts w:ascii="Arial" w:cs="Arial" w:eastAsia="Arial" w:hAnsi="Arial"/>
                <w:sz w:val="12"/>
                <w:szCs w:val="12"/>
                <w:b w:val="1"/>
                <w:bCs w:val="1"/>
                <w:color w:val="FFFFFF"/>
              </w:rPr>
              <w:t>Shares of</w:t>
            </w:r>
          </w:p>
        </w:tc>
        <w:tc>
          <w:tcPr>
            <w:tcW w:w="840" w:type="dxa"/>
            <w:vAlign w:val="bottom"/>
          </w:tcPr>
          <w:p>
            <w:pPr>
              <w:jc w:val="right"/>
              <w:spacing w:after="0" w:line="107" w:lineRule="exact"/>
              <w:rPr>
                <w:sz w:val="20"/>
                <w:szCs w:val="20"/>
                <w:color w:val="auto"/>
              </w:rPr>
            </w:pPr>
            <w:r>
              <w:rPr>
                <w:rFonts w:ascii="Arial" w:cs="Arial" w:eastAsia="Arial" w:hAnsi="Arial"/>
                <w:sz w:val="12"/>
                <w:szCs w:val="12"/>
                <w:b w:val="1"/>
                <w:bCs w:val="1"/>
                <w:color w:val="FFFFFF"/>
              </w:rPr>
              <w:t>of Stock and</w:t>
            </w:r>
          </w:p>
        </w:tc>
        <w:tc>
          <w:tcPr>
            <w:tcW w:w="0" w:type="dxa"/>
            <w:vAlign w:val="bottom"/>
          </w:tcPr>
          <w:p>
            <w:pPr>
              <w:spacing w:after="0"/>
              <w:rPr>
                <w:sz w:val="1"/>
                <w:szCs w:val="1"/>
                <w:color w:val="auto"/>
              </w:rPr>
            </w:pPr>
          </w:p>
        </w:tc>
      </w:tr>
      <w:tr>
        <w:trPr>
          <w:trHeight w:val="120"/>
        </w:trPr>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FFFFFF"/>
                <w:w w:val="98"/>
              </w:rPr>
              <w:t>Minimum</w:t>
            </w:r>
          </w:p>
        </w:tc>
        <w:tc>
          <w:tcPr>
            <w:tcW w:w="8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FFFFFF"/>
              </w:rPr>
              <w:t>Threshold</w:t>
            </w: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FFFFFF"/>
              </w:rPr>
              <w:t>Target</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Maximum</w:t>
            </w:r>
          </w:p>
        </w:tc>
        <w:tc>
          <w:tcPr>
            <w:tcW w:w="80" w:type="dxa"/>
            <w:vAlign w:val="bottom"/>
          </w:tcPr>
          <w:p>
            <w:pPr>
              <w:spacing w:after="0"/>
              <w:rPr>
                <w:sz w:val="10"/>
                <w:szCs w:val="10"/>
                <w:color w:val="auto"/>
              </w:rPr>
            </w:pPr>
          </w:p>
        </w:tc>
        <w:tc>
          <w:tcPr>
            <w:tcW w:w="7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FFFFFF"/>
                <w:w w:val="98"/>
              </w:rPr>
              <w:t>Threshold</w:t>
            </w: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FFFFFF"/>
              </w:rPr>
              <w:t>Target</w:t>
            </w: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FFFFFF"/>
              </w:rPr>
              <w:t>Maximum</w:t>
            </w:r>
          </w:p>
        </w:tc>
        <w:tc>
          <w:tcPr>
            <w:tcW w:w="1020" w:type="dxa"/>
            <w:vAlign w:val="bottom"/>
          </w:tcPr>
          <w:p>
            <w:pPr>
              <w:jc w:val="right"/>
              <w:ind w:right="13"/>
              <w:spacing w:after="0" w:line="121" w:lineRule="exact"/>
              <w:rPr>
                <w:sz w:val="20"/>
                <w:szCs w:val="20"/>
                <w:color w:val="auto"/>
              </w:rPr>
            </w:pPr>
            <w:r>
              <w:rPr>
                <w:rFonts w:ascii="Arial" w:cs="Arial" w:eastAsia="Arial" w:hAnsi="Arial"/>
                <w:sz w:val="13"/>
                <w:szCs w:val="13"/>
                <w:b w:val="1"/>
                <w:bCs w:val="1"/>
                <w:color w:val="FFFFFF"/>
              </w:rPr>
              <w:t>Stock or</w:t>
            </w:r>
          </w:p>
        </w:tc>
        <w:tc>
          <w:tcPr>
            <w:tcW w:w="840" w:type="dxa"/>
            <w:vAlign w:val="bottom"/>
          </w:tcPr>
          <w:p>
            <w:pPr>
              <w:jc w:val="right"/>
              <w:spacing w:after="0" w:line="121" w:lineRule="exact"/>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148"/>
        </w:trPr>
        <w:tc>
          <w:tcPr>
            <w:tcW w:w="6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b w:val="1"/>
                <w:bCs w:val="1"/>
                <w:color w:val="FFFFFF"/>
              </w:rPr>
              <w:t>Units</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FFFFFF"/>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860" w:type="dxa"/>
            <w:vAlign w:val="bottom"/>
            <w:gridSpan w:val="2"/>
          </w:tcPr>
          <w:p>
            <w:pPr>
              <w:jc w:val="right"/>
              <w:ind w:right="33"/>
              <w:spacing w:after="0"/>
              <w:rPr>
                <w:sz w:val="20"/>
                <w:szCs w:val="20"/>
                <w:color w:val="auto"/>
              </w:rPr>
            </w:pPr>
            <w:r>
              <w:rPr>
                <w:rFonts w:ascii="Arial" w:cs="Arial" w:eastAsia="Arial" w:hAnsi="Arial"/>
                <w:sz w:val="13"/>
                <w:szCs w:val="13"/>
                <w:b w:val="1"/>
                <w:bCs w:val="1"/>
                <w:color w:val="FFFFFF"/>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240" w:space="60"/>
            <w:col w:w="6760"/>
          </w:cols>
          <w:pgMar w:left="580" w:top="97" w:right="1259" w:bottom="1440" w:gutter="0" w:footer="0" w:header="0"/>
          <w:type w:val="continuous"/>
        </w:sectPr>
      </w:pPr>
    </w:p>
    <w:tbl>
      <w:tblPr>
        <w:tblLayout w:type="fixed"/>
        <w:tblInd w:w="660" w:type="dxa"/>
        <w:tblCellMar>
          <w:top w:w="0" w:type="dxa"/>
          <w:left w:w="0" w:type="dxa"/>
          <w:bottom w:w="0" w:type="dxa"/>
          <w:right w:w="0" w:type="dxa"/>
        </w:tblCellMar>
      </w:tblPr>
      <w:tr>
        <w:trPr>
          <w:trHeight w:val="176"/>
        </w:trPr>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Chih-Hsiang (Thompson)</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ind w:left="300"/>
              <w:spacing w:after="0"/>
              <w:rPr>
                <w:sz w:val="20"/>
                <w:szCs w:val="20"/>
                <w:color w:val="auto"/>
              </w:rPr>
            </w:pPr>
            <w:r>
              <w:rPr>
                <w:rFonts w:ascii="Arial" w:cs="Arial" w:eastAsia="Arial" w:hAnsi="Arial"/>
                <w:sz w:val="13"/>
                <w:szCs w:val="13"/>
                <w:color w:val="auto"/>
              </w:rPr>
              <w:t>0</w:t>
            </w:r>
          </w:p>
        </w:tc>
        <w:tc>
          <w:tcPr>
            <w:tcW w:w="680" w:type="dxa"/>
            <w:vAlign w:val="bottom"/>
            <w:vMerge w:val="restart"/>
          </w:tcPr>
          <w:p>
            <w:pPr>
              <w:ind w:left="120"/>
              <w:spacing w:after="0"/>
              <w:rPr>
                <w:sz w:val="20"/>
                <w:szCs w:val="20"/>
                <w:color w:val="auto"/>
              </w:rPr>
            </w:pPr>
            <w:r>
              <w:rPr>
                <w:rFonts w:ascii="Arial" w:cs="Arial" w:eastAsia="Arial" w:hAnsi="Arial"/>
                <w:sz w:val="13"/>
                <w:szCs w:val="13"/>
                <w:color w:val="auto"/>
              </w:rPr>
              <w:t>481,481</w:t>
            </w: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962,961</w:t>
            </w:r>
          </w:p>
        </w:tc>
        <w:tc>
          <w:tcPr>
            <w:tcW w:w="820" w:type="dxa"/>
            <w:vAlign w:val="bottom"/>
            <w:vMerge w:val="restart"/>
          </w:tcPr>
          <w:p>
            <w:pPr>
              <w:jc w:val="right"/>
              <w:ind w:right="113"/>
              <w:spacing w:after="0"/>
              <w:rPr>
                <w:sz w:val="20"/>
                <w:szCs w:val="20"/>
                <w:color w:val="auto"/>
              </w:rPr>
            </w:pPr>
            <w:r>
              <w:rPr>
                <w:rFonts w:ascii="Arial" w:cs="Arial" w:eastAsia="Arial" w:hAnsi="Arial"/>
                <w:sz w:val="13"/>
                <w:szCs w:val="13"/>
                <w:color w:val="auto"/>
              </w:rPr>
              <w:t>1,203,702</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1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Lin</w:t>
            </w:r>
          </w:p>
        </w:tc>
        <w:tc>
          <w:tcPr>
            <w:tcW w:w="40" w:type="dxa"/>
            <w:vAlign w:val="bottom"/>
            <w:tcBorders>
              <w:bottom w:val="single" w:sz="8" w:color="999999"/>
            </w:tcBorders>
          </w:tcPr>
          <w:p>
            <w:pPr>
              <w:spacing w:after="0"/>
              <w:rPr>
                <w:sz w:val="5"/>
                <w:szCs w:val="5"/>
                <w:color w:val="auto"/>
              </w:rPr>
            </w:pPr>
          </w:p>
        </w:tc>
        <w:tc>
          <w:tcPr>
            <w:tcW w:w="800" w:type="dxa"/>
            <w:vAlign w:val="bottom"/>
            <w:tcBorders>
              <w:bottom w:val="single" w:sz="8" w:color="999999"/>
            </w:tcBorders>
          </w:tcPr>
          <w:p>
            <w:pPr>
              <w:spacing w:after="0"/>
              <w:rPr>
                <w:sz w:val="5"/>
                <w:szCs w:val="5"/>
                <w:color w:val="auto"/>
              </w:rPr>
            </w:pPr>
          </w:p>
        </w:tc>
        <w:tc>
          <w:tcPr>
            <w:tcW w:w="340" w:type="dxa"/>
            <w:vAlign w:val="bottom"/>
            <w:tcBorders>
              <w:bottom w:val="single" w:sz="8" w:color="999999"/>
            </w:tcBorders>
          </w:tcPr>
          <w:p>
            <w:pPr>
              <w:spacing w:after="0"/>
              <w:rPr>
                <w:sz w:val="5"/>
                <w:szCs w:val="5"/>
                <w:color w:val="auto"/>
              </w:rPr>
            </w:pPr>
          </w:p>
        </w:tc>
        <w:tc>
          <w:tcPr>
            <w:tcW w:w="520" w:type="dxa"/>
            <w:vAlign w:val="bottom"/>
            <w:tcBorders>
              <w:bottom w:val="single" w:sz="8" w:color="999999"/>
            </w:tcBorders>
          </w:tcPr>
          <w:p>
            <w:pPr>
              <w:spacing w:after="0"/>
              <w:rPr>
                <w:sz w:val="5"/>
                <w:szCs w:val="5"/>
                <w:color w:val="auto"/>
              </w:rPr>
            </w:pPr>
          </w:p>
        </w:tc>
        <w:tc>
          <w:tcPr>
            <w:tcW w:w="680" w:type="dxa"/>
            <w:vAlign w:val="bottom"/>
            <w:tcBorders>
              <w:bottom w:val="single" w:sz="8" w:color="999999"/>
            </w:tcBorders>
          </w:tcPr>
          <w:p>
            <w:pPr>
              <w:spacing w:after="0"/>
              <w:rPr>
                <w:sz w:val="5"/>
                <w:szCs w:val="5"/>
                <w:color w:val="auto"/>
              </w:rPr>
            </w:pPr>
          </w:p>
        </w:tc>
        <w:tc>
          <w:tcPr>
            <w:tcW w:w="600" w:type="dxa"/>
            <w:vAlign w:val="bottom"/>
            <w:tcBorders>
              <w:bottom w:val="single" w:sz="8" w:color="999999"/>
            </w:tcBorders>
          </w:tcPr>
          <w:p>
            <w:pPr>
              <w:spacing w:after="0"/>
              <w:rPr>
                <w:sz w:val="5"/>
                <w:szCs w:val="5"/>
                <w:color w:val="auto"/>
              </w:rPr>
            </w:pPr>
          </w:p>
        </w:tc>
        <w:tc>
          <w:tcPr>
            <w:tcW w:w="820" w:type="dxa"/>
            <w:vAlign w:val="bottom"/>
            <w:tcBorders>
              <w:bottom w:val="single" w:sz="8" w:color="999999"/>
            </w:tcBorders>
          </w:tcPr>
          <w:p>
            <w:pPr>
              <w:spacing w:after="0"/>
              <w:rPr>
                <w:sz w:val="5"/>
                <w:szCs w:val="5"/>
                <w:color w:val="auto"/>
              </w:rPr>
            </w:pPr>
          </w:p>
        </w:tc>
        <w:tc>
          <w:tcPr>
            <w:tcW w:w="660" w:type="dxa"/>
            <w:vAlign w:val="bottom"/>
            <w:tcBorders>
              <w:bottom w:val="single" w:sz="8" w:color="999999"/>
            </w:tcBorders>
          </w:tcPr>
          <w:p>
            <w:pPr>
              <w:spacing w:after="0"/>
              <w:rPr>
                <w:sz w:val="5"/>
                <w:szCs w:val="5"/>
                <w:color w:val="auto"/>
              </w:rPr>
            </w:pPr>
          </w:p>
        </w:tc>
        <w:tc>
          <w:tcPr>
            <w:tcW w:w="680" w:type="dxa"/>
            <w:vAlign w:val="bottom"/>
            <w:tcBorders>
              <w:bottom w:val="single" w:sz="8" w:color="999999"/>
            </w:tcBorders>
          </w:tcPr>
          <w:p>
            <w:pPr>
              <w:spacing w:after="0"/>
              <w:rPr>
                <w:sz w:val="5"/>
                <w:szCs w:val="5"/>
                <w:color w:val="auto"/>
              </w:rPr>
            </w:pPr>
          </w:p>
        </w:tc>
        <w:tc>
          <w:tcPr>
            <w:tcW w:w="840" w:type="dxa"/>
            <w:vAlign w:val="bottom"/>
            <w:tcBorders>
              <w:bottom w:val="single" w:sz="8" w:color="999999"/>
            </w:tcBorders>
          </w:tcPr>
          <w:p>
            <w:pPr>
              <w:spacing w:after="0"/>
              <w:rPr>
                <w:sz w:val="5"/>
                <w:szCs w:val="5"/>
                <w:color w:val="auto"/>
              </w:rPr>
            </w:pPr>
          </w:p>
        </w:tc>
        <w:tc>
          <w:tcPr>
            <w:tcW w:w="94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w w:val="97"/>
              </w:rPr>
              <w:t>April 11, 2025</w:t>
            </w:r>
          </w:p>
        </w:tc>
        <w:tc>
          <w:tcPr>
            <w:tcW w:w="340" w:type="dxa"/>
            <w:vAlign w:val="bottom"/>
          </w:tcPr>
          <w:p>
            <w:pPr>
              <w:spacing w:after="0"/>
              <w:rPr>
                <w:sz w:val="7"/>
                <w:szCs w:val="7"/>
                <w:color w:val="auto"/>
              </w:rPr>
            </w:pPr>
          </w:p>
        </w:tc>
        <w:tc>
          <w:tcPr>
            <w:tcW w:w="52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ind w:left="60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113"/>
              <w:spacing w:after="0"/>
              <w:rPr>
                <w:sz w:val="20"/>
                <w:szCs w:val="20"/>
                <w:color w:val="auto"/>
              </w:rPr>
            </w:pPr>
            <w:r>
              <w:rPr>
                <w:rFonts w:ascii="Arial" w:cs="Arial" w:eastAsia="Arial" w:hAnsi="Arial"/>
                <w:sz w:val="13"/>
                <w:szCs w:val="13"/>
                <w:color w:val="auto"/>
              </w:rPr>
              <w:t>102,591</w:t>
            </w:r>
            <w:r>
              <w:rPr>
                <w:rFonts w:ascii="Arial" w:cs="Arial" w:eastAsia="Arial" w:hAnsi="Arial"/>
                <w:sz w:val="16"/>
                <w:szCs w:val="16"/>
                <w:color w:val="auto"/>
                <w:vertAlign w:val="superscript"/>
              </w:rPr>
              <w:t>(5)</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1,157,226</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40" w:type="dxa"/>
            <w:vAlign w:val="bottom"/>
            <w:tcBorders>
              <w:bottom w:val="single" w:sz="8" w:color="999999"/>
            </w:tcBorders>
          </w:tcPr>
          <w:p>
            <w:pPr>
              <w:spacing w:after="0"/>
              <w:rPr>
                <w:sz w:val="12"/>
                <w:szCs w:val="12"/>
                <w:color w:val="auto"/>
              </w:rPr>
            </w:pPr>
          </w:p>
        </w:tc>
        <w:tc>
          <w:tcPr>
            <w:tcW w:w="800" w:type="dxa"/>
            <w:vAlign w:val="bottom"/>
            <w:tcBorders>
              <w:bottom w:val="single" w:sz="8" w:color="999999"/>
            </w:tcBorders>
            <w:vMerge w:val="continue"/>
          </w:tcPr>
          <w:p>
            <w:pPr>
              <w:spacing w:after="0"/>
              <w:rPr>
                <w:sz w:val="12"/>
                <w:szCs w:val="12"/>
                <w:color w:val="auto"/>
              </w:rPr>
            </w:pPr>
          </w:p>
        </w:tc>
        <w:tc>
          <w:tcPr>
            <w:tcW w:w="340" w:type="dxa"/>
            <w:vAlign w:val="bottom"/>
            <w:tcBorders>
              <w:bottom w:val="single" w:sz="8" w:color="999999"/>
            </w:tcBorders>
          </w:tcPr>
          <w:p>
            <w:pPr>
              <w:spacing w:after="0"/>
              <w:rPr>
                <w:sz w:val="12"/>
                <w:szCs w:val="12"/>
                <w:color w:val="auto"/>
              </w:rPr>
            </w:pPr>
          </w:p>
        </w:tc>
        <w:tc>
          <w:tcPr>
            <w:tcW w:w="520" w:type="dxa"/>
            <w:vAlign w:val="bottom"/>
            <w:tcBorders>
              <w:bottom w:val="single" w:sz="8" w:color="999999"/>
            </w:tcBorders>
            <w:vMerge w:val="continue"/>
          </w:tcPr>
          <w:p>
            <w:pPr>
              <w:spacing w:after="0"/>
              <w:rPr>
                <w:sz w:val="12"/>
                <w:szCs w:val="12"/>
                <w:color w:val="auto"/>
              </w:rPr>
            </w:pPr>
          </w:p>
        </w:tc>
        <w:tc>
          <w:tcPr>
            <w:tcW w:w="680" w:type="dxa"/>
            <w:vAlign w:val="bottom"/>
            <w:tcBorders>
              <w:bottom w:val="single" w:sz="8" w:color="999999"/>
            </w:tcBorders>
            <w:vMerge w:val="continue"/>
          </w:tcPr>
          <w:p>
            <w:pPr>
              <w:spacing w:after="0"/>
              <w:rPr>
                <w:sz w:val="12"/>
                <w:szCs w:val="12"/>
                <w:color w:val="auto"/>
              </w:rPr>
            </w:pPr>
          </w:p>
        </w:tc>
        <w:tc>
          <w:tcPr>
            <w:tcW w:w="600" w:type="dxa"/>
            <w:vAlign w:val="bottom"/>
            <w:tcBorders>
              <w:bottom w:val="single" w:sz="8" w:color="999999"/>
            </w:tcBorders>
            <w:vMerge w:val="continue"/>
          </w:tcPr>
          <w:p>
            <w:pPr>
              <w:spacing w:after="0"/>
              <w:rPr>
                <w:sz w:val="12"/>
                <w:szCs w:val="12"/>
                <w:color w:val="auto"/>
              </w:rPr>
            </w:pPr>
          </w:p>
        </w:tc>
        <w:tc>
          <w:tcPr>
            <w:tcW w:w="820" w:type="dxa"/>
            <w:vAlign w:val="bottom"/>
            <w:tcBorders>
              <w:bottom w:val="single" w:sz="8" w:color="999999"/>
            </w:tcBorders>
            <w:vMerge w:val="continue"/>
          </w:tcPr>
          <w:p>
            <w:pPr>
              <w:spacing w:after="0"/>
              <w:rPr>
                <w:sz w:val="12"/>
                <w:szCs w:val="12"/>
                <w:color w:val="auto"/>
              </w:rPr>
            </w:pPr>
          </w:p>
        </w:tc>
        <w:tc>
          <w:tcPr>
            <w:tcW w:w="660" w:type="dxa"/>
            <w:vAlign w:val="bottom"/>
            <w:tcBorders>
              <w:bottom w:val="single" w:sz="8" w:color="999999"/>
            </w:tcBorders>
            <w:vMerge w:val="continue"/>
          </w:tcPr>
          <w:p>
            <w:pPr>
              <w:spacing w:after="0"/>
              <w:rPr>
                <w:sz w:val="12"/>
                <w:szCs w:val="12"/>
                <w:color w:val="auto"/>
              </w:rPr>
            </w:pPr>
          </w:p>
        </w:tc>
        <w:tc>
          <w:tcPr>
            <w:tcW w:w="680" w:type="dxa"/>
            <w:vAlign w:val="bottom"/>
            <w:tcBorders>
              <w:bottom w:val="single" w:sz="8" w:color="999999"/>
            </w:tcBorders>
            <w:vMerge w:val="continue"/>
          </w:tcPr>
          <w:p>
            <w:pPr>
              <w:spacing w:after="0"/>
              <w:rPr>
                <w:sz w:val="12"/>
                <w:szCs w:val="12"/>
                <w:color w:val="auto"/>
              </w:rPr>
            </w:pPr>
          </w:p>
        </w:tc>
        <w:tc>
          <w:tcPr>
            <w:tcW w:w="840" w:type="dxa"/>
            <w:vAlign w:val="bottom"/>
            <w:tcBorders>
              <w:bottom w:val="single" w:sz="8" w:color="999999"/>
            </w:tcBorders>
            <w:vMerge w:val="continue"/>
          </w:tcPr>
          <w:p>
            <w:pPr>
              <w:spacing w:after="0"/>
              <w:rPr>
                <w:sz w:val="12"/>
                <w:szCs w:val="12"/>
                <w:color w:val="auto"/>
              </w:rPr>
            </w:pPr>
          </w:p>
        </w:tc>
        <w:tc>
          <w:tcPr>
            <w:tcW w:w="940" w:type="dxa"/>
            <w:vAlign w:val="bottom"/>
            <w:tcBorders>
              <w:bottom w:val="single" w:sz="8" w:color="999999"/>
            </w:tcBorders>
            <w:vMerge w:val="continue"/>
          </w:tcPr>
          <w:p>
            <w:pPr>
              <w:spacing w:after="0"/>
              <w:rPr>
                <w:sz w:val="12"/>
                <w:szCs w:val="12"/>
                <w:color w:val="auto"/>
              </w:rPr>
            </w:pPr>
          </w:p>
        </w:tc>
        <w:tc>
          <w:tcPr>
            <w:tcW w:w="780" w:type="dxa"/>
            <w:vAlign w:val="bottom"/>
            <w:tcBorders>
              <w:bottom w:val="single" w:sz="8" w:color="999999"/>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w w:val="97"/>
              </w:rPr>
              <w:t>April 11, 2025</w:t>
            </w:r>
          </w:p>
        </w:tc>
        <w:tc>
          <w:tcPr>
            <w:tcW w:w="340" w:type="dxa"/>
            <w:vAlign w:val="bottom"/>
          </w:tcPr>
          <w:p>
            <w:pPr>
              <w:spacing w:after="0"/>
              <w:rPr>
                <w:sz w:val="13"/>
                <w:szCs w:val="13"/>
                <w:color w:val="auto"/>
              </w:rPr>
            </w:pPr>
          </w:p>
        </w:tc>
        <w:tc>
          <w:tcPr>
            <w:tcW w:w="520" w:type="dxa"/>
            <w:vAlign w:val="bottom"/>
          </w:tcPr>
          <w:p>
            <w:pPr>
              <w:ind w:left="380"/>
              <w:spacing w:after="0"/>
              <w:rPr>
                <w:sz w:val="20"/>
                <w:szCs w:val="20"/>
                <w:color w:val="auto"/>
              </w:rPr>
            </w:pPr>
            <w:r>
              <w:rPr>
                <w:rFonts w:ascii="Arial" w:cs="Arial" w:eastAsia="Arial" w:hAnsi="Arial"/>
                <w:sz w:val="13"/>
                <w:szCs w:val="13"/>
                <w:color w:val="auto"/>
              </w:rPr>
              <w:t>​</w:t>
            </w:r>
          </w:p>
        </w:tc>
        <w:tc>
          <w:tcPr>
            <w:tcW w:w="680" w:type="dxa"/>
            <w:vAlign w:val="bottom"/>
          </w:tcPr>
          <w:p>
            <w:pPr>
              <w:ind w:left="600"/>
              <w:spacing w:after="0"/>
              <w:rPr>
                <w:sz w:val="20"/>
                <w:szCs w:val="20"/>
                <w:color w:val="auto"/>
              </w:rPr>
            </w:pPr>
            <w:r>
              <w:rPr>
                <w:rFonts w:ascii="Arial" w:cs="Arial" w:eastAsia="Arial" w:hAnsi="Arial"/>
                <w:sz w:val="13"/>
                <w:szCs w:val="13"/>
                <w:color w:val="auto"/>
              </w:rPr>
              <w:t>​</w:t>
            </w:r>
          </w:p>
        </w:tc>
        <w:tc>
          <w:tcPr>
            <w:tcW w:w="600" w:type="dxa"/>
            <w:vAlign w:val="bottom"/>
          </w:tcPr>
          <w:p>
            <w:pPr>
              <w:ind w:left="5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3"/>
              <w:spacing w:after="0"/>
              <w:rPr>
                <w:sz w:val="20"/>
                <w:szCs w:val="20"/>
                <w:color w:val="auto"/>
              </w:rPr>
            </w:pPr>
            <w:r>
              <w:rPr>
                <w:rFonts w:ascii="Arial" w:cs="Arial" w:eastAsia="Arial" w:hAnsi="Arial"/>
                <w:sz w:val="13"/>
                <w:szCs w:val="13"/>
                <w:color w:val="auto"/>
              </w:rPr>
              <w:t>25,647</w:t>
            </w:r>
          </w:p>
        </w:tc>
        <w:tc>
          <w:tcPr>
            <w:tcW w:w="680" w:type="dxa"/>
            <w:vAlign w:val="bottom"/>
            <w:vMerge w:val="restart"/>
          </w:tcPr>
          <w:p>
            <w:pPr>
              <w:jc w:val="right"/>
              <w:ind w:right="93"/>
              <w:spacing w:after="0"/>
              <w:rPr>
                <w:sz w:val="20"/>
                <w:szCs w:val="20"/>
                <w:color w:val="auto"/>
              </w:rPr>
            </w:pPr>
            <w:r>
              <w:rPr>
                <w:rFonts w:ascii="Arial" w:cs="Arial" w:eastAsia="Arial" w:hAnsi="Arial"/>
                <w:sz w:val="13"/>
                <w:szCs w:val="13"/>
                <w:color w:val="auto"/>
              </w:rPr>
              <w:t>102,591</w:t>
            </w:r>
          </w:p>
        </w:tc>
        <w:tc>
          <w:tcPr>
            <w:tcW w:w="840" w:type="dxa"/>
            <w:vAlign w:val="bottom"/>
            <w:vMerge w:val="restart"/>
          </w:tcPr>
          <w:p>
            <w:pPr>
              <w:jc w:val="right"/>
              <w:ind w:right="173"/>
              <w:spacing w:after="0"/>
              <w:rPr>
                <w:sz w:val="20"/>
                <w:szCs w:val="20"/>
                <w:color w:val="auto"/>
              </w:rPr>
            </w:pPr>
            <w:r>
              <w:rPr>
                <w:rFonts w:ascii="Arial" w:cs="Arial" w:eastAsia="Arial" w:hAnsi="Arial"/>
                <w:sz w:val="13"/>
                <w:szCs w:val="13"/>
                <w:color w:val="auto"/>
              </w:rPr>
              <w:t>205,183</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1,680,441</w:t>
            </w:r>
          </w:p>
        </w:tc>
        <w:tc>
          <w:tcPr>
            <w:tcW w:w="0" w:type="dxa"/>
            <w:vAlign w:val="bottom"/>
          </w:tcPr>
          <w:p>
            <w:pPr>
              <w:spacing w:after="0"/>
              <w:rPr>
                <w:sz w:val="1"/>
                <w:szCs w:val="1"/>
                <w:color w:val="auto"/>
              </w:rPr>
            </w:pPr>
          </w:p>
        </w:tc>
      </w:tr>
      <w:tr>
        <w:trPr>
          <w:trHeight w:val="42"/>
        </w:trPr>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
        </w:trPr>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00" w:type="dxa"/>
            <w:vAlign w:val="bottom"/>
            <w:vMerge w:val="restart"/>
            <w:shd w:val="clear" w:color="auto" w:fill="E5E5E5"/>
          </w:tcPr>
          <w:p>
            <w:pPr>
              <w:ind w:left="80"/>
              <w:spacing w:after="0"/>
              <w:rPr>
                <w:sz w:val="20"/>
                <w:szCs w:val="20"/>
                <w:color w:val="auto"/>
              </w:rPr>
            </w:pPr>
            <w:r>
              <w:rPr>
                <w:rFonts w:ascii="Arial" w:cs="Arial" w:eastAsia="Arial" w:hAnsi="Arial"/>
                <w:sz w:val="13"/>
                <w:szCs w:val="13"/>
                <w:color w:val="auto"/>
              </w:rPr>
              <w:t>Stefan J. Murry</w:t>
            </w:r>
          </w:p>
        </w:tc>
        <w:tc>
          <w:tcPr>
            <w:tcW w:w="4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340" w:type="dxa"/>
            <w:vAlign w:val="bottom"/>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E5E5E5"/>
          </w:tcPr>
          <w:p>
            <w:pPr>
              <w:ind w:left="300"/>
              <w:spacing w:after="0"/>
              <w:rPr>
                <w:sz w:val="20"/>
                <w:szCs w:val="20"/>
                <w:color w:val="auto"/>
              </w:rPr>
            </w:pPr>
            <w:r>
              <w:rPr>
                <w:rFonts w:ascii="Arial" w:cs="Arial" w:eastAsia="Arial" w:hAnsi="Arial"/>
                <w:sz w:val="13"/>
                <w:szCs w:val="13"/>
                <w:color w:val="auto"/>
              </w:rPr>
              <w:t>0</w:t>
            </w:r>
          </w:p>
        </w:tc>
        <w:tc>
          <w:tcPr>
            <w:tcW w:w="680" w:type="dxa"/>
            <w:vAlign w:val="bottom"/>
            <w:vMerge w:val="restart"/>
            <w:shd w:val="clear" w:color="auto" w:fill="E5E5E5"/>
          </w:tcPr>
          <w:p>
            <w:pPr>
              <w:ind w:left="120"/>
              <w:spacing w:after="0"/>
              <w:rPr>
                <w:sz w:val="20"/>
                <w:szCs w:val="20"/>
                <w:color w:val="auto"/>
              </w:rPr>
            </w:pPr>
            <w:r>
              <w:rPr>
                <w:rFonts w:ascii="Arial" w:cs="Arial" w:eastAsia="Arial" w:hAnsi="Arial"/>
                <w:sz w:val="13"/>
                <w:szCs w:val="13"/>
                <w:color w:val="auto"/>
              </w:rPr>
              <w:t>184,574</w:t>
            </w:r>
          </w:p>
        </w:tc>
        <w:tc>
          <w:tcPr>
            <w:tcW w:w="600" w:type="dxa"/>
            <w:vAlign w:val="bottom"/>
            <w:vMerge w:val="restart"/>
            <w:shd w:val="clear" w:color="auto" w:fill="E5E5E5"/>
          </w:tcPr>
          <w:p>
            <w:pPr>
              <w:ind w:left="20"/>
              <w:spacing w:after="0"/>
              <w:rPr>
                <w:sz w:val="20"/>
                <w:szCs w:val="20"/>
                <w:color w:val="auto"/>
              </w:rPr>
            </w:pPr>
            <w:r>
              <w:rPr>
                <w:rFonts w:ascii="Arial" w:cs="Arial" w:eastAsia="Arial" w:hAnsi="Arial"/>
                <w:sz w:val="13"/>
                <w:szCs w:val="13"/>
                <w:color w:val="auto"/>
              </w:rPr>
              <w:t>369,148</w:t>
            </w:r>
          </w:p>
        </w:tc>
        <w:tc>
          <w:tcPr>
            <w:tcW w:w="820" w:type="dxa"/>
            <w:vAlign w:val="bottom"/>
            <w:vMerge w:val="restart"/>
            <w:shd w:val="clear" w:color="auto" w:fill="E5E5E5"/>
          </w:tcPr>
          <w:p>
            <w:pPr>
              <w:jc w:val="right"/>
              <w:ind w:right="113"/>
              <w:spacing w:after="0"/>
              <w:rPr>
                <w:sz w:val="20"/>
                <w:szCs w:val="20"/>
                <w:color w:val="auto"/>
              </w:rPr>
            </w:pPr>
            <w:r>
              <w:rPr>
                <w:rFonts w:ascii="Arial" w:cs="Arial" w:eastAsia="Arial" w:hAnsi="Arial"/>
                <w:sz w:val="13"/>
                <w:szCs w:val="13"/>
                <w:color w:val="auto"/>
              </w:rPr>
              <w:t>461,435</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shd w:val="clear" w:color="auto" w:fill="E5E5E5"/>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1700" w:type="dxa"/>
            <w:vAlign w:val="bottom"/>
            <w:tcBorders>
              <w:bottom w:val="single" w:sz="8" w:color="E5E5E5"/>
            </w:tcBorders>
            <w:vMerge w:val="continue"/>
            <w:shd w:val="clear" w:color="auto" w:fill="E5E5E5"/>
          </w:tcPr>
          <w:p>
            <w:pPr>
              <w:spacing w:after="0"/>
              <w:rPr>
                <w:sz w:val="8"/>
                <w:szCs w:val="8"/>
                <w:color w:val="auto"/>
              </w:rPr>
            </w:pPr>
          </w:p>
        </w:tc>
        <w:tc>
          <w:tcPr>
            <w:tcW w:w="40" w:type="dxa"/>
            <w:vAlign w:val="bottom"/>
            <w:tcBorders>
              <w:bottom w:val="single" w:sz="8" w:color="E5E5E5"/>
            </w:tcBorders>
            <w:shd w:val="clear" w:color="auto" w:fill="E5E5E5"/>
          </w:tcPr>
          <w:p>
            <w:pPr>
              <w:spacing w:after="0"/>
              <w:rPr>
                <w:sz w:val="8"/>
                <w:szCs w:val="8"/>
                <w:color w:val="auto"/>
              </w:rPr>
            </w:pPr>
          </w:p>
        </w:tc>
        <w:tc>
          <w:tcPr>
            <w:tcW w:w="800" w:type="dxa"/>
            <w:vAlign w:val="bottom"/>
            <w:tcBorders>
              <w:bottom w:val="single" w:sz="8" w:color="E5E5E5"/>
            </w:tcBorders>
            <w:shd w:val="clear" w:color="auto" w:fill="E5E5E5"/>
          </w:tcPr>
          <w:p>
            <w:pPr>
              <w:spacing w:after="0"/>
              <w:rPr>
                <w:sz w:val="8"/>
                <w:szCs w:val="8"/>
                <w:color w:val="auto"/>
              </w:rPr>
            </w:pPr>
          </w:p>
        </w:tc>
        <w:tc>
          <w:tcPr>
            <w:tcW w:w="340" w:type="dxa"/>
            <w:vAlign w:val="bottom"/>
            <w:tcBorders>
              <w:bottom w:val="single" w:sz="8" w:color="E5E5E5"/>
            </w:tcBorders>
            <w:shd w:val="clear" w:color="auto" w:fill="E5E5E5"/>
          </w:tcPr>
          <w:p>
            <w:pPr>
              <w:spacing w:after="0"/>
              <w:rPr>
                <w:sz w:val="8"/>
                <w:szCs w:val="8"/>
                <w:color w:val="auto"/>
              </w:rPr>
            </w:pPr>
          </w:p>
        </w:tc>
        <w:tc>
          <w:tcPr>
            <w:tcW w:w="520" w:type="dxa"/>
            <w:vAlign w:val="bottom"/>
            <w:tcBorders>
              <w:bottom w:val="single" w:sz="8" w:color="E5E5E5"/>
            </w:tcBorders>
            <w:vMerge w:val="continue"/>
            <w:shd w:val="clear" w:color="auto" w:fill="E5E5E5"/>
          </w:tcPr>
          <w:p>
            <w:pPr>
              <w:spacing w:after="0"/>
              <w:rPr>
                <w:sz w:val="8"/>
                <w:szCs w:val="8"/>
                <w:color w:val="auto"/>
              </w:rPr>
            </w:pPr>
          </w:p>
        </w:tc>
        <w:tc>
          <w:tcPr>
            <w:tcW w:w="680" w:type="dxa"/>
            <w:vAlign w:val="bottom"/>
            <w:tcBorders>
              <w:bottom w:val="single" w:sz="8" w:color="E5E5E5"/>
            </w:tcBorders>
            <w:vMerge w:val="continue"/>
            <w:shd w:val="clear" w:color="auto" w:fill="E5E5E5"/>
          </w:tcPr>
          <w:p>
            <w:pPr>
              <w:spacing w:after="0"/>
              <w:rPr>
                <w:sz w:val="8"/>
                <w:szCs w:val="8"/>
                <w:color w:val="auto"/>
              </w:rPr>
            </w:pPr>
          </w:p>
        </w:tc>
        <w:tc>
          <w:tcPr>
            <w:tcW w:w="600" w:type="dxa"/>
            <w:vAlign w:val="bottom"/>
            <w:tcBorders>
              <w:bottom w:val="single" w:sz="8" w:color="E5E5E5"/>
            </w:tcBorders>
            <w:vMerge w:val="continue"/>
            <w:shd w:val="clear" w:color="auto" w:fill="E5E5E5"/>
          </w:tcPr>
          <w:p>
            <w:pPr>
              <w:spacing w:after="0"/>
              <w:rPr>
                <w:sz w:val="8"/>
                <w:szCs w:val="8"/>
                <w:color w:val="auto"/>
              </w:rPr>
            </w:pPr>
          </w:p>
        </w:tc>
        <w:tc>
          <w:tcPr>
            <w:tcW w:w="820" w:type="dxa"/>
            <w:vAlign w:val="bottom"/>
            <w:tcBorders>
              <w:bottom w:val="single" w:sz="8" w:color="E5E5E5"/>
            </w:tcBorders>
            <w:vMerge w:val="continue"/>
            <w:shd w:val="clear" w:color="auto" w:fill="E5E5E5"/>
          </w:tcPr>
          <w:p>
            <w:pPr>
              <w:spacing w:after="0"/>
              <w:rPr>
                <w:sz w:val="8"/>
                <w:szCs w:val="8"/>
                <w:color w:val="auto"/>
              </w:rPr>
            </w:pPr>
          </w:p>
        </w:tc>
        <w:tc>
          <w:tcPr>
            <w:tcW w:w="660" w:type="dxa"/>
            <w:vAlign w:val="bottom"/>
            <w:tcBorders>
              <w:bottom w:val="single" w:sz="8" w:color="E5E5E5"/>
            </w:tcBorders>
            <w:shd w:val="clear" w:color="auto" w:fill="E5E5E5"/>
          </w:tcPr>
          <w:p>
            <w:pPr>
              <w:spacing w:after="0"/>
              <w:rPr>
                <w:sz w:val="8"/>
                <w:szCs w:val="8"/>
                <w:color w:val="auto"/>
              </w:rPr>
            </w:pPr>
          </w:p>
        </w:tc>
        <w:tc>
          <w:tcPr>
            <w:tcW w:w="680" w:type="dxa"/>
            <w:vAlign w:val="bottom"/>
            <w:tcBorders>
              <w:bottom w:val="single" w:sz="8" w:color="E5E5E5"/>
            </w:tcBorders>
            <w:shd w:val="clear" w:color="auto" w:fill="E5E5E5"/>
          </w:tcPr>
          <w:p>
            <w:pPr>
              <w:spacing w:after="0"/>
              <w:rPr>
                <w:sz w:val="8"/>
                <w:szCs w:val="8"/>
                <w:color w:val="auto"/>
              </w:rPr>
            </w:pPr>
          </w:p>
        </w:tc>
        <w:tc>
          <w:tcPr>
            <w:tcW w:w="840" w:type="dxa"/>
            <w:vAlign w:val="bottom"/>
            <w:tcBorders>
              <w:bottom w:val="single" w:sz="8" w:color="E5E5E5"/>
            </w:tcBorders>
            <w:shd w:val="clear" w:color="auto" w:fill="E5E5E5"/>
          </w:tcPr>
          <w:p>
            <w:pPr>
              <w:spacing w:after="0"/>
              <w:rPr>
                <w:sz w:val="8"/>
                <w:szCs w:val="8"/>
                <w:color w:val="auto"/>
              </w:rPr>
            </w:pPr>
          </w:p>
        </w:tc>
        <w:tc>
          <w:tcPr>
            <w:tcW w:w="940" w:type="dxa"/>
            <w:vAlign w:val="bottom"/>
            <w:tcBorders>
              <w:bottom w:val="single" w:sz="8" w:color="E5E5E5"/>
            </w:tcBorders>
            <w:shd w:val="clear" w:color="auto" w:fill="E5E5E5"/>
          </w:tcPr>
          <w:p>
            <w:pPr>
              <w:spacing w:after="0"/>
              <w:rPr>
                <w:sz w:val="8"/>
                <w:szCs w:val="8"/>
                <w:color w:val="auto"/>
              </w:rPr>
            </w:pPr>
          </w:p>
        </w:tc>
        <w:tc>
          <w:tcPr>
            <w:tcW w:w="780" w:type="dxa"/>
            <w:vAlign w:val="bottom"/>
            <w:tcBorders>
              <w:bottom w:val="single" w:sz="8" w:color="E5E5E5"/>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700" w:type="dxa"/>
            <w:vAlign w:val="bottom"/>
            <w:tcBorders>
              <w:top w:val="single" w:sz="8" w:color="E5E5E5"/>
              <w:bottom w:val="single" w:sz="8" w:color="E5E5E5"/>
            </w:tcBorders>
            <w:shd w:val="clear" w:color="auto" w:fill="E5E5E5"/>
          </w:tcPr>
          <w:p>
            <w:pPr>
              <w:spacing w:after="0"/>
              <w:rPr>
                <w:sz w:val="20"/>
                <w:szCs w:val="20"/>
                <w:color w:val="auto"/>
              </w:rPr>
            </w:pPr>
          </w:p>
        </w:tc>
        <w:tc>
          <w:tcPr>
            <w:tcW w:w="40" w:type="dxa"/>
            <w:vAlign w:val="bottom"/>
            <w:tcBorders>
              <w:top w:val="single" w:sz="8" w:color="999999"/>
              <w:bottom w:val="single" w:sz="8" w:color="999999"/>
            </w:tcBorders>
            <w:shd w:val="clear" w:color="auto" w:fill="E5E5E5"/>
          </w:tcPr>
          <w:p>
            <w:pPr>
              <w:spacing w:after="0"/>
              <w:rPr>
                <w:sz w:val="20"/>
                <w:szCs w:val="20"/>
                <w:color w:val="auto"/>
              </w:rPr>
            </w:pPr>
          </w:p>
        </w:tc>
        <w:tc>
          <w:tcPr>
            <w:tcW w:w="800" w:type="dxa"/>
            <w:vAlign w:val="bottom"/>
            <w:tcBorders>
              <w:top w:val="single" w:sz="8" w:color="999999"/>
              <w:bottom w:val="single" w:sz="8" w:color="999999"/>
            </w:tcBorders>
            <w:shd w:val="clear" w:color="auto" w:fill="E5E5E5"/>
          </w:tcPr>
          <w:p>
            <w:pPr>
              <w:spacing w:after="0"/>
              <w:rPr>
                <w:sz w:val="20"/>
                <w:szCs w:val="20"/>
                <w:color w:val="auto"/>
              </w:rPr>
            </w:pPr>
            <w:r>
              <w:rPr>
                <w:rFonts w:ascii="Arial" w:cs="Arial" w:eastAsia="Arial" w:hAnsi="Arial"/>
                <w:sz w:val="13"/>
                <w:szCs w:val="13"/>
                <w:color w:val="auto"/>
                <w:w w:val="97"/>
              </w:rPr>
              <w:t>April 11, 2025</w:t>
            </w:r>
          </w:p>
        </w:tc>
        <w:tc>
          <w:tcPr>
            <w:tcW w:w="340" w:type="dxa"/>
            <w:vAlign w:val="bottom"/>
            <w:tcBorders>
              <w:top w:val="single" w:sz="8" w:color="999999"/>
              <w:bottom w:val="single" w:sz="8" w:color="999999"/>
            </w:tcBorders>
            <w:shd w:val="clear" w:color="auto" w:fill="E5E5E5"/>
          </w:tcPr>
          <w:p>
            <w:pPr>
              <w:spacing w:after="0"/>
              <w:rPr>
                <w:sz w:val="20"/>
                <w:szCs w:val="20"/>
                <w:color w:val="auto"/>
              </w:rPr>
            </w:pPr>
          </w:p>
        </w:tc>
        <w:tc>
          <w:tcPr>
            <w:tcW w:w="520" w:type="dxa"/>
            <w:vAlign w:val="bottom"/>
            <w:tcBorders>
              <w:top w:val="single" w:sz="8" w:color="999999"/>
              <w:bottom w:val="single" w:sz="8" w:color="999999"/>
            </w:tcBorders>
            <w:shd w:val="clear" w:color="auto" w:fill="E5E5E5"/>
          </w:tcPr>
          <w:p>
            <w:pPr>
              <w:ind w:left="38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999999"/>
              <w:bottom w:val="single" w:sz="8" w:color="999999"/>
            </w:tcBorders>
            <w:shd w:val="clear" w:color="auto" w:fill="E5E5E5"/>
          </w:tcPr>
          <w:p>
            <w:pPr>
              <w:ind w:left="60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999999"/>
              <w:bottom w:val="single" w:sz="8" w:color="999999"/>
            </w:tcBorders>
            <w:shd w:val="clear" w:color="auto" w:fill="E5E5E5"/>
          </w:tcPr>
          <w:p>
            <w:pPr>
              <w:ind w:left="50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999999"/>
              <w:bottom w:val="single" w:sz="8" w:color="999999"/>
            </w:tcBorders>
            <w:shd w:val="clear" w:color="auto" w:fill="E5E5E5"/>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999999"/>
              <w:bottom w:val="single" w:sz="8" w:color="999999"/>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999999"/>
              <w:bottom w:val="single" w:sz="8" w:color="999999"/>
            </w:tcBorders>
            <w:shd w:val="clear" w:color="auto" w:fill="E5E5E5"/>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999999"/>
              <w:bottom w:val="single" w:sz="8" w:color="999999"/>
            </w:tcBorders>
            <w:shd w:val="clear" w:color="auto" w:fill="E5E5E5"/>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999999"/>
              <w:bottom w:val="single" w:sz="8" w:color="999999"/>
            </w:tcBorders>
            <w:shd w:val="clear" w:color="auto" w:fill="E5E5E5"/>
          </w:tcPr>
          <w:p>
            <w:pPr>
              <w:jc w:val="right"/>
              <w:ind w:right="113"/>
              <w:spacing w:after="0"/>
              <w:rPr>
                <w:sz w:val="20"/>
                <w:szCs w:val="20"/>
                <w:color w:val="auto"/>
              </w:rPr>
            </w:pPr>
            <w:r>
              <w:rPr>
                <w:rFonts w:ascii="Arial" w:cs="Arial" w:eastAsia="Arial" w:hAnsi="Arial"/>
                <w:sz w:val="13"/>
                <w:szCs w:val="13"/>
                <w:color w:val="auto"/>
              </w:rPr>
              <w:t>41,396</w:t>
            </w:r>
            <w:r>
              <w:rPr>
                <w:rFonts w:ascii="Arial" w:cs="Arial" w:eastAsia="Arial" w:hAnsi="Arial"/>
                <w:sz w:val="16"/>
                <w:szCs w:val="16"/>
                <w:color w:val="auto"/>
                <w:vertAlign w:val="superscript"/>
              </w:rPr>
              <w:t>(5)</w:t>
            </w:r>
          </w:p>
        </w:tc>
        <w:tc>
          <w:tcPr>
            <w:tcW w:w="780" w:type="dxa"/>
            <w:vAlign w:val="bottom"/>
            <w:tcBorders>
              <w:top w:val="single" w:sz="8" w:color="999999"/>
              <w:bottom w:val="single" w:sz="8" w:color="999999"/>
            </w:tcBorders>
            <w:shd w:val="clear" w:color="auto" w:fill="E5E5E5"/>
          </w:tcPr>
          <w:p>
            <w:pPr>
              <w:jc w:val="right"/>
              <w:spacing w:after="0"/>
              <w:rPr>
                <w:sz w:val="20"/>
                <w:szCs w:val="20"/>
                <w:color w:val="auto"/>
              </w:rPr>
            </w:pPr>
            <w:r>
              <w:rPr>
                <w:rFonts w:ascii="Arial" w:cs="Arial" w:eastAsia="Arial" w:hAnsi="Arial"/>
                <w:sz w:val="13"/>
                <w:szCs w:val="13"/>
                <w:color w:val="auto"/>
              </w:rPr>
              <w:t>466,947</w:t>
            </w:r>
          </w:p>
        </w:tc>
        <w:tc>
          <w:tcPr>
            <w:tcW w:w="0" w:type="dxa"/>
            <w:vAlign w:val="bottom"/>
          </w:tcPr>
          <w:p>
            <w:pPr>
              <w:spacing w:after="0"/>
              <w:rPr>
                <w:sz w:val="1"/>
                <w:szCs w:val="1"/>
                <w:color w:val="auto"/>
              </w:rPr>
            </w:pPr>
          </w:p>
        </w:tc>
      </w:tr>
      <w:tr>
        <w:trPr>
          <w:trHeight w:val="156"/>
        </w:trPr>
        <w:tc>
          <w:tcPr>
            <w:tcW w:w="17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800" w:type="dxa"/>
            <w:vAlign w:val="bottom"/>
            <w:vMerge w:val="restart"/>
            <w:shd w:val="clear" w:color="auto" w:fill="E5E5E5"/>
          </w:tcPr>
          <w:p>
            <w:pPr>
              <w:spacing w:after="0"/>
              <w:rPr>
                <w:sz w:val="20"/>
                <w:szCs w:val="20"/>
                <w:color w:val="auto"/>
              </w:rPr>
            </w:pPr>
            <w:r>
              <w:rPr>
                <w:rFonts w:ascii="Arial" w:cs="Arial" w:eastAsia="Arial" w:hAnsi="Arial"/>
                <w:sz w:val="13"/>
                <w:szCs w:val="13"/>
                <w:color w:val="auto"/>
                <w:w w:val="97"/>
              </w:rPr>
              <w:t>April 11, 2025</w:t>
            </w:r>
          </w:p>
        </w:tc>
        <w:tc>
          <w:tcPr>
            <w:tcW w:w="340" w:type="dxa"/>
            <w:vAlign w:val="bottom"/>
            <w:shd w:val="clear" w:color="auto" w:fill="E5E5E5"/>
          </w:tcPr>
          <w:p>
            <w:pPr>
              <w:spacing w:after="0"/>
              <w:rPr>
                <w:sz w:val="13"/>
                <w:szCs w:val="13"/>
                <w:color w:val="auto"/>
              </w:rPr>
            </w:pPr>
          </w:p>
        </w:tc>
        <w:tc>
          <w:tcPr>
            <w:tcW w:w="520" w:type="dxa"/>
            <w:vAlign w:val="bottom"/>
            <w:shd w:val="clear" w:color="auto" w:fill="E5E5E5"/>
          </w:tcPr>
          <w:p>
            <w:pPr>
              <w:ind w:left="3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ind w:left="600"/>
              <w:spacing w:after="0"/>
              <w:rPr>
                <w:sz w:val="20"/>
                <w:szCs w:val="20"/>
                <w:color w:val="auto"/>
              </w:rPr>
            </w:pPr>
            <w:r>
              <w:rPr>
                <w:rFonts w:ascii="Arial" w:cs="Arial" w:eastAsia="Arial" w:hAnsi="Arial"/>
                <w:sz w:val="13"/>
                <w:szCs w:val="13"/>
                <w:color w:val="auto"/>
              </w:rPr>
              <w:t>​</w:t>
            </w:r>
          </w:p>
        </w:tc>
        <w:tc>
          <w:tcPr>
            <w:tcW w:w="600" w:type="dxa"/>
            <w:vAlign w:val="bottom"/>
            <w:shd w:val="clear" w:color="auto" w:fill="E5E5E5"/>
          </w:tcPr>
          <w:p>
            <w:pPr>
              <w:ind w:left="500"/>
              <w:spacing w:after="0"/>
              <w:rPr>
                <w:sz w:val="20"/>
                <w:szCs w:val="20"/>
                <w:color w:val="auto"/>
              </w:rPr>
            </w:pPr>
            <w:r>
              <w:rPr>
                <w:rFonts w:ascii="Arial" w:cs="Arial" w:eastAsia="Arial" w:hAnsi="Arial"/>
                <w:sz w:val="13"/>
                <w:szCs w:val="13"/>
                <w:color w:val="auto"/>
              </w:rPr>
              <w:t>​</w:t>
            </w:r>
          </w:p>
        </w:tc>
        <w:tc>
          <w:tcPr>
            <w:tcW w:w="820" w:type="dxa"/>
            <w:vAlign w:val="bottom"/>
            <w:shd w:val="clear" w:color="auto" w:fill="E5E5E5"/>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E5E5E5"/>
          </w:tcPr>
          <w:p>
            <w:pPr>
              <w:jc w:val="right"/>
              <w:ind w:right="13"/>
              <w:spacing w:after="0"/>
              <w:rPr>
                <w:sz w:val="20"/>
                <w:szCs w:val="20"/>
                <w:color w:val="auto"/>
              </w:rPr>
            </w:pPr>
            <w:r>
              <w:rPr>
                <w:rFonts w:ascii="Arial" w:cs="Arial" w:eastAsia="Arial" w:hAnsi="Arial"/>
                <w:sz w:val="13"/>
                <w:szCs w:val="13"/>
                <w:color w:val="auto"/>
              </w:rPr>
              <w:t>10,349</w:t>
            </w:r>
          </w:p>
        </w:tc>
        <w:tc>
          <w:tcPr>
            <w:tcW w:w="680" w:type="dxa"/>
            <w:vAlign w:val="bottom"/>
            <w:vMerge w:val="restart"/>
            <w:shd w:val="clear" w:color="auto" w:fill="E5E5E5"/>
          </w:tcPr>
          <w:p>
            <w:pPr>
              <w:jc w:val="right"/>
              <w:ind w:right="93"/>
              <w:spacing w:after="0"/>
              <w:rPr>
                <w:sz w:val="20"/>
                <w:szCs w:val="20"/>
                <w:color w:val="auto"/>
              </w:rPr>
            </w:pPr>
            <w:r>
              <w:rPr>
                <w:rFonts w:ascii="Arial" w:cs="Arial" w:eastAsia="Arial" w:hAnsi="Arial"/>
                <w:sz w:val="13"/>
                <w:szCs w:val="13"/>
                <w:color w:val="auto"/>
              </w:rPr>
              <w:t>41,396</w:t>
            </w:r>
          </w:p>
        </w:tc>
        <w:tc>
          <w:tcPr>
            <w:tcW w:w="840" w:type="dxa"/>
            <w:vAlign w:val="bottom"/>
            <w:vMerge w:val="restart"/>
            <w:shd w:val="clear" w:color="auto" w:fill="E5E5E5"/>
          </w:tcPr>
          <w:p>
            <w:pPr>
              <w:jc w:val="right"/>
              <w:ind w:right="173"/>
              <w:spacing w:after="0"/>
              <w:rPr>
                <w:sz w:val="20"/>
                <w:szCs w:val="20"/>
                <w:color w:val="auto"/>
              </w:rPr>
            </w:pPr>
            <w:r>
              <w:rPr>
                <w:rFonts w:ascii="Arial" w:cs="Arial" w:eastAsia="Arial" w:hAnsi="Arial"/>
                <w:sz w:val="13"/>
                <w:szCs w:val="13"/>
                <w:color w:val="auto"/>
              </w:rPr>
              <w:t>82,793</w:t>
            </w:r>
          </w:p>
        </w:tc>
        <w:tc>
          <w:tcPr>
            <w:tcW w:w="940" w:type="dxa"/>
            <w:vAlign w:val="bottom"/>
            <w:shd w:val="clear" w:color="auto" w:fill="E5E5E5"/>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678,066</w:t>
            </w:r>
          </w:p>
        </w:tc>
        <w:tc>
          <w:tcPr>
            <w:tcW w:w="0" w:type="dxa"/>
            <w:vAlign w:val="bottom"/>
          </w:tcPr>
          <w:p>
            <w:pPr>
              <w:spacing w:after="0"/>
              <w:rPr>
                <w:sz w:val="1"/>
                <w:szCs w:val="1"/>
                <w:color w:val="auto"/>
              </w:rPr>
            </w:pPr>
          </w:p>
        </w:tc>
      </w:tr>
      <w:tr>
        <w:trPr>
          <w:trHeight w:val="68"/>
        </w:trPr>
        <w:tc>
          <w:tcPr>
            <w:tcW w:w="1700" w:type="dxa"/>
            <w:vAlign w:val="bottom"/>
            <w:tcBorders>
              <w:bottom w:val="single" w:sz="8" w:color="E5E5E5"/>
            </w:tcBorders>
            <w:shd w:val="clear" w:color="auto" w:fill="E5E5E5"/>
          </w:tcPr>
          <w:p>
            <w:pPr>
              <w:spacing w:after="0"/>
              <w:rPr>
                <w:sz w:val="5"/>
                <w:szCs w:val="5"/>
                <w:color w:val="auto"/>
              </w:rPr>
            </w:pPr>
          </w:p>
        </w:tc>
        <w:tc>
          <w:tcPr>
            <w:tcW w:w="40" w:type="dxa"/>
            <w:vAlign w:val="bottom"/>
            <w:tcBorders>
              <w:bottom w:val="single" w:sz="8" w:color="E5E5E5"/>
            </w:tcBorders>
            <w:shd w:val="clear" w:color="auto" w:fill="E5E5E5"/>
          </w:tcPr>
          <w:p>
            <w:pPr>
              <w:spacing w:after="0"/>
              <w:rPr>
                <w:sz w:val="5"/>
                <w:szCs w:val="5"/>
                <w:color w:val="auto"/>
              </w:rPr>
            </w:pPr>
          </w:p>
        </w:tc>
        <w:tc>
          <w:tcPr>
            <w:tcW w:w="800" w:type="dxa"/>
            <w:vAlign w:val="bottom"/>
            <w:tcBorders>
              <w:bottom w:val="single" w:sz="8" w:color="E5E5E5"/>
            </w:tcBorders>
            <w:vMerge w:val="continue"/>
            <w:shd w:val="clear" w:color="auto" w:fill="E5E5E5"/>
          </w:tcPr>
          <w:p>
            <w:pPr>
              <w:spacing w:after="0"/>
              <w:rPr>
                <w:sz w:val="5"/>
                <w:szCs w:val="5"/>
                <w:color w:val="auto"/>
              </w:rPr>
            </w:pPr>
          </w:p>
        </w:tc>
        <w:tc>
          <w:tcPr>
            <w:tcW w:w="340" w:type="dxa"/>
            <w:vAlign w:val="bottom"/>
            <w:tcBorders>
              <w:bottom w:val="single" w:sz="8" w:color="E5E5E5"/>
            </w:tcBorders>
            <w:shd w:val="clear" w:color="auto" w:fill="E5E5E5"/>
          </w:tcPr>
          <w:p>
            <w:pPr>
              <w:spacing w:after="0"/>
              <w:rPr>
                <w:sz w:val="5"/>
                <w:szCs w:val="5"/>
                <w:color w:val="auto"/>
              </w:rPr>
            </w:pPr>
          </w:p>
        </w:tc>
        <w:tc>
          <w:tcPr>
            <w:tcW w:w="520" w:type="dxa"/>
            <w:vAlign w:val="bottom"/>
            <w:tcBorders>
              <w:bottom w:val="single" w:sz="8" w:color="E5E5E5"/>
            </w:tcBorders>
            <w:shd w:val="clear" w:color="auto" w:fill="E5E5E5"/>
          </w:tcPr>
          <w:p>
            <w:pPr>
              <w:spacing w:after="0"/>
              <w:rPr>
                <w:sz w:val="5"/>
                <w:szCs w:val="5"/>
                <w:color w:val="auto"/>
              </w:rPr>
            </w:pPr>
          </w:p>
        </w:tc>
        <w:tc>
          <w:tcPr>
            <w:tcW w:w="680" w:type="dxa"/>
            <w:vAlign w:val="bottom"/>
            <w:tcBorders>
              <w:bottom w:val="single" w:sz="8" w:color="E5E5E5"/>
            </w:tcBorders>
            <w:shd w:val="clear" w:color="auto" w:fill="E5E5E5"/>
          </w:tcPr>
          <w:p>
            <w:pPr>
              <w:spacing w:after="0"/>
              <w:rPr>
                <w:sz w:val="5"/>
                <w:szCs w:val="5"/>
                <w:color w:val="auto"/>
              </w:rPr>
            </w:pPr>
          </w:p>
        </w:tc>
        <w:tc>
          <w:tcPr>
            <w:tcW w:w="600" w:type="dxa"/>
            <w:vAlign w:val="bottom"/>
            <w:tcBorders>
              <w:bottom w:val="single" w:sz="8" w:color="E5E5E5"/>
            </w:tcBorders>
            <w:shd w:val="clear" w:color="auto" w:fill="E5E5E5"/>
          </w:tcPr>
          <w:p>
            <w:pPr>
              <w:spacing w:after="0"/>
              <w:rPr>
                <w:sz w:val="5"/>
                <w:szCs w:val="5"/>
                <w:color w:val="auto"/>
              </w:rPr>
            </w:pPr>
          </w:p>
        </w:tc>
        <w:tc>
          <w:tcPr>
            <w:tcW w:w="820" w:type="dxa"/>
            <w:vAlign w:val="bottom"/>
            <w:tcBorders>
              <w:bottom w:val="single" w:sz="8" w:color="E5E5E5"/>
            </w:tcBorders>
            <w:shd w:val="clear" w:color="auto" w:fill="E5E5E5"/>
          </w:tcPr>
          <w:p>
            <w:pPr>
              <w:spacing w:after="0"/>
              <w:rPr>
                <w:sz w:val="5"/>
                <w:szCs w:val="5"/>
                <w:color w:val="auto"/>
              </w:rPr>
            </w:pPr>
          </w:p>
        </w:tc>
        <w:tc>
          <w:tcPr>
            <w:tcW w:w="660" w:type="dxa"/>
            <w:vAlign w:val="bottom"/>
            <w:tcBorders>
              <w:bottom w:val="single" w:sz="8" w:color="E5E5E5"/>
            </w:tcBorders>
            <w:vMerge w:val="continue"/>
            <w:shd w:val="clear" w:color="auto" w:fill="E5E5E5"/>
          </w:tcPr>
          <w:p>
            <w:pPr>
              <w:spacing w:after="0"/>
              <w:rPr>
                <w:sz w:val="5"/>
                <w:szCs w:val="5"/>
                <w:color w:val="auto"/>
              </w:rPr>
            </w:pPr>
          </w:p>
        </w:tc>
        <w:tc>
          <w:tcPr>
            <w:tcW w:w="680" w:type="dxa"/>
            <w:vAlign w:val="bottom"/>
            <w:tcBorders>
              <w:bottom w:val="single" w:sz="8" w:color="E5E5E5"/>
            </w:tcBorders>
            <w:vMerge w:val="continue"/>
            <w:shd w:val="clear" w:color="auto" w:fill="E5E5E5"/>
          </w:tcPr>
          <w:p>
            <w:pPr>
              <w:spacing w:after="0"/>
              <w:rPr>
                <w:sz w:val="5"/>
                <w:szCs w:val="5"/>
                <w:color w:val="auto"/>
              </w:rPr>
            </w:pPr>
          </w:p>
        </w:tc>
        <w:tc>
          <w:tcPr>
            <w:tcW w:w="840" w:type="dxa"/>
            <w:vAlign w:val="bottom"/>
            <w:tcBorders>
              <w:bottom w:val="single" w:sz="8" w:color="E5E5E5"/>
            </w:tcBorders>
            <w:vMerge w:val="continue"/>
            <w:shd w:val="clear" w:color="auto" w:fill="E5E5E5"/>
          </w:tcPr>
          <w:p>
            <w:pPr>
              <w:spacing w:after="0"/>
              <w:rPr>
                <w:sz w:val="5"/>
                <w:szCs w:val="5"/>
                <w:color w:val="auto"/>
              </w:rPr>
            </w:pPr>
          </w:p>
        </w:tc>
        <w:tc>
          <w:tcPr>
            <w:tcW w:w="940" w:type="dxa"/>
            <w:vAlign w:val="bottom"/>
            <w:tcBorders>
              <w:bottom w:val="single" w:sz="8" w:color="E5E5E5"/>
            </w:tcBorders>
            <w:shd w:val="clear" w:color="auto" w:fill="E5E5E5"/>
          </w:tcPr>
          <w:p>
            <w:pPr>
              <w:spacing w:after="0"/>
              <w:rPr>
                <w:sz w:val="5"/>
                <w:szCs w:val="5"/>
                <w:color w:val="auto"/>
              </w:rPr>
            </w:pPr>
          </w:p>
        </w:tc>
        <w:tc>
          <w:tcPr>
            <w:tcW w:w="780" w:type="dxa"/>
            <w:vAlign w:val="bottom"/>
            <w:tcBorders>
              <w:bottom w:val="single" w:sz="8" w:color="E5E5E5"/>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700" w:type="dxa"/>
            <w:vAlign w:val="bottom"/>
            <w:tcBorders>
              <w:top w:val="single" w:sz="8" w:color="auto"/>
            </w:tcBorders>
            <w:vMerge w:val="restart"/>
          </w:tcPr>
          <w:p>
            <w:pPr>
              <w:ind w:left="80"/>
              <w:spacing w:after="0"/>
              <w:rPr>
                <w:sz w:val="20"/>
                <w:szCs w:val="20"/>
                <w:color w:val="auto"/>
              </w:rPr>
            </w:pPr>
            <w:r>
              <w:rPr>
                <w:rFonts w:ascii="Arial" w:cs="Arial" w:eastAsia="Arial" w:hAnsi="Arial"/>
                <w:sz w:val="13"/>
                <w:szCs w:val="13"/>
                <w:color w:val="auto"/>
              </w:rPr>
              <w:t>Hung-Lun (Fred) Chang</w:t>
            </w:r>
          </w:p>
        </w:tc>
        <w:tc>
          <w:tcPr>
            <w:tcW w:w="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vMerge w:val="restart"/>
          </w:tcPr>
          <w:p>
            <w:pPr>
              <w:ind w:left="300"/>
              <w:spacing w:after="0"/>
              <w:rPr>
                <w:sz w:val="20"/>
                <w:szCs w:val="20"/>
                <w:color w:val="auto"/>
              </w:rPr>
            </w:pPr>
            <w:r>
              <w:rPr>
                <w:rFonts w:ascii="Arial" w:cs="Arial" w:eastAsia="Arial" w:hAnsi="Arial"/>
                <w:sz w:val="13"/>
                <w:szCs w:val="13"/>
                <w:color w:val="auto"/>
              </w:rPr>
              <w:t>0</w:t>
            </w:r>
          </w:p>
        </w:tc>
        <w:tc>
          <w:tcPr>
            <w:tcW w:w="680" w:type="dxa"/>
            <w:vAlign w:val="bottom"/>
            <w:tcBorders>
              <w:top w:val="single" w:sz="8" w:color="auto"/>
            </w:tcBorders>
            <w:vMerge w:val="restart"/>
          </w:tcPr>
          <w:p>
            <w:pPr>
              <w:ind w:left="120"/>
              <w:spacing w:after="0"/>
              <w:rPr>
                <w:sz w:val="20"/>
                <w:szCs w:val="20"/>
                <w:color w:val="auto"/>
              </w:rPr>
            </w:pPr>
            <w:r>
              <w:rPr>
                <w:rFonts w:ascii="Arial" w:cs="Arial" w:eastAsia="Arial" w:hAnsi="Arial"/>
                <w:sz w:val="13"/>
                <w:szCs w:val="13"/>
                <w:color w:val="auto"/>
              </w:rPr>
              <w:t>166,063</w:t>
            </w:r>
          </w:p>
        </w:tc>
        <w:tc>
          <w:tcPr>
            <w:tcW w:w="60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332,125</w:t>
            </w:r>
          </w:p>
        </w:tc>
        <w:tc>
          <w:tcPr>
            <w:tcW w:w="82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3"/>
                <w:szCs w:val="13"/>
                <w:color w:val="auto"/>
              </w:rPr>
              <w:t>415,156</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2"/>
        </w:trPr>
        <w:tc>
          <w:tcPr>
            <w:tcW w:w="1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4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340" w:type="dxa"/>
            <w:vAlign w:val="bottom"/>
            <w:tcBorders>
              <w:bottom w:val="single" w:sz="8" w:color="999999"/>
            </w:tcBorders>
          </w:tcPr>
          <w:p>
            <w:pPr>
              <w:spacing w:after="0"/>
              <w:rPr>
                <w:sz w:val="4"/>
                <w:szCs w:val="4"/>
                <w:color w:val="auto"/>
              </w:rPr>
            </w:pPr>
          </w:p>
        </w:tc>
        <w:tc>
          <w:tcPr>
            <w:tcW w:w="52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820" w:type="dxa"/>
            <w:vAlign w:val="bottom"/>
            <w:tcBorders>
              <w:bottom w:val="single" w:sz="8" w:color="999999"/>
            </w:tcBorders>
          </w:tcPr>
          <w:p>
            <w:pPr>
              <w:spacing w:after="0"/>
              <w:rPr>
                <w:sz w:val="4"/>
                <w:szCs w:val="4"/>
                <w:color w:val="auto"/>
              </w:rPr>
            </w:pPr>
          </w:p>
        </w:tc>
        <w:tc>
          <w:tcPr>
            <w:tcW w:w="66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840" w:type="dxa"/>
            <w:vAlign w:val="bottom"/>
            <w:tcBorders>
              <w:bottom w:val="single" w:sz="8" w:color="999999"/>
            </w:tcBorders>
          </w:tcPr>
          <w:p>
            <w:pPr>
              <w:spacing w:after="0"/>
              <w:rPr>
                <w:sz w:val="4"/>
                <w:szCs w:val="4"/>
                <w:color w:val="auto"/>
              </w:rPr>
            </w:pPr>
          </w:p>
        </w:tc>
        <w:tc>
          <w:tcPr>
            <w:tcW w:w="94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0" w:type="dxa"/>
            <w:vAlign w:val="bottom"/>
            <w:tcBorders>
              <w:bottom w:val="single" w:sz="8" w:color="999999"/>
            </w:tcBorders>
          </w:tcPr>
          <w:p>
            <w:pPr>
              <w:spacing w:after="0"/>
              <w:rPr>
                <w:sz w:val="20"/>
                <w:szCs w:val="20"/>
                <w:color w:val="auto"/>
              </w:rPr>
            </w:pPr>
          </w:p>
        </w:tc>
        <w:tc>
          <w:tcPr>
            <w:tcW w:w="800" w:type="dxa"/>
            <w:vAlign w:val="bottom"/>
            <w:tcBorders>
              <w:bottom w:val="single" w:sz="8" w:color="999999"/>
            </w:tcBorders>
          </w:tcPr>
          <w:p>
            <w:pPr>
              <w:spacing w:after="0"/>
              <w:rPr>
                <w:sz w:val="20"/>
                <w:szCs w:val="20"/>
                <w:color w:val="auto"/>
              </w:rPr>
            </w:pPr>
            <w:r>
              <w:rPr>
                <w:rFonts w:ascii="Arial" w:cs="Arial" w:eastAsia="Arial" w:hAnsi="Arial"/>
                <w:sz w:val="13"/>
                <w:szCs w:val="13"/>
                <w:color w:val="auto"/>
                <w:w w:val="97"/>
              </w:rPr>
              <w:t>April 11, 2025</w:t>
            </w:r>
          </w:p>
        </w:tc>
        <w:tc>
          <w:tcPr>
            <w:tcW w:w="340" w:type="dxa"/>
            <w:vAlign w:val="bottom"/>
            <w:tcBorders>
              <w:bottom w:val="single" w:sz="8" w:color="999999"/>
            </w:tcBorders>
          </w:tcPr>
          <w:p>
            <w:pPr>
              <w:spacing w:after="0"/>
              <w:rPr>
                <w:sz w:val="20"/>
                <w:szCs w:val="20"/>
                <w:color w:val="auto"/>
              </w:rPr>
            </w:pPr>
          </w:p>
        </w:tc>
        <w:tc>
          <w:tcPr>
            <w:tcW w:w="520" w:type="dxa"/>
            <w:vAlign w:val="bottom"/>
            <w:tcBorders>
              <w:bottom w:val="single" w:sz="8" w:color="999999"/>
            </w:tcBorders>
          </w:tcPr>
          <w:p>
            <w:pPr>
              <w:ind w:left="3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99999"/>
            </w:tcBorders>
          </w:tcPr>
          <w:p>
            <w:pPr>
              <w:ind w:left="60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99999"/>
            </w:tcBorders>
          </w:tcPr>
          <w:p>
            <w:pPr>
              <w:ind w:left="5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99999"/>
            </w:tcBorders>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99999"/>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999999"/>
            </w:tcBorders>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99999"/>
            </w:tcBorders>
          </w:tcPr>
          <w:p>
            <w:pPr>
              <w:jc w:val="right"/>
              <w:ind w:right="113"/>
              <w:spacing w:after="0"/>
              <w:rPr>
                <w:sz w:val="20"/>
                <w:szCs w:val="20"/>
                <w:color w:val="auto"/>
              </w:rPr>
            </w:pPr>
            <w:r>
              <w:rPr>
                <w:rFonts w:ascii="Arial" w:cs="Arial" w:eastAsia="Arial" w:hAnsi="Arial"/>
                <w:sz w:val="13"/>
                <w:szCs w:val="13"/>
                <w:color w:val="auto"/>
              </w:rPr>
              <w:t>32,397</w:t>
            </w:r>
            <w:r>
              <w:rPr>
                <w:rFonts w:ascii="Arial" w:cs="Arial" w:eastAsia="Arial" w:hAnsi="Arial"/>
                <w:sz w:val="16"/>
                <w:szCs w:val="16"/>
                <w:color w:val="auto"/>
                <w:vertAlign w:val="superscript"/>
              </w:rPr>
              <w:t>(5)</w:t>
            </w:r>
          </w:p>
        </w:tc>
        <w:tc>
          <w:tcPr>
            <w:tcW w:w="780" w:type="dxa"/>
            <w:vAlign w:val="bottom"/>
            <w:tcBorders>
              <w:bottom w:val="single" w:sz="8" w:color="999999"/>
            </w:tcBorders>
          </w:tcPr>
          <w:p>
            <w:pPr>
              <w:jc w:val="right"/>
              <w:spacing w:after="0"/>
              <w:rPr>
                <w:sz w:val="20"/>
                <w:szCs w:val="20"/>
                <w:color w:val="auto"/>
              </w:rPr>
            </w:pPr>
            <w:r>
              <w:rPr>
                <w:rFonts w:ascii="Arial" w:cs="Arial" w:eastAsia="Arial" w:hAnsi="Arial"/>
                <w:sz w:val="13"/>
                <w:szCs w:val="13"/>
                <w:color w:val="auto"/>
              </w:rPr>
              <w:t>365,438</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w w:val="97"/>
              </w:rPr>
              <w:t>April 11, 2025</w:t>
            </w:r>
          </w:p>
        </w:tc>
        <w:tc>
          <w:tcPr>
            <w:tcW w:w="340" w:type="dxa"/>
            <w:vAlign w:val="bottom"/>
          </w:tcPr>
          <w:p>
            <w:pPr>
              <w:spacing w:after="0"/>
              <w:rPr>
                <w:sz w:val="13"/>
                <w:szCs w:val="13"/>
                <w:color w:val="auto"/>
              </w:rPr>
            </w:pPr>
          </w:p>
        </w:tc>
        <w:tc>
          <w:tcPr>
            <w:tcW w:w="520" w:type="dxa"/>
            <w:vAlign w:val="bottom"/>
          </w:tcPr>
          <w:p>
            <w:pPr>
              <w:ind w:left="380"/>
              <w:spacing w:after="0"/>
              <w:rPr>
                <w:sz w:val="20"/>
                <w:szCs w:val="20"/>
                <w:color w:val="auto"/>
              </w:rPr>
            </w:pPr>
            <w:r>
              <w:rPr>
                <w:rFonts w:ascii="Arial" w:cs="Arial" w:eastAsia="Arial" w:hAnsi="Arial"/>
                <w:sz w:val="13"/>
                <w:szCs w:val="13"/>
                <w:color w:val="auto"/>
              </w:rPr>
              <w:t>​</w:t>
            </w:r>
          </w:p>
        </w:tc>
        <w:tc>
          <w:tcPr>
            <w:tcW w:w="680" w:type="dxa"/>
            <w:vAlign w:val="bottom"/>
          </w:tcPr>
          <w:p>
            <w:pPr>
              <w:ind w:left="600"/>
              <w:spacing w:after="0"/>
              <w:rPr>
                <w:sz w:val="20"/>
                <w:szCs w:val="20"/>
                <w:color w:val="auto"/>
              </w:rPr>
            </w:pPr>
            <w:r>
              <w:rPr>
                <w:rFonts w:ascii="Arial" w:cs="Arial" w:eastAsia="Arial" w:hAnsi="Arial"/>
                <w:sz w:val="13"/>
                <w:szCs w:val="13"/>
                <w:color w:val="auto"/>
              </w:rPr>
              <w:t>​</w:t>
            </w:r>
          </w:p>
        </w:tc>
        <w:tc>
          <w:tcPr>
            <w:tcW w:w="600" w:type="dxa"/>
            <w:vAlign w:val="bottom"/>
          </w:tcPr>
          <w:p>
            <w:pPr>
              <w:ind w:left="5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3"/>
              <w:spacing w:after="0"/>
              <w:rPr>
                <w:sz w:val="20"/>
                <w:szCs w:val="20"/>
                <w:color w:val="auto"/>
              </w:rPr>
            </w:pPr>
            <w:r>
              <w:rPr>
                <w:rFonts w:ascii="Arial" w:cs="Arial" w:eastAsia="Arial" w:hAnsi="Arial"/>
                <w:sz w:val="13"/>
                <w:szCs w:val="13"/>
                <w:color w:val="auto"/>
              </w:rPr>
              <w:t>8,099</w:t>
            </w:r>
          </w:p>
        </w:tc>
        <w:tc>
          <w:tcPr>
            <w:tcW w:w="680" w:type="dxa"/>
            <w:vAlign w:val="bottom"/>
            <w:vMerge w:val="restart"/>
          </w:tcPr>
          <w:p>
            <w:pPr>
              <w:jc w:val="right"/>
              <w:ind w:right="93"/>
              <w:spacing w:after="0"/>
              <w:rPr>
                <w:sz w:val="20"/>
                <w:szCs w:val="20"/>
                <w:color w:val="auto"/>
              </w:rPr>
            </w:pPr>
            <w:r>
              <w:rPr>
                <w:rFonts w:ascii="Arial" w:cs="Arial" w:eastAsia="Arial" w:hAnsi="Arial"/>
                <w:sz w:val="13"/>
                <w:szCs w:val="13"/>
                <w:color w:val="auto"/>
              </w:rPr>
              <w:t>32,397</w:t>
            </w:r>
          </w:p>
        </w:tc>
        <w:tc>
          <w:tcPr>
            <w:tcW w:w="840" w:type="dxa"/>
            <w:vAlign w:val="bottom"/>
            <w:vMerge w:val="restart"/>
          </w:tcPr>
          <w:p>
            <w:pPr>
              <w:jc w:val="right"/>
              <w:ind w:right="173"/>
              <w:spacing w:after="0"/>
              <w:rPr>
                <w:sz w:val="20"/>
                <w:szCs w:val="20"/>
                <w:color w:val="auto"/>
              </w:rPr>
            </w:pPr>
            <w:r>
              <w:rPr>
                <w:rFonts w:ascii="Arial" w:cs="Arial" w:eastAsia="Arial" w:hAnsi="Arial"/>
                <w:sz w:val="13"/>
                <w:szCs w:val="13"/>
                <w:color w:val="auto"/>
              </w:rPr>
              <w:t>64,794</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530,663</w:t>
            </w:r>
          </w:p>
        </w:tc>
        <w:tc>
          <w:tcPr>
            <w:tcW w:w="0" w:type="dxa"/>
            <w:vAlign w:val="bottom"/>
          </w:tcPr>
          <w:p>
            <w:pPr>
              <w:spacing w:after="0"/>
              <w:rPr>
                <w:sz w:val="1"/>
                <w:szCs w:val="1"/>
                <w:color w:val="auto"/>
              </w:rPr>
            </w:pPr>
          </w:p>
        </w:tc>
      </w:tr>
      <w:tr>
        <w:trPr>
          <w:trHeight w:val="42"/>
        </w:trPr>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
        </w:trPr>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00" w:type="dxa"/>
            <w:vAlign w:val="bottom"/>
            <w:vMerge w:val="restart"/>
            <w:shd w:val="clear" w:color="auto" w:fill="E5E5E5"/>
          </w:tcPr>
          <w:p>
            <w:pPr>
              <w:ind w:left="80"/>
              <w:spacing w:after="0"/>
              <w:rPr>
                <w:sz w:val="20"/>
                <w:szCs w:val="20"/>
                <w:color w:val="auto"/>
              </w:rPr>
            </w:pPr>
            <w:r>
              <w:rPr>
                <w:rFonts w:ascii="Arial" w:cs="Arial" w:eastAsia="Arial" w:hAnsi="Arial"/>
                <w:sz w:val="13"/>
                <w:szCs w:val="13"/>
                <w:color w:val="auto"/>
              </w:rPr>
              <w:t>Shu-Hua (Joshua) Yeh</w:t>
            </w:r>
          </w:p>
        </w:tc>
        <w:tc>
          <w:tcPr>
            <w:tcW w:w="4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340" w:type="dxa"/>
            <w:vAlign w:val="bottom"/>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E5E5E5"/>
          </w:tcPr>
          <w:p>
            <w:pPr>
              <w:ind w:left="300"/>
              <w:spacing w:after="0"/>
              <w:rPr>
                <w:sz w:val="20"/>
                <w:szCs w:val="20"/>
                <w:color w:val="auto"/>
              </w:rPr>
            </w:pPr>
            <w:r>
              <w:rPr>
                <w:rFonts w:ascii="Arial" w:cs="Arial" w:eastAsia="Arial" w:hAnsi="Arial"/>
                <w:sz w:val="13"/>
                <w:szCs w:val="13"/>
                <w:color w:val="auto"/>
              </w:rPr>
              <w:t>0</w:t>
            </w:r>
          </w:p>
        </w:tc>
        <w:tc>
          <w:tcPr>
            <w:tcW w:w="680" w:type="dxa"/>
            <w:vAlign w:val="bottom"/>
            <w:vMerge w:val="restart"/>
            <w:shd w:val="clear" w:color="auto" w:fill="E5E5E5"/>
          </w:tcPr>
          <w:p>
            <w:pPr>
              <w:ind w:left="120"/>
              <w:spacing w:after="0"/>
              <w:rPr>
                <w:sz w:val="20"/>
                <w:szCs w:val="20"/>
                <w:color w:val="auto"/>
              </w:rPr>
            </w:pPr>
            <w:r>
              <w:rPr>
                <w:rFonts w:ascii="Arial" w:cs="Arial" w:eastAsia="Arial" w:hAnsi="Arial"/>
                <w:sz w:val="13"/>
                <w:szCs w:val="13"/>
                <w:color w:val="auto"/>
              </w:rPr>
              <w:t>151,510</w:t>
            </w:r>
          </w:p>
        </w:tc>
        <w:tc>
          <w:tcPr>
            <w:tcW w:w="600" w:type="dxa"/>
            <w:vAlign w:val="bottom"/>
            <w:vMerge w:val="restart"/>
            <w:shd w:val="clear" w:color="auto" w:fill="E5E5E5"/>
          </w:tcPr>
          <w:p>
            <w:pPr>
              <w:ind w:left="20"/>
              <w:spacing w:after="0"/>
              <w:rPr>
                <w:sz w:val="20"/>
                <w:szCs w:val="20"/>
                <w:color w:val="auto"/>
              </w:rPr>
            </w:pPr>
            <w:r>
              <w:rPr>
                <w:rFonts w:ascii="Arial" w:cs="Arial" w:eastAsia="Arial" w:hAnsi="Arial"/>
                <w:sz w:val="13"/>
                <w:szCs w:val="13"/>
                <w:color w:val="auto"/>
              </w:rPr>
              <w:t>303,021</w:t>
            </w:r>
          </w:p>
        </w:tc>
        <w:tc>
          <w:tcPr>
            <w:tcW w:w="820" w:type="dxa"/>
            <w:vAlign w:val="bottom"/>
            <w:vMerge w:val="restart"/>
            <w:shd w:val="clear" w:color="auto" w:fill="E5E5E5"/>
          </w:tcPr>
          <w:p>
            <w:pPr>
              <w:jc w:val="right"/>
              <w:ind w:right="113"/>
              <w:spacing w:after="0"/>
              <w:rPr>
                <w:sz w:val="20"/>
                <w:szCs w:val="20"/>
                <w:color w:val="auto"/>
              </w:rPr>
            </w:pPr>
            <w:r>
              <w:rPr>
                <w:rFonts w:ascii="Arial" w:cs="Arial" w:eastAsia="Arial" w:hAnsi="Arial"/>
                <w:sz w:val="13"/>
                <w:szCs w:val="13"/>
                <w:color w:val="auto"/>
              </w:rPr>
              <w:t>378,776</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shd w:val="clear" w:color="auto" w:fill="E5E5E5"/>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1700" w:type="dxa"/>
            <w:vAlign w:val="bottom"/>
            <w:tcBorders>
              <w:bottom w:val="single" w:sz="8" w:color="E5E5E5"/>
            </w:tcBorders>
            <w:vMerge w:val="continue"/>
            <w:shd w:val="clear" w:color="auto" w:fill="E5E5E5"/>
          </w:tcPr>
          <w:p>
            <w:pPr>
              <w:spacing w:after="0"/>
              <w:rPr>
                <w:sz w:val="8"/>
                <w:szCs w:val="8"/>
                <w:color w:val="auto"/>
              </w:rPr>
            </w:pPr>
          </w:p>
        </w:tc>
        <w:tc>
          <w:tcPr>
            <w:tcW w:w="40" w:type="dxa"/>
            <w:vAlign w:val="bottom"/>
            <w:tcBorders>
              <w:bottom w:val="single" w:sz="8" w:color="E5E5E5"/>
            </w:tcBorders>
            <w:shd w:val="clear" w:color="auto" w:fill="E5E5E5"/>
          </w:tcPr>
          <w:p>
            <w:pPr>
              <w:spacing w:after="0"/>
              <w:rPr>
                <w:sz w:val="8"/>
                <w:szCs w:val="8"/>
                <w:color w:val="auto"/>
              </w:rPr>
            </w:pPr>
          </w:p>
        </w:tc>
        <w:tc>
          <w:tcPr>
            <w:tcW w:w="800" w:type="dxa"/>
            <w:vAlign w:val="bottom"/>
            <w:tcBorders>
              <w:bottom w:val="single" w:sz="8" w:color="E5E5E5"/>
            </w:tcBorders>
            <w:shd w:val="clear" w:color="auto" w:fill="E5E5E5"/>
          </w:tcPr>
          <w:p>
            <w:pPr>
              <w:spacing w:after="0"/>
              <w:rPr>
                <w:sz w:val="8"/>
                <w:szCs w:val="8"/>
                <w:color w:val="auto"/>
              </w:rPr>
            </w:pPr>
          </w:p>
        </w:tc>
        <w:tc>
          <w:tcPr>
            <w:tcW w:w="340" w:type="dxa"/>
            <w:vAlign w:val="bottom"/>
            <w:tcBorders>
              <w:bottom w:val="single" w:sz="8" w:color="E5E5E5"/>
            </w:tcBorders>
            <w:shd w:val="clear" w:color="auto" w:fill="E5E5E5"/>
          </w:tcPr>
          <w:p>
            <w:pPr>
              <w:spacing w:after="0"/>
              <w:rPr>
                <w:sz w:val="8"/>
                <w:szCs w:val="8"/>
                <w:color w:val="auto"/>
              </w:rPr>
            </w:pPr>
          </w:p>
        </w:tc>
        <w:tc>
          <w:tcPr>
            <w:tcW w:w="520" w:type="dxa"/>
            <w:vAlign w:val="bottom"/>
            <w:tcBorders>
              <w:bottom w:val="single" w:sz="8" w:color="E5E5E5"/>
            </w:tcBorders>
            <w:vMerge w:val="continue"/>
            <w:shd w:val="clear" w:color="auto" w:fill="E5E5E5"/>
          </w:tcPr>
          <w:p>
            <w:pPr>
              <w:spacing w:after="0"/>
              <w:rPr>
                <w:sz w:val="8"/>
                <w:szCs w:val="8"/>
                <w:color w:val="auto"/>
              </w:rPr>
            </w:pPr>
          </w:p>
        </w:tc>
        <w:tc>
          <w:tcPr>
            <w:tcW w:w="680" w:type="dxa"/>
            <w:vAlign w:val="bottom"/>
            <w:tcBorders>
              <w:bottom w:val="single" w:sz="8" w:color="E5E5E5"/>
            </w:tcBorders>
            <w:vMerge w:val="continue"/>
            <w:shd w:val="clear" w:color="auto" w:fill="E5E5E5"/>
          </w:tcPr>
          <w:p>
            <w:pPr>
              <w:spacing w:after="0"/>
              <w:rPr>
                <w:sz w:val="8"/>
                <w:szCs w:val="8"/>
                <w:color w:val="auto"/>
              </w:rPr>
            </w:pPr>
          </w:p>
        </w:tc>
        <w:tc>
          <w:tcPr>
            <w:tcW w:w="600" w:type="dxa"/>
            <w:vAlign w:val="bottom"/>
            <w:tcBorders>
              <w:bottom w:val="single" w:sz="8" w:color="E5E5E5"/>
            </w:tcBorders>
            <w:vMerge w:val="continue"/>
            <w:shd w:val="clear" w:color="auto" w:fill="E5E5E5"/>
          </w:tcPr>
          <w:p>
            <w:pPr>
              <w:spacing w:after="0"/>
              <w:rPr>
                <w:sz w:val="8"/>
                <w:szCs w:val="8"/>
                <w:color w:val="auto"/>
              </w:rPr>
            </w:pPr>
          </w:p>
        </w:tc>
        <w:tc>
          <w:tcPr>
            <w:tcW w:w="820" w:type="dxa"/>
            <w:vAlign w:val="bottom"/>
            <w:tcBorders>
              <w:bottom w:val="single" w:sz="8" w:color="E5E5E5"/>
            </w:tcBorders>
            <w:vMerge w:val="continue"/>
            <w:shd w:val="clear" w:color="auto" w:fill="E5E5E5"/>
          </w:tcPr>
          <w:p>
            <w:pPr>
              <w:spacing w:after="0"/>
              <w:rPr>
                <w:sz w:val="8"/>
                <w:szCs w:val="8"/>
                <w:color w:val="auto"/>
              </w:rPr>
            </w:pPr>
          </w:p>
        </w:tc>
        <w:tc>
          <w:tcPr>
            <w:tcW w:w="660" w:type="dxa"/>
            <w:vAlign w:val="bottom"/>
            <w:tcBorders>
              <w:bottom w:val="single" w:sz="8" w:color="E5E5E5"/>
            </w:tcBorders>
            <w:shd w:val="clear" w:color="auto" w:fill="E5E5E5"/>
          </w:tcPr>
          <w:p>
            <w:pPr>
              <w:spacing w:after="0"/>
              <w:rPr>
                <w:sz w:val="8"/>
                <w:szCs w:val="8"/>
                <w:color w:val="auto"/>
              </w:rPr>
            </w:pPr>
          </w:p>
        </w:tc>
        <w:tc>
          <w:tcPr>
            <w:tcW w:w="680" w:type="dxa"/>
            <w:vAlign w:val="bottom"/>
            <w:tcBorders>
              <w:bottom w:val="single" w:sz="8" w:color="E5E5E5"/>
            </w:tcBorders>
            <w:shd w:val="clear" w:color="auto" w:fill="E5E5E5"/>
          </w:tcPr>
          <w:p>
            <w:pPr>
              <w:spacing w:after="0"/>
              <w:rPr>
                <w:sz w:val="8"/>
                <w:szCs w:val="8"/>
                <w:color w:val="auto"/>
              </w:rPr>
            </w:pPr>
          </w:p>
        </w:tc>
        <w:tc>
          <w:tcPr>
            <w:tcW w:w="840" w:type="dxa"/>
            <w:vAlign w:val="bottom"/>
            <w:tcBorders>
              <w:bottom w:val="single" w:sz="8" w:color="E5E5E5"/>
            </w:tcBorders>
            <w:shd w:val="clear" w:color="auto" w:fill="E5E5E5"/>
          </w:tcPr>
          <w:p>
            <w:pPr>
              <w:spacing w:after="0"/>
              <w:rPr>
                <w:sz w:val="8"/>
                <w:szCs w:val="8"/>
                <w:color w:val="auto"/>
              </w:rPr>
            </w:pPr>
          </w:p>
        </w:tc>
        <w:tc>
          <w:tcPr>
            <w:tcW w:w="940" w:type="dxa"/>
            <w:vAlign w:val="bottom"/>
            <w:tcBorders>
              <w:bottom w:val="single" w:sz="8" w:color="E5E5E5"/>
            </w:tcBorders>
            <w:shd w:val="clear" w:color="auto" w:fill="E5E5E5"/>
          </w:tcPr>
          <w:p>
            <w:pPr>
              <w:spacing w:after="0"/>
              <w:rPr>
                <w:sz w:val="8"/>
                <w:szCs w:val="8"/>
                <w:color w:val="auto"/>
              </w:rPr>
            </w:pPr>
          </w:p>
        </w:tc>
        <w:tc>
          <w:tcPr>
            <w:tcW w:w="780" w:type="dxa"/>
            <w:vAlign w:val="bottom"/>
            <w:tcBorders>
              <w:bottom w:val="single" w:sz="8" w:color="E5E5E5"/>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700" w:type="dxa"/>
            <w:vAlign w:val="bottom"/>
            <w:tcBorders>
              <w:top w:val="single" w:sz="8" w:color="E5E5E5"/>
              <w:bottom w:val="single" w:sz="8" w:color="E5E5E5"/>
            </w:tcBorders>
            <w:shd w:val="clear" w:color="auto" w:fill="E5E5E5"/>
          </w:tcPr>
          <w:p>
            <w:pPr>
              <w:spacing w:after="0"/>
              <w:rPr>
                <w:sz w:val="20"/>
                <w:szCs w:val="20"/>
                <w:color w:val="auto"/>
              </w:rPr>
            </w:pPr>
          </w:p>
        </w:tc>
        <w:tc>
          <w:tcPr>
            <w:tcW w:w="40" w:type="dxa"/>
            <w:vAlign w:val="bottom"/>
            <w:tcBorders>
              <w:top w:val="single" w:sz="8" w:color="999999"/>
              <w:bottom w:val="single" w:sz="8" w:color="999999"/>
            </w:tcBorders>
            <w:shd w:val="clear" w:color="auto" w:fill="E5E5E5"/>
          </w:tcPr>
          <w:p>
            <w:pPr>
              <w:spacing w:after="0"/>
              <w:rPr>
                <w:sz w:val="20"/>
                <w:szCs w:val="20"/>
                <w:color w:val="auto"/>
              </w:rPr>
            </w:pPr>
          </w:p>
        </w:tc>
        <w:tc>
          <w:tcPr>
            <w:tcW w:w="800" w:type="dxa"/>
            <w:vAlign w:val="bottom"/>
            <w:tcBorders>
              <w:top w:val="single" w:sz="8" w:color="999999"/>
              <w:bottom w:val="single" w:sz="8" w:color="999999"/>
            </w:tcBorders>
            <w:shd w:val="clear" w:color="auto" w:fill="E5E5E5"/>
          </w:tcPr>
          <w:p>
            <w:pPr>
              <w:spacing w:after="0"/>
              <w:rPr>
                <w:sz w:val="20"/>
                <w:szCs w:val="20"/>
                <w:color w:val="auto"/>
              </w:rPr>
            </w:pPr>
            <w:r>
              <w:rPr>
                <w:rFonts w:ascii="Arial" w:cs="Arial" w:eastAsia="Arial" w:hAnsi="Arial"/>
                <w:sz w:val="13"/>
                <w:szCs w:val="13"/>
                <w:color w:val="auto"/>
                <w:w w:val="97"/>
              </w:rPr>
              <w:t>April 11, 2025</w:t>
            </w:r>
          </w:p>
        </w:tc>
        <w:tc>
          <w:tcPr>
            <w:tcW w:w="340" w:type="dxa"/>
            <w:vAlign w:val="bottom"/>
            <w:tcBorders>
              <w:top w:val="single" w:sz="8" w:color="999999"/>
              <w:bottom w:val="single" w:sz="8" w:color="999999"/>
            </w:tcBorders>
            <w:shd w:val="clear" w:color="auto" w:fill="E5E5E5"/>
          </w:tcPr>
          <w:p>
            <w:pPr>
              <w:spacing w:after="0"/>
              <w:rPr>
                <w:sz w:val="20"/>
                <w:szCs w:val="20"/>
                <w:color w:val="auto"/>
              </w:rPr>
            </w:pPr>
          </w:p>
        </w:tc>
        <w:tc>
          <w:tcPr>
            <w:tcW w:w="520" w:type="dxa"/>
            <w:vAlign w:val="bottom"/>
            <w:tcBorders>
              <w:top w:val="single" w:sz="8" w:color="999999"/>
              <w:bottom w:val="single" w:sz="8" w:color="999999"/>
            </w:tcBorders>
            <w:shd w:val="clear" w:color="auto" w:fill="E5E5E5"/>
          </w:tcPr>
          <w:p>
            <w:pPr>
              <w:ind w:left="38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999999"/>
              <w:bottom w:val="single" w:sz="8" w:color="999999"/>
            </w:tcBorders>
            <w:shd w:val="clear" w:color="auto" w:fill="E5E5E5"/>
          </w:tcPr>
          <w:p>
            <w:pPr>
              <w:ind w:left="60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999999"/>
              <w:bottom w:val="single" w:sz="8" w:color="999999"/>
            </w:tcBorders>
            <w:shd w:val="clear" w:color="auto" w:fill="E5E5E5"/>
          </w:tcPr>
          <w:p>
            <w:pPr>
              <w:ind w:left="50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999999"/>
              <w:bottom w:val="single" w:sz="8" w:color="999999"/>
            </w:tcBorders>
            <w:shd w:val="clear" w:color="auto" w:fill="E5E5E5"/>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999999"/>
              <w:bottom w:val="single" w:sz="8" w:color="999999"/>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999999"/>
              <w:bottom w:val="single" w:sz="8" w:color="999999"/>
            </w:tcBorders>
            <w:shd w:val="clear" w:color="auto" w:fill="E5E5E5"/>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999999"/>
              <w:bottom w:val="single" w:sz="8" w:color="999999"/>
            </w:tcBorders>
            <w:shd w:val="clear" w:color="auto" w:fill="E5E5E5"/>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999999"/>
              <w:bottom w:val="single" w:sz="8" w:color="999999"/>
            </w:tcBorders>
            <w:shd w:val="clear" w:color="auto" w:fill="E5E5E5"/>
          </w:tcPr>
          <w:p>
            <w:pPr>
              <w:jc w:val="right"/>
              <w:ind w:right="113"/>
              <w:spacing w:after="0"/>
              <w:rPr>
                <w:sz w:val="20"/>
                <w:szCs w:val="20"/>
                <w:color w:val="auto"/>
              </w:rPr>
            </w:pPr>
            <w:r>
              <w:rPr>
                <w:rFonts w:ascii="Arial" w:cs="Arial" w:eastAsia="Arial" w:hAnsi="Arial"/>
                <w:sz w:val="13"/>
                <w:szCs w:val="13"/>
                <w:color w:val="auto"/>
              </w:rPr>
              <w:t>32,397</w:t>
            </w:r>
            <w:r>
              <w:rPr>
                <w:rFonts w:ascii="Arial" w:cs="Arial" w:eastAsia="Arial" w:hAnsi="Arial"/>
                <w:sz w:val="16"/>
                <w:szCs w:val="16"/>
                <w:color w:val="auto"/>
                <w:vertAlign w:val="superscript"/>
              </w:rPr>
              <w:t>(5)</w:t>
            </w:r>
          </w:p>
        </w:tc>
        <w:tc>
          <w:tcPr>
            <w:tcW w:w="780" w:type="dxa"/>
            <w:vAlign w:val="bottom"/>
            <w:tcBorders>
              <w:top w:val="single" w:sz="8" w:color="999999"/>
              <w:bottom w:val="single" w:sz="8" w:color="999999"/>
            </w:tcBorders>
            <w:shd w:val="clear" w:color="auto" w:fill="E5E5E5"/>
          </w:tcPr>
          <w:p>
            <w:pPr>
              <w:jc w:val="right"/>
              <w:spacing w:after="0"/>
              <w:rPr>
                <w:sz w:val="20"/>
                <w:szCs w:val="20"/>
                <w:color w:val="auto"/>
              </w:rPr>
            </w:pPr>
            <w:r>
              <w:rPr>
                <w:rFonts w:ascii="Arial" w:cs="Arial" w:eastAsia="Arial" w:hAnsi="Arial"/>
                <w:sz w:val="13"/>
                <w:szCs w:val="13"/>
                <w:color w:val="auto"/>
              </w:rPr>
              <w:t>365,438</w:t>
            </w:r>
          </w:p>
        </w:tc>
        <w:tc>
          <w:tcPr>
            <w:tcW w:w="0" w:type="dxa"/>
            <w:vAlign w:val="bottom"/>
          </w:tcPr>
          <w:p>
            <w:pPr>
              <w:spacing w:after="0"/>
              <w:rPr>
                <w:sz w:val="1"/>
                <w:szCs w:val="1"/>
                <w:color w:val="auto"/>
              </w:rPr>
            </w:pPr>
          </w:p>
        </w:tc>
      </w:tr>
      <w:tr>
        <w:trPr>
          <w:trHeight w:val="156"/>
        </w:trPr>
        <w:tc>
          <w:tcPr>
            <w:tcW w:w="17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800" w:type="dxa"/>
            <w:vAlign w:val="bottom"/>
            <w:vMerge w:val="restart"/>
            <w:shd w:val="clear" w:color="auto" w:fill="E5E5E5"/>
          </w:tcPr>
          <w:p>
            <w:pPr>
              <w:spacing w:after="0"/>
              <w:rPr>
                <w:sz w:val="20"/>
                <w:szCs w:val="20"/>
                <w:color w:val="auto"/>
              </w:rPr>
            </w:pPr>
            <w:r>
              <w:rPr>
                <w:rFonts w:ascii="Arial" w:cs="Arial" w:eastAsia="Arial" w:hAnsi="Arial"/>
                <w:sz w:val="13"/>
                <w:szCs w:val="13"/>
                <w:color w:val="auto"/>
                <w:w w:val="97"/>
              </w:rPr>
              <w:t>April 11, 2025</w:t>
            </w:r>
          </w:p>
        </w:tc>
        <w:tc>
          <w:tcPr>
            <w:tcW w:w="340" w:type="dxa"/>
            <w:vAlign w:val="bottom"/>
            <w:shd w:val="clear" w:color="auto" w:fill="E5E5E5"/>
          </w:tcPr>
          <w:p>
            <w:pPr>
              <w:spacing w:after="0"/>
              <w:rPr>
                <w:sz w:val="13"/>
                <w:szCs w:val="13"/>
                <w:color w:val="auto"/>
              </w:rPr>
            </w:pPr>
          </w:p>
        </w:tc>
        <w:tc>
          <w:tcPr>
            <w:tcW w:w="520" w:type="dxa"/>
            <w:vAlign w:val="bottom"/>
            <w:shd w:val="clear" w:color="auto" w:fill="E5E5E5"/>
          </w:tcPr>
          <w:p>
            <w:pPr>
              <w:ind w:left="3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ind w:left="600"/>
              <w:spacing w:after="0"/>
              <w:rPr>
                <w:sz w:val="20"/>
                <w:szCs w:val="20"/>
                <w:color w:val="auto"/>
              </w:rPr>
            </w:pPr>
            <w:r>
              <w:rPr>
                <w:rFonts w:ascii="Arial" w:cs="Arial" w:eastAsia="Arial" w:hAnsi="Arial"/>
                <w:sz w:val="13"/>
                <w:szCs w:val="13"/>
                <w:color w:val="auto"/>
              </w:rPr>
              <w:t>​</w:t>
            </w:r>
          </w:p>
        </w:tc>
        <w:tc>
          <w:tcPr>
            <w:tcW w:w="600" w:type="dxa"/>
            <w:vAlign w:val="bottom"/>
            <w:shd w:val="clear" w:color="auto" w:fill="E5E5E5"/>
          </w:tcPr>
          <w:p>
            <w:pPr>
              <w:ind w:left="500"/>
              <w:spacing w:after="0"/>
              <w:rPr>
                <w:sz w:val="20"/>
                <w:szCs w:val="20"/>
                <w:color w:val="auto"/>
              </w:rPr>
            </w:pPr>
            <w:r>
              <w:rPr>
                <w:rFonts w:ascii="Arial" w:cs="Arial" w:eastAsia="Arial" w:hAnsi="Arial"/>
                <w:sz w:val="13"/>
                <w:szCs w:val="13"/>
                <w:color w:val="auto"/>
              </w:rPr>
              <w:t>​</w:t>
            </w:r>
          </w:p>
        </w:tc>
        <w:tc>
          <w:tcPr>
            <w:tcW w:w="820" w:type="dxa"/>
            <w:vAlign w:val="bottom"/>
            <w:shd w:val="clear" w:color="auto" w:fill="E5E5E5"/>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E5E5E5"/>
          </w:tcPr>
          <w:p>
            <w:pPr>
              <w:jc w:val="right"/>
              <w:ind w:right="13"/>
              <w:spacing w:after="0"/>
              <w:rPr>
                <w:sz w:val="20"/>
                <w:szCs w:val="20"/>
                <w:color w:val="auto"/>
              </w:rPr>
            </w:pPr>
            <w:r>
              <w:rPr>
                <w:rFonts w:ascii="Arial" w:cs="Arial" w:eastAsia="Arial" w:hAnsi="Arial"/>
                <w:sz w:val="13"/>
                <w:szCs w:val="13"/>
                <w:color w:val="auto"/>
              </w:rPr>
              <w:t>8,099</w:t>
            </w:r>
          </w:p>
        </w:tc>
        <w:tc>
          <w:tcPr>
            <w:tcW w:w="680" w:type="dxa"/>
            <w:vAlign w:val="bottom"/>
            <w:vMerge w:val="restart"/>
            <w:shd w:val="clear" w:color="auto" w:fill="E5E5E5"/>
          </w:tcPr>
          <w:p>
            <w:pPr>
              <w:jc w:val="right"/>
              <w:ind w:right="93"/>
              <w:spacing w:after="0"/>
              <w:rPr>
                <w:sz w:val="20"/>
                <w:szCs w:val="20"/>
                <w:color w:val="auto"/>
              </w:rPr>
            </w:pPr>
            <w:r>
              <w:rPr>
                <w:rFonts w:ascii="Arial" w:cs="Arial" w:eastAsia="Arial" w:hAnsi="Arial"/>
                <w:sz w:val="13"/>
                <w:szCs w:val="13"/>
                <w:color w:val="auto"/>
              </w:rPr>
              <w:t>32,397</w:t>
            </w:r>
          </w:p>
        </w:tc>
        <w:tc>
          <w:tcPr>
            <w:tcW w:w="840" w:type="dxa"/>
            <w:vAlign w:val="bottom"/>
            <w:vMerge w:val="restart"/>
            <w:shd w:val="clear" w:color="auto" w:fill="E5E5E5"/>
          </w:tcPr>
          <w:p>
            <w:pPr>
              <w:jc w:val="right"/>
              <w:ind w:right="173"/>
              <w:spacing w:after="0"/>
              <w:rPr>
                <w:sz w:val="20"/>
                <w:szCs w:val="20"/>
                <w:color w:val="auto"/>
              </w:rPr>
            </w:pPr>
            <w:r>
              <w:rPr>
                <w:rFonts w:ascii="Arial" w:cs="Arial" w:eastAsia="Arial" w:hAnsi="Arial"/>
                <w:sz w:val="13"/>
                <w:szCs w:val="13"/>
                <w:color w:val="auto"/>
              </w:rPr>
              <w:t>64,794</w:t>
            </w:r>
          </w:p>
        </w:tc>
        <w:tc>
          <w:tcPr>
            <w:tcW w:w="940" w:type="dxa"/>
            <w:vAlign w:val="bottom"/>
            <w:shd w:val="clear" w:color="auto" w:fill="E5E5E5"/>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530,663</w:t>
            </w:r>
          </w:p>
        </w:tc>
        <w:tc>
          <w:tcPr>
            <w:tcW w:w="0" w:type="dxa"/>
            <w:vAlign w:val="bottom"/>
          </w:tcPr>
          <w:p>
            <w:pPr>
              <w:spacing w:after="0"/>
              <w:rPr>
                <w:sz w:val="1"/>
                <w:szCs w:val="1"/>
                <w:color w:val="auto"/>
              </w:rPr>
            </w:pPr>
          </w:p>
        </w:tc>
      </w:tr>
      <w:tr>
        <w:trPr>
          <w:trHeight w:val="68"/>
        </w:trPr>
        <w:tc>
          <w:tcPr>
            <w:tcW w:w="1700" w:type="dxa"/>
            <w:vAlign w:val="bottom"/>
            <w:tcBorders>
              <w:bottom w:val="single" w:sz="8" w:color="E5E5E5"/>
            </w:tcBorders>
            <w:shd w:val="clear" w:color="auto" w:fill="E5E5E5"/>
          </w:tcPr>
          <w:p>
            <w:pPr>
              <w:spacing w:after="0"/>
              <w:rPr>
                <w:sz w:val="5"/>
                <w:szCs w:val="5"/>
                <w:color w:val="auto"/>
              </w:rPr>
            </w:pPr>
          </w:p>
        </w:tc>
        <w:tc>
          <w:tcPr>
            <w:tcW w:w="40" w:type="dxa"/>
            <w:vAlign w:val="bottom"/>
            <w:tcBorders>
              <w:bottom w:val="single" w:sz="8" w:color="E5E5E5"/>
            </w:tcBorders>
            <w:shd w:val="clear" w:color="auto" w:fill="E5E5E5"/>
          </w:tcPr>
          <w:p>
            <w:pPr>
              <w:spacing w:after="0"/>
              <w:rPr>
                <w:sz w:val="5"/>
                <w:szCs w:val="5"/>
                <w:color w:val="auto"/>
              </w:rPr>
            </w:pPr>
          </w:p>
        </w:tc>
        <w:tc>
          <w:tcPr>
            <w:tcW w:w="800" w:type="dxa"/>
            <w:vAlign w:val="bottom"/>
            <w:tcBorders>
              <w:bottom w:val="single" w:sz="8" w:color="E5E5E5"/>
            </w:tcBorders>
            <w:vMerge w:val="continue"/>
            <w:shd w:val="clear" w:color="auto" w:fill="E5E5E5"/>
          </w:tcPr>
          <w:p>
            <w:pPr>
              <w:spacing w:after="0"/>
              <w:rPr>
                <w:sz w:val="5"/>
                <w:szCs w:val="5"/>
                <w:color w:val="auto"/>
              </w:rPr>
            </w:pPr>
          </w:p>
        </w:tc>
        <w:tc>
          <w:tcPr>
            <w:tcW w:w="340" w:type="dxa"/>
            <w:vAlign w:val="bottom"/>
            <w:tcBorders>
              <w:bottom w:val="single" w:sz="8" w:color="E5E5E5"/>
            </w:tcBorders>
            <w:shd w:val="clear" w:color="auto" w:fill="E5E5E5"/>
          </w:tcPr>
          <w:p>
            <w:pPr>
              <w:spacing w:after="0"/>
              <w:rPr>
                <w:sz w:val="5"/>
                <w:szCs w:val="5"/>
                <w:color w:val="auto"/>
              </w:rPr>
            </w:pPr>
          </w:p>
        </w:tc>
        <w:tc>
          <w:tcPr>
            <w:tcW w:w="520" w:type="dxa"/>
            <w:vAlign w:val="bottom"/>
            <w:tcBorders>
              <w:bottom w:val="single" w:sz="8" w:color="E5E5E5"/>
            </w:tcBorders>
            <w:shd w:val="clear" w:color="auto" w:fill="E5E5E5"/>
          </w:tcPr>
          <w:p>
            <w:pPr>
              <w:spacing w:after="0"/>
              <w:rPr>
                <w:sz w:val="5"/>
                <w:szCs w:val="5"/>
                <w:color w:val="auto"/>
              </w:rPr>
            </w:pPr>
          </w:p>
        </w:tc>
        <w:tc>
          <w:tcPr>
            <w:tcW w:w="680" w:type="dxa"/>
            <w:vAlign w:val="bottom"/>
            <w:tcBorders>
              <w:bottom w:val="single" w:sz="8" w:color="E5E5E5"/>
            </w:tcBorders>
            <w:shd w:val="clear" w:color="auto" w:fill="E5E5E5"/>
          </w:tcPr>
          <w:p>
            <w:pPr>
              <w:spacing w:after="0"/>
              <w:rPr>
                <w:sz w:val="5"/>
                <w:szCs w:val="5"/>
                <w:color w:val="auto"/>
              </w:rPr>
            </w:pPr>
          </w:p>
        </w:tc>
        <w:tc>
          <w:tcPr>
            <w:tcW w:w="600" w:type="dxa"/>
            <w:vAlign w:val="bottom"/>
            <w:tcBorders>
              <w:bottom w:val="single" w:sz="8" w:color="E5E5E5"/>
            </w:tcBorders>
            <w:shd w:val="clear" w:color="auto" w:fill="E5E5E5"/>
          </w:tcPr>
          <w:p>
            <w:pPr>
              <w:spacing w:after="0"/>
              <w:rPr>
                <w:sz w:val="5"/>
                <w:szCs w:val="5"/>
                <w:color w:val="auto"/>
              </w:rPr>
            </w:pPr>
          </w:p>
        </w:tc>
        <w:tc>
          <w:tcPr>
            <w:tcW w:w="820" w:type="dxa"/>
            <w:vAlign w:val="bottom"/>
            <w:tcBorders>
              <w:bottom w:val="single" w:sz="8" w:color="E5E5E5"/>
            </w:tcBorders>
            <w:shd w:val="clear" w:color="auto" w:fill="E5E5E5"/>
          </w:tcPr>
          <w:p>
            <w:pPr>
              <w:spacing w:after="0"/>
              <w:rPr>
                <w:sz w:val="5"/>
                <w:szCs w:val="5"/>
                <w:color w:val="auto"/>
              </w:rPr>
            </w:pPr>
          </w:p>
        </w:tc>
        <w:tc>
          <w:tcPr>
            <w:tcW w:w="660" w:type="dxa"/>
            <w:vAlign w:val="bottom"/>
            <w:tcBorders>
              <w:bottom w:val="single" w:sz="8" w:color="E5E5E5"/>
            </w:tcBorders>
            <w:vMerge w:val="continue"/>
            <w:shd w:val="clear" w:color="auto" w:fill="E5E5E5"/>
          </w:tcPr>
          <w:p>
            <w:pPr>
              <w:spacing w:after="0"/>
              <w:rPr>
                <w:sz w:val="5"/>
                <w:szCs w:val="5"/>
                <w:color w:val="auto"/>
              </w:rPr>
            </w:pPr>
          </w:p>
        </w:tc>
        <w:tc>
          <w:tcPr>
            <w:tcW w:w="680" w:type="dxa"/>
            <w:vAlign w:val="bottom"/>
            <w:tcBorders>
              <w:bottom w:val="single" w:sz="8" w:color="E5E5E5"/>
            </w:tcBorders>
            <w:vMerge w:val="continue"/>
            <w:shd w:val="clear" w:color="auto" w:fill="E5E5E5"/>
          </w:tcPr>
          <w:p>
            <w:pPr>
              <w:spacing w:after="0"/>
              <w:rPr>
                <w:sz w:val="5"/>
                <w:szCs w:val="5"/>
                <w:color w:val="auto"/>
              </w:rPr>
            </w:pPr>
          </w:p>
        </w:tc>
        <w:tc>
          <w:tcPr>
            <w:tcW w:w="840" w:type="dxa"/>
            <w:vAlign w:val="bottom"/>
            <w:tcBorders>
              <w:bottom w:val="single" w:sz="8" w:color="E5E5E5"/>
            </w:tcBorders>
            <w:vMerge w:val="continue"/>
            <w:shd w:val="clear" w:color="auto" w:fill="E5E5E5"/>
          </w:tcPr>
          <w:p>
            <w:pPr>
              <w:spacing w:after="0"/>
              <w:rPr>
                <w:sz w:val="5"/>
                <w:szCs w:val="5"/>
                <w:color w:val="auto"/>
              </w:rPr>
            </w:pPr>
          </w:p>
        </w:tc>
        <w:tc>
          <w:tcPr>
            <w:tcW w:w="940" w:type="dxa"/>
            <w:vAlign w:val="bottom"/>
            <w:tcBorders>
              <w:bottom w:val="single" w:sz="8" w:color="E5E5E5"/>
            </w:tcBorders>
            <w:shd w:val="clear" w:color="auto" w:fill="E5E5E5"/>
          </w:tcPr>
          <w:p>
            <w:pPr>
              <w:spacing w:after="0"/>
              <w:rPr>
                <w:sz w:val="5"/>
                <w:szCs w:val="5"/>
                <w:color w:val="auto"/>
              </w:rPr>
            </w:pPr>
          </w:p>
        </w:tc>
        <w:tc>
          <w:tcPr>
            <w:tcW w:w="780" w:type="dxa"/>
            <w:vAlign w:val="bottom"/>
            <w:tcBorders>
              <w:bottom w:val="single" w:sz="8" w:color="E5E5E5"/>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700" w:type="dxa"/>
            <w:vAlign w:val="bottom"/>
            <w:tcBorders>
              <w:top w:val="single" w:sz="8" w:color="auto"/>
            </w:tcBorders>
            <w:vMerge w:val="restart"/>
          </w:tcPr>
          <w:p>
            <w:pPr>
              <w:ind w:left="80"/>
              <w:spacing w:after="0"/>
              <w:rPr>
                <w:sz w:val="20"/>
                <w:szCs w:val="20"/>
                <w:color w:val="auto"/>
              </w:rPr>
            </w:pPr>
            <w:r>
              <w:rPr>
                <w:rFonts w:ascii="Arial" w:cs="Arial" w:eastAsia="Arial" w:hAnsi="Arial"/>
                <w:sz w:val="13"/>
                <w:szCs w:val="13"/>
                <w:color w:val="auto"/>
              </w:rPr>
              <w:t>David C. Kuo</w:t>
            </w:r>
          </w:p>
        </w:tc>
        <w:tc>
          <w:tcPr>
            <w:tcW w:w="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vMerge w:val="restart"/>
          </w:tcPr>
          <w:p>
            <w:pPr>
              <w:ind w:left="300"/>
              <w:spacing w:after="0"/>
              <w:rPr>
                <w:sz w:val="20"/>
                <w:szCs w:val="20"/>
                <w:color w:val="auto"/>
              </w:rPr>
            </w:pPr>
            <w:r>
              <w:rPr>
                <w:rFonts w:ascii="Arial" w:cs="Arial" w:eastAsia="Arial" w:hAnsi="Arial"/>
                <w:sz w:val="13"/>
                <w:szCs w:val="13"/>
                <w:color w:val="auto"/>
              </w:rPr>
              <w:t>0</w:t>
            </w:r>
          </w:p>
        </w:tc>
        <w:tc>
          <w:tcPr>
            <w:tcW w:w="680" w:type="dxa"/>
            <w:vAlign w:val="bottom"/>
            <w:tcBorders>
              <w:top w:val="single" w:sz="8" w:color="auto"/>
            </w:tcBorders>
            <w:vMerge w:val="restart"/>
          </w:tcPr>
          <w:p>
            <w:pPr>
              <w:ind w:left="120"/>
              <w:spacing w:after="0"/>
              <w:rPr>
                <w:sz w:val="20"/>
                <w:szCs w:val="20"/>
                <w:color w:val="auto"/>
              </w:rPr>
            </w:pPr>
            <w:r>
              <w:rPr>
                <w:rFonts w:ascii="Arial" w:cs="Arial" w:eastAsia="Arial" w:hAnsi="Arial"/>
                <w:sz w:val="13"/>
                <w:szCs w:val="13"/>
                <w:color w:val="auto"/>
              </w:rPr>
              <w:t>122,269</w:t>
            </w:r>
          </w:p>
        </w:tc>
        <w:tc>
          <w:tcPr>
            <w:tcW w:w="60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244,539</w:t>
            </w:r>
          </w:p>
        </w:tc>
        <w:tc>
          <w:tcPr>
            <w:tcW w:w="82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3"/>
                <w:szCs w:val="13"/>
                <w:color w:val="auto"/>
              </w:rPr>
              <w:t>305,673</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2"/>
        </w:trPr>
        <w:tc>
          <w:tcPr>
            <w:tcW w:w="1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40" w:type="dxa"/>
            <w:vAlign w:val="bottom"/>
            <w:tcBorders>
              <w:bottom w:val="single" w:sz="8" w:color="999999"/>
            </w:tcBorders>
          </w:tcPr>
          <w:p>
            <w:pPr>
              <w:spacing w:after="0"/>
              <w:rPr>
                <w:sz w:val="4"/>
                <w:szCs w:val="4"/>
                <w:color w:val="auto"/>
              </w:rPr>
            </w:pPr>
          </w:p>
        </w:tc>
        <w:tc>
          <w:tcPr>
            <w:tcW w:w="800" w:type="dxa"/>
            <w:vAlign w:val="bottom"/>
            <w:tcBorders>
              <w:bottom w:val="single" w:sz="8" w:color="999999"/>
            </w:tcBorders>
          </w:tcPr>
          <w:p>
            <w:pPr>
              <w:spacing w:after="0"/>
              <w:rPr>
                <w:sz w:val="4"/>
                <w:szCs w:val="4"/>
                <w:color w:val="auto"/>
              </w:rPr>
            </w:pPr>
          </w:p>
        </w:tc>
        <w:tc>
          <w:tcPr>
            <w:tcW w:w="340" w:type="dxa"/>
            <w:vAlign w:val="bottom"/>
            <w:tcBorders>
              <w:bottom w:val="single" w:sz="8" w:color="999999"/>
            </w:tcBorders>
          </w:tcPr>
          <w:p>
            <w:pPr>
              <w:spacing w:after="0"/>
              <w:rPr>
                <w:sz w:val="4"/>
                <w:szCs w:val="4"/>
                <w:color w:val="auto"/>
              </w:rPr>
            </w:pPr>
          </w:p>
        </w:tc>
        <w:tc>
          <w:tcPr>
            <w:tcW w:w="52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820" w:type="dxa"/>
            <w:vAlign w:val="bottom"/>
            <w:tcBorders>
              <w:bottom w:val="single" w:sz="8" w:color="999999"/>
            </w:tcBorders>
          </w:tcPr>
          <w:p>
            <w:pPr>
              <w:spacing w:after="0"/>
              <w:rPr>
                <w:sz w:val="4"/>
                <w:szCs w:val="4"/>
                <w:color w:val="auto"/>
              </w:rPr>
            </w:pPr>
          </w:p>
        </w:tc>
        <w:tc>
          <w:tcPr>
            <w:tcW w:w="66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840" w:type="dxa"/>
            <w:vAlign w:val="bottom"/>
            <w:tcBorders>
              <w:bottom w:val="single" w:sz="8" w:color="999999"/>
            </w:tcBorders>
          </w:tcPr>
          <w:p>
            <w:pPr>
              <w:spacing w:after="0"/>
              <w:rPr>
                <w:sz w:val="4"/>
                <w:szCs w:val="4"/>
                <w:color w:val="auto"/>
              </w:rPr>
            </w:pPr>
          </w:p>
        </w:tc>
        <w:tc>
          <w:tcPr>
            <w:tcW w:w="94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0" w:type="dxa"/>
            <w:vAlign w:val="bottom"/>
            <w:tcBorders>
              <w:bottom w:val="single" w:sz="8" w:color="999999"/>
            </w:tcBorders>
          </w:tcPr>
          <w:p>
            <w:pPr>
              <w:spacing w:after="0"/>
              <w:rPr>
                <w:sz w:val="20"/>
                <w:szCs w:val="20"/>
                <w:color w:val="auto"/>
              </w:rPr>
            </w:pPr>
          </w:p>
        </w:tc>
        <w:tc>
          <w:tcPr>
            <w:tcW w:w="800" w:type="dxa"/>
            <w:vAlign w:val="bottom"/>
            <w:tcBorders>
              <w:bottom w:val="single" w:sz="8" w:color="999999"/>
            </w:tcBorders>
          </w:tcPr>
          <w:p>
            <w:pPr>
              <w:spacing w:after="0"/>
              <w:rPr>
                <w:sz w:val="20"/>
                <w:szCs w:val="20"/>
                <w:color w:val="auto"/>
              </w:rPr>
            </w:pPr>
            <w:r>
              <w:rPr>
                <w:rFonts w:ascii="Arial" w:cs="Arial" w:eastAsia="Arial" w:hAnsi="Arial"/>
                <w:sz w:val="13"/>
                <w:szCs w:val="13"/>
                <w:color w:val="auto"/>
                <w:w w:val="97"/>
              </w:rPr>
              <w:t>April 11, 2025</w:t>
            </w:r>
          </w:p>
        </w:tc>
        <w:tc>
          <w:tcPr>
            <w:tcW w:w="340" w:type="dxa"/>
            <w:vAlign w:val="bottom"/>
            <w:tcBorders>
              <w:bottom w:val="single" w:sz="8" w:color="999999"/>
            </w:tcBorders>
          </w:tcPr>
          <w:p>
            <w:pPr>
              <w:spacing w:after="0"/>
              <w:rPr>
                <w:sz w:val="20"/>
                <w:szCs w:val="20"/>
                <w:color w:val="auto"/>
              </w:rPr>
            </w:pPr>
          </w:p>
        </w:tc>
        <w:tc>
          <w:tcPr>
            <w:tcW w:w="520" w:type="dxa"/>
            <w:vAlign w:val="bottom"/>
            <w:tcBorders>
              <w:bottom w:val="single" w:sz="8" w:color="999999"/>
            </w:tcBorders>
          </w:tcPr>
          <w:p>
            <w:pPr>
              <w:ind w:left="3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99999"/>
            </w:tcBorders>
          </w:tcPr>
          <w:p>
            <w:pPr>
              <w:ind w:left="60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99999"/>
            </w:tcBorders>
          </w:tcPr>
          <w:p>
            <w:pPr>
              <w:ind w:left="5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99999"/>
            </w:tcBorders>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99999"/>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999999"/>
            </w:tcBorders>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99999"/>
            </w:tcBorders>
          </w:tcPr>
          <w:p>
            <w:pPr>
              <w:jc w:val="right"/>
              <w:ind w:right="113"/>
              <w:spacing w:after="0"/>
              <w:rPr>
                <w:sz w:val="20"/>
                <w:szCs w:val="20"/>
                <w:color w:val="auto"/>
              </w:rPr>
            </w:pPr>
            <w:r>
              <w:rPr>
                <w:rFonts w:ascii="Arial" w:cs="Arial" w:eastAsia="Arial" w:hAnsi="Arial"/>
                <w:sz w:val="13"/>
                <w:szCs w:val="13"/>
                <w:color w:val="auto"/>
              </w:rPr>
              <w:t>21,598</w:t>
            </w:r>
            <w:r>
              <w:rPr>
                <w:rFonts w:ascii="Arial" w:cs="Arial" w:eastAsia="Arial" w:hAnsi="Arial"/>
                <w:sz w:val="16"/>
                <w:szCs w:val="16"/>
                <w:color w:val="auto"/>
                <w:vertAlign w:val="superscript"/>
              </w:rPr>
              <w:t>(5)</w:t>
            </w:r>
          </w:p>
        </w:tc>
        <w:tc>
          <w:tcPr>
            <w:tcW w:w="780" w:type="dxa"/>
            <w:vAlign w:val="bottom"/>
            <w:tcBorders>
              <w:bottom w:val="single" w:sz="8" w:color="999999"/>
            </w:tcBorders>
          </w:tcPr>
          <w:p>
            <w:pPr>
              <w:jc w:val="right"/>
              <w:spacing w:after="0"/>
              <w:rPr>
                <w:sz w:val="20"/>
                <w:szCs w:val="20"/>
                <w:color w:val="auto"/>
              </w:rPr>
            </w:pPr>
            <w:r>
              <w:rPr>
                <w:rFonts w:ascii="Arial" w:cs="Arial" w:eastAsia="Arial" w:hAnsi="Arial"/>
                <w:sz w:val="13"/>
                <w:szCs w:val="13"/>
                <w:color w:val="auto"/>
              </w:rPr>
              <w:t>243,625</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w w:val="97"/>
              </w:rPr>
              <w:t>April 11, 2025</w:t>
            </w:r>
          </w:p>
        </w:tc>
        <w:tc>
          <w:tcPr>
            <w:tcW w:w="340" w:type="dxa"/>
            <w:vAlign w:val="bottom"/>
          </w:tcPr>
          <w:p>
            <w:pPr>
              <w:spacing w:after="0"/>
              <w:rPr>
                <w:sz w:val="13"/>
                <w:szCs w:val="13"/>
                <w:color w:val="auto"/>
              </w:rPr>
            </w:pPr>
          </w:p>
        </w:tc>
        <w:tc>
          <w:tcPr>
            <w:tcW w:w="520" w:type="dxa"/>
            <w:vAlign w:val="bottom"/>
          </w:tcPr>
          <w:p>
            <w:pPr>
              <w:ind w:left="380"/>
              <w:spacing w:after="0"/>
              <w:rPr>
                <w:sz w:val="20"/>
                <w:szCs w:val="20"/>
                <w:color w:val="auto"/>
              </w:rPr>
            </w:pPr>
            <w:r>
              <w:rPr>
                <w:rFonts w:ascii="Arial" w:cs="Arial" w:eastAsia="Arial" w:hAnsi="Arial"/>
                <w:sz w:val="13"/>
                <w:szCs w:val="13"/>
                <w:color w:val="auto"/>
              </w:rPr>
              <w:t>​</w:t>
            </w:r>
          </w:p>
        </w:tc>
        <w:tc>
          <w:tcPr>
            <w:tcW w:w="680" w:type="dxa"/>
            <w:vAlign w:val="bottom"/>
          </w:tcPr>
          <w:p>
            <w:pPr>
              <w:ind w:left="600"/>
              <w:spacing w:after="0"/>
              <w:rPr>
                <w:sz w:val="20"/>
                <w:szCs w:val="20"/>
                <w:color w:val="auto"/>
              </w:rPr>
            </w:pPr>
            <w:r>
              <w:rPr>
                <w:rFonts w:ascii="Arial" w:cs="Arial" w:eastAsia="Arial" w:hAnsi="Arial"/>
                <w:sz w:val="13"/>
                <w:szCs w:val="13"/>
                <w:color w:val="auto"/>
              </w:rPr>
              <w:t>​</w:t>
            </w:r>
          </w:p>
        </w:tc>
        <w:tc>
          <w:tcPr>
            <w:tcW w:w="600" w:type="dxa"/>
            <w:vAlign w:val="bottom"/>
          </w:tcPr>
          <w:p>
            <w:pPr>
              <w:ind w:left="5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3"/>
              <w:spacing w:after="0"/>
              <w:rPr>
                <w:sz w:val="20"/>
                <w:szCs w:val="20"/>
                <w:color w:val="auto"/>
              </w:rPr>
            </w:pPr>
            <w:r>
              <w:rPr>
                <w:rFonts w:ascii="Arial" w:cs="Arial" w:eastAsia="Arial" w:hAnsi="Arial"/>
                <w:sz w:val="13"/>
                <w:szCs w:val="13"/>
                <w:color w:val="auto"/>
              </w:rPr>
              <w:t>5,399</w:t>
            </w:r>
          </w:p>
        </w:tc>
        <w:tc>
          <w:tcPr>
            <w:tcW w:w="680" w:type="dxa"/>
            <w:vAlign w:val="bottom"/>
            <w:vMerge w:val="restart"/>
          </w:tcPr>
          <w:p>
            <w:pPr>
              <w:jc w:val="right"/>
              <w:ind w:right="93"/>
              <w:spacing w:after="0"/>
              <w:rPr>
                <w:sz w:val="20"/>
                <w:szCs w:val="20"/>
                <w:color w:val="auto"/>
              </w:rPr>
            </w:pPr>
            <w:r>
              <w:rPr>
                <w:rFonts w:ascii="Arial" w:cs="Arial" w:eastAsia="Arial" w:hAnsi="Arial"/>
                <w:sz w:val="13"/>
                <w:szCs w:val="13"/>
                <w:color w:val="auto"/>
              </w:rPr>
              <w:t>21,598</w:t>
            </w:r>
          </w:p>
        </w:tc>
        <w:tc>
          <w:tcPr>
            <w:tcW w:w="840" w:type="dxa"/>
            <w:vAlign w:val="bottom"/>
            <w:vMerge w:val="restart"/>
          </w:tcPr>
          <w:p>
            <w:pPr>
              <w:jc w:val="right"/>
              <w:ind w:right="173"/>
              <w:spacing w:after="0"/>
              <w:rPr>
                <w:sz w:val="20"/>
                <w:szCs w:val="20"/>
                <w:color w:val="auto"/>
              </w:rPr>
            </w:pPr>
            <w:r>
              <w:rPr>
                <w:rFonts w:ascii="Arial" w:cs="Arial" w:eastAsia="Arial" w:hAnsi="Arial"/>
                <w:sz w:val="13"/>
                <w:szCs w:val="13"/>
                <w:color w:val="auto"/>
              </w:rPr>
              <w:t>43,196</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353,775</w:t>
            </w:r>
          </w:p>
        </w:tc>
        <w:tc>
          <w:tcPr>
            <w:tcW w:w="0" w:type="dxa"/>
            <w:vAlign w:val="bottom"/>
          </w:tcPr>
          <w:p>
            <w:pPr>
              <w:spacing w:after="0"/>
              <w:rPr>
                <w:sz w:val="1"/>
                <w:szCs w:val="1"/>
                <w:color w:val="auto"/>
              </w:rPr>
            </w:pPr>
          </w:p>
        </w:tc>
      </w:tr>
      <w:tr>
        <w:trPr>
          <w:trHeight w:val="42"/>
        </w:trPr>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1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240" w:right="140" w:hanging="358"/>
        <w:spacing w:after="0" w:line="281" w:lineRule="auto"/>
        <w:tabs>
          <w:tab w:leader="none" w:pos="12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Amounts in these columns reflect cash bonus amounts that each NEO could have potentially earned under the annual cash incentive program for performance in 2025, based on the Company’s achievement of corporate performance metrics established by the compensation committee. For a description of the 2025 Cash Incentive Plan, see the section titled “Compensation Discussion and Analysis” above, and for a description of the cash bonus amounts that were earned and awarded under the annual cash incentive program, see the “2025 Summary Compensation Table” above.</w:t>
      </w:r>
    </w:p>
    <w:p>
      <w:pPr>
        <w:spacing w:after="0" w:line="28" w:lineRule="exact"/>
        <w:rPr>
          <w:rFonts w:ascii="Arial" w:cs="Arial" w:eastAsia="Arial" w:hAnsi="Arial"/>
          <w:sz w:val="13"/>
          <w:szCs w:val="13"/>
          <w:color w:val="auto"/>
        </w:rPr>
      </w:pPr>
    </w:p>
    <w:p>
      <w:pPr>
        <w:ind w:left="1240" w:right="480" w:hanging="358"/>
        <w:spacing w:after="0" w:line="324" w:lineRule="auto"/>
        <w:tabs>
          <w:tab w:leader="none" w:pos="12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compensation committee selected three targets as the performance metrics for purposes of the cash incentive plan. See the section titled “Compensation Discussion and Analysis” above for how these metrics are defined.</w:t>
      </w:r>
    </w:p>
    <w:p>
      <w:pPr>
        <w:spacing w:after="0" w:line="14" w:lineRule="exact"/>
        <w:rPr>
          <w:rFonts w:ascii="Arial" w:cs="Arial" w:eastAsia="Arial" w:hAnsi="Arial"/>
          <w:sz w:val="13"/>
          <w:szCs w:val="13"/>
          <w:color w:val="auto"/>
        </w:rPr>
      </w:pPr>
    </w:p>
    <w:p>
      <w:pPr>
        <w:ind w:left="1240" w:right="60" w:hanging="358"/>
        <w:spacing w:after="0" w:line="302" w:lineRule="auto"/>
        <w:tabs>
          <w:tab w:leader="none" w:pos="12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Amounts reflect awards of PSUs that will vest following the end of a three-year performance period based on achievement of stock price appreciation and relative TSR performance goals.</w:t>
      </w:r>
    </w:p>
    <w:p>
      <w:pPr>
        <w:spacing w:after="0" w:line="28" w:lineRule="exact"/>
        <w:rPr>
          <w:rFonts w:ascii="Arial" w:cs="Arial" w:eastAsia="Arial" w:hAnsi="Arial"/>
          <w:sz w:val="13"/>
          <w:szCs w:val="13"/>
          <w:color w:val="auto"/>
        </w:rPr>
      </w:pPr>
    </w:p>
    <w:p>
      <w:pPr>
        <w:ind w:left="1240" w:right="280" w:hanging="358"/>
        <w:spacing w:after="0" w:line="281" w:lineRule="auto"/>
        <w:tabs>
          <w:tab w:leader="none" w:pos="12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the aggregate grant date fair value computed in accordance with FASB ASC Topic 718, disregarding the estimate of time-based forfeitures. The grant date fair value of the PSUs is based on the target number of shares. The assumptions used in calculating the grant date fair value of the RSUs and PSUs are reported in Note B to the consolidated financial statements included in the Annual Report.</w:t>
      </w:r>
    </w:p>
    <w:p>
      <w:pPr>
        <w:spacing w:after="0" w:line="41" w:lineRule="exact"/>
        <w:rPr>
          <w:rFonts w:ascii="Arial" w:cs="Arial" w:eastAsia="Arial" w:hAnsi="Arial"/>
          <w:sz w:val="13"/>
          <w:szCs w:val="13"/>
          <w:color w:val="auto"/>
        </w:rPr>
      </w:pPr>
    </w:p>
    <w:p>
      <w:pPr>
        <w:ind w:left="1240" w:hanging="358"/>
        <w:spacing w:after="0"/>
        <w:tabs>
          <w:tab w:leader="none" w:pos="12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Amounts reflect awards of time-based RSUs that will vest quarterly over a 4-year period commencing on January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2596515</wp:posOffset>
            </wp:positionV>
            <wp:extent cx="334010" cy="162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40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Outstanding Equity Awards at 2025 Fiscal Year-End</w:t>
      </w:r>
    </w:p>
    <w:p>
      <w:pPr>
        <w:spacing w:after="0" w:line="119" w:lineRule="exact"/>
        <w:rPr>
          <w:sz w:val="20"/>
          <w:szCs w:val="20"/>
          <w:color w:val="auto"/>
        </w:rPr>
      </w:pPr>
    </w:p>
    <w:p>
      <w:pPr>
        <w:ind w:left="660" w:right="120"/>
        <w:spacing w:after="0" w:line="304" w:lineRule="auto"/>
        <w:rPr>
          <w:sz w:val="20"/>
          <w:szCs w:val="20"/>
          <w:color w:val="auto"/>
        </w:rPr>
      </w:pPr>
      <w:r>
        <w:rPr>
          <w:rFonts w:ascii="Arial" w:cs="Arial" w:eastAsia="Arial" w:hAnsi="Arial"/>
          <w:sz w:val="16"/>
          <w:szCs w:val="16"/>
          <w:color w:val="auto"/>
        </w:rPr>
        <w:t>The following table sets forth information regarding outstanding equity awards held by our NEOs as of December 31, 2025. None of our NEOs held stock options as of December 31, 2025.</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3320" w:type="dxa"/>
            <w:vAlign w:val="bottom"/>
            <w:shd w:val="clear" w:color="auto" w:fill="4834BA"/>
          </w:tcPr>
          <w:p>
            <w:pPr>
              <w:spacing w:after="0"/>
              <w:rPr>
                <w:sz w:val="21"/>
                <w:szCs w:val="21"/>
                <w:color w:val="auto"/>
              </w:rPr>
            </w:pPr>
          </w:p>
        </w:tc>
        <w:tc>
          <w:tcPr>
            <w:tcW w:w="300" w:type="dxa"/>
            <w:vAlign w:val="bottom"/>
            <w:shd w:val="clear" w:color="auto" w:fill="4834BA"/>
          </w:tcPr>
          <w:p>
            <w:pPr>
              <w:spacing w:after="0"/>
              <w:rPr>
                <w:sz w:val="21"/>
                <w:szCs w:val="21"/>
                <w:color w:val="auto"/>
              </w:rPr>
            </w:pPr>
          </w:p>
        </w:tc>
        <w:tc>
          <w:tcPr>
            <w:tcW w:w="660" w:type="dxa"/>
            <w:vAlign w:val="bottom"/>
            <w:vMerge w:val="restart"/>
            <w:shd w:val="clear" w:color="auto" w:fill="4834BA"/>
          </w:tcPr>
          <w:p>
            <w:pPr>
              <w:jc w:val="right"/>
              <w:ind w:right="173"/>
              <w:spacing w:after="0"/>
              <w:rPr>
                <w:sz w:val="20"/>
                <w:szCs w:val="20"/>
                <w:color w:val="auto"/>
              </w:rPr>
            </w:pPr>
            <w:r>
              <w:rPr>
                <w:rFonts w:ascii="Arial" w:cs="Arial" w:eastAsia="Arial" w:hAnsi="Arial"/>
                <w:sz w:val="13"/>
                <w:szCs w:val="13"/>
                <w:b w:val="1"/>
                <w:bCs w:val="1"/>
                <w:color w:val="FFFFFF"/>
              </w:rPr>
              <w:t>​</w:t>
            </w:r>
          </w:p>
        </w:tc>
        <w:tc>
          <w:tcPr>
            <w:tcW w:w="280" w:type="dxa"/>
            <w:vAlign w:val="bottom"/>
            <w:shd w:val="clear" w:color="auto" w:fill="4834BA"/>
          </w:tcPr>
          <w:p>
            <w:pPr>
              <w:spacing w:after="0"/>
              <w:rPr>
                <w:sz w:val="21"/>
                <w:szCs w:val="21"/>
                <w:color w:val="auto"/>
              </w:rPr>
            </w:pPr>
          </w:p>
        </w:tc>
        <w:tc>
          <w:tcPr>
            <w:tcW w:w="640" w:type="dxa"/>
            <w:vAlign w:val="bottom"/>
            <w:shd w:val="clear" w:color="auto" w:fill="4834BA"/>
          </w:tcPr>
          <w:p>
            <w:pPr>
              <w:spacing w:after="0"/>
              <w:rPr>
                <w:sz w:val="21"/>
                <w:szCs w:val="21"/>
                <w:color w:val="auto"/>
              </w:rPr>
            </w:pPr>
          </w:p>
        </w:tc>
        <w:tc>
          <w:tcPr>
            <w:tcW w:w="280" w:type="dxa"/>
            <w:vAlign w:val="bottom"/>
            <w:shd w:val="clear" w:color="auto" w:fill="4834BA"/>
          </w:tcPr>
          <w:p>
            <w:pPr>
              <w:spacing w:after="0"/>
              <w:rPr>
                <w:sz w:val="21"/>
                <w:szCs w:val="21"/>
                <w:color w:val="auto"/>
              </w:rPr>
            </w:pPr>
          </w:p>
        </w:tc>
        <w:tc>
          <w:tcPr>
            <w:tcW w:w="1280" w:type="dxa"/>
            <w:vAlign w:val="bottom"/>
            <w:shd w:val="clear" w:color="auto" w:fill="4834BA"/>
          </w:tcPr>
          <w:p>
            <w:pPr>
              <w:spacing w:after="0"/>
              <w:rPr>
                <w:sz w:val="21"/>
                <w:szCs w:val="21"/>
                <w:color w:val="auto"/>
              </w:rPr>
            </w:pPr>
          </w:p>
        </w:tc>
        <w:tc>
          <w:tcPr>
            <w:tcW w:w="1440" w:type="dxa"/>
            <w:vAlign w:val="bottom"/>
            <w:shd w:val="clear" w:color="auto" w:fill="4834BA"/>
          </w:tcPr>
          <w:p>
            <w:pPr>
              <w:spacing w:after="0"/>
              <w:rPr>
                <w:sz w:val="21"/>
                <w:szCs w:val="21"/>
                <w:color w:val="auto"/>
              </w:rPr>
            </w:pPr>
          </w:p>
        </w:tc>
        <w:tc>
          <w:tcPr>
            <w:tcW w:w="1200" w:type="dxa"/>
            <w:vAlign w:val="bottom"/>
            <w:shd w:val="clear" w:color="auto" w:fill="4834BA"/>
          </w:tcPr>
          <w:p>
            <w:pPr>
              <w:jc w:val="right"/>
              <w:ind w:right="13"/>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71"/>
        </w:trPr>
        <w:tc>
          <w:tcPr>
            <w:tcW w:w="3320" w:type="dxa"/>
            <w:vAlign w:val="bottom"/>
            <w:shd w:val="clear" w:color="auto" w:fill="4834BA"/>
          </w:tcPr>
          <w:p>
            <w:pPr>
              <w:spacing w:after="0"/>
              <w:rPr>
                <w:sz w:val="6"/>
                <w:szCs w:val="6"/>
                <w:color w:val="auto"/>
              </w:rPr>
            </w:pPr>
          </w:p>
        </w:tc>
        <w:tc>
          <w:tcPr>
            <w:tcW w:w="300" w:type="dxa"/>
            <w:vAlign w:val="bottom"/>
            <w:shd w:val="clear" w:color="auto" w:fill="4834BA"/>
          </w:tcPr>
          <w:p>
            <w:pPr>
              <w:spacing w:after="0"/>
              <w:rPr>
                <w:sz w:val="6"/>
                <w:szCs w:val="6"/>
                <w:color w:val="auto"/>
              </w:rPr>
            </w:pPr>
          </w:p>
        </w:tc>
        <w:tc>
          <w:tcPr>
            <w:tcW w:w="660" w:type="dxa"/>
            <w:vAlign w:val="bottom"/>
            <w:vMerge w:val="continue"/>
            <w:shd w:val="clear" w:color="auto" w:fill="4834BA"/>
          </w:tcPr>
          <w:p>
            <w:pPr>
              <w:spacing w:after="0"/>
              <w:rPr>
                <w:sz w:val="6"/>
                <w:szCs w:val="6"/>
                <w:color w:val="auto"/>
              </w:rPr>
            </w:pPr>
          </w:p>
        </w:tc>
        <w:tc>
          <w:tcPr>
            <w:tcW w:w="280" w:type="dxa"/>
            <w:vAlign w:val="bottom"/>
            <w:shd w:val="clear" w:color="auto" w:fill="4834BA"/>
          </w:tcPr>
          <w:p>
            <w:pPr>
              <w:spacing w:after="0"/>
              <w:rPr>
                <w:sz w:val="6"/>
                <w:szCs w:val="6"/>
                <w:color w:val="auto"/>
              </w:rPr>
            </w:pPr>
          </w:p>
        </w:tc>
        <w:tc>
          <w:tcPr>
            <w:tcW w:w="640" w:type="dxa"/>
            <w:vAlign w:val="bottom"/>
            <w:shd w:val="clear" w:color="auto" w:fill="4834BA"/>
          </w:tcPr>
          <w:p>
            <w:pPr>
              <w:spacing w:after="0"/>
              <w:rPr>
                <w:sz w:val="6"/>
                <w:szCs w:val="6"/>
                <w:color w:val="auto"/>
              </w:rPr>
            </w:pPr>
          </w:p>
        </w:tc>
        <w:tc>
          <w:tcPr>
            <w:tcW w:w="280" w:type="dxa"/>
            <w:vAlign w:val="bottom"/>
            <w:shd w:val="clear" w:color="auto" w:fill="4834BA"/>
          </w:tcPr>
          <w:p>
            <w:pPr>
              <w:spacing w:after="0"/>
              <w:rPr>
                <w:sz w:val="6"/>
                <w:szCs w:val="6"/>
                <w:color w:val="auto"/>
              </w:rPr>
            </w:pPr>
          </w:p>
        </w:tc>
        <w:tc>
          <w:tcPr>
            <w:tcW w:w="1280" w:type="dxa"/>
            <w:vAlign w:val="bottom"/>
            <w:shd w:val="clear" w:color="auto" w:fill="4834BA"/>
          </w:tcPr>
          <w:p>
            <w:pPr>
              <w:spacing w:after="0"/>
              <w:rPr>
                <w:sz w:val="6"/>
                <w:szCs w:val="6"/>
                <w:color w:val="auto"/>
              </w:rPr>
            </w:pPr>
          </w:p>
        </w:tc>
        <w:tc>
          <w:tcPr>
            <w:tcW w:w="1440" w:type="dxa"/>
            <w:vAlign w:val="bottom"/>
            <w:shd w:val="clear" w:color="auto" w:fill="4834BA"/>
          </w:tcPr>
          <w:p>
            <w:pPr>
              <w:spacing w:after="0"/>
              <w:rPr>
                <w:sz w:val="6"/>
                <w:szCs w:val="6"/>
                <w:color w:val="auto"/>
              </w:rPr>
            </w:pPr>
          </w:p>
        </w:tc>
        <w:tc>
          <w:tcPr>
            <w:tcW w:w="1200" w:type="dxa"/>
            <w:vAlign w:val="bottom"/>
            <w:vMerge w:val="restart"/>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34"/>
        </w:trPr>
        <w:tc>
          <w:tcPr>
            <w:tcW w:w="3320" w:type="dxa"/>
            <w:vAlign w:val="bottom"/>
            <w:shd w:val="clear" w:color="auto" w:fill="4834BA"/>
          </w:tcPr>
          <w:p>
            <w:pPr>
              <w:spacing w:after="0"/>
              <w:rPr>
                <w:sz w:val="11"/>
                <w:szCs w:val="11"/>
                <w:color w:val="auto"/>
              </w:rPr>
            </w:pPr>
          </w:p>
        </w:tc>
        <w:tc>
          <w:tcPr>
            <w:tcW w:w="300" w:type="dxa"/>
            <w:vAlign w:val="bottom"/>
            <w:shd w:val="clear" w:color="auto" w:fill="4834BA"/>
          </w:tcPr>
          <w:p>
            <w:pPr>
              <w:spacing w:after="0"/>
              <w:rPr>
                <w:sz w:val="11"/>
                <w:szCs w:val="11"/>
                <w:color w:val="auto"/>
              </w:rPr>
            </w:pPr>
          </w:p>
        </w:tc>
        <w:tc>
          <w:tcPr>
            <w:tcW w:w="660" w:type="dxa"/>
            <w:vAlign w:val="bottom"/>
            <w:shd w:val="clear" w:color="auto" w:fill="4834BA"/>
          </w:tcPr>
          <w:p>
            <w:pPr>
              <w:spacing w:after="0"/>
              <w:rPr>
                <w:sz w:val="11"/>
                <w:szCs w:val="11"/>
                <w:color w:val="auto"/>
              </w:rPr>
            </w:pPr>
          </w:p>
        </w:tc>
        <w:tc>
          <w:tcPr>
            <w:tcW w:w="280" w:type="dxa"/>
            <w:vAlign w:val="bottom"/>
            <w:shd w:val="clear" w:color="auto" w:fill="4834BA"/>
          </w:tcPr>
          <w:p>
            <w:pPr>
              <w:spacing w:after="0"/>
              <w:rPr>
                <w:sz w:val="11"/>
                <w:szCs w:val="11"/>
                <w:color w:val="auto"/>
              </w:rPr>
            </w:pPr>
          </w:p>
        </w:tc>
        <w:tc>
          <w:tcPr>
            <w:tcW w:w="640" w:type="dxa"/>
            <w:vAlign w:val="bottom"/>
            <w:shd w:val="clear" w:color="auto" w:fill="4834BA"/>
          </w:tcPr>
          <w:p>
            <w:pPr>
              <w:spacing w:after="0"/>
              <w:rPr>
                <w:sz w:val="11"/>
                <w:szCs w:val="11"/>
                <w:color w:val="auto"/>
              </w:rPr>
            </w:pPr>
          </w:p>
        </w:tc>
        <w:tc>
          <w:tcPr>
            <w:tcW w:w="280" w:type="dxa"/>
            <w:vAlign w:val="bottom"/>
            <w:shd w:val="clear" w:color="auto" w:fill="4834BA"/>
          </w:tcPr>
          <w:p>
            <w:pPr>
              <w:spacing w:after="0"/>
              <w:rPr>
                <w:sz w:val="11"/>
                <w:szCs w:val="11"/>
                <w:color w:val="auto"/>
              </w:rPr>
            </w:pPr>
          </w:p>
        </w:tc>
        <w:tc>
          <w:tcPr>
            <w:tcW w:w="1280" w:type="dxa"/>
            <w:vAlign w:val="bottom"/>
            <w:shd w:val="clear" w:color="auto" w:fill="4834BA"/>
          </w:tcPr>
          <w:p>
            <w:pPr>
              <w:spacing w:after="0"/>
              <w:rPr>
                <w:sz w:val="11"/>
                <w:szCs w:val="11"/>
                <w:color w:val="auto"/>
              </w:rPr>
            </w:pPr>
          </w:p>
        </w:tc>
        <w:tc>
          <w:tcPr>
            <w:tcW w:w="1440" w:type="dxa"/>
            <w:vAlign w:val="bottom"/>
            <w:shd w:val="clear" w:color="auto" w:fill="4834BA"/>
          </w:tcPr>
          <w:p>
            <w:pPr>
              <w:spacing w:after="0"/>
              <w:rPr>
                <w:sz w:val="11"/>
                <w:szCs w:val="11"/>
                <w:color w:val="auto"/>
              </w:rPr>
            </w:pPr>
          </w:p>
        </w:tc>
        <w:tc>
          <w:tcPr>
            <w:tcW w:w="1200" w:type="dxa"/>
            <w:vAlign w:val="bottom"/>
            <w:vMerge w:val="continue"/>
            <w:shd w:val="clear" w:color="auto" w:fill="4834BA"/>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4834BA"/>
          </w:tcPr>
          <w:p>
            <w:pPr>
              <w:spacing w:after="0"/>
              <w:rPr>
                <w:sz w:val="12"/>
                <w:szCs w:val="12"/>
                <w:color w:val="auto"/>
              </w:rPr>
            </w:pPr>
          </w:p>
        </w:tc>
        <w:tc>
          <w:tcPr>
            <w:tcW w:w="300" w:type="dxa"/>
            <w:vAlign w:val="bottom"/>
            <w:shd w:val="clear" w:color="auto" w:fill="4834BA"/>
          </w:tcPr>
          <w:p>
            <w:pPr>
              <w:spacing w:after="0"/>
              <w:rPr>
                <w:sz w:val="12"/>
                <w:szCs w:val="12"/>
                <w:color w:val="auto"/>
              </w:rPr>
            </w:pPr>
          </w:p>
        </w:tc>
        <w:tc>
          <w:tcPr>
            <w:tcW w:w="660" w:type="dxa"/>
            <w:vAlign w:val="bottom"/>
            <w:shd w:val="clear" w:color="auto" w:fill="4834BA"/>
          </w:tcPr>
          <w:p>
            <w:pPr>
              <w:spacing w:after="0"/>
              <w:rPr>
                <w:sz w:val="12"/>
                <w:szCs w:val="12"/>
                <w:color w:val="auto"/>
              </w:rPr>
            </w:pPr>
          </w:p>
        </w:tc>
        <w:tc>
          <w:tcPr>
            <w:tcW w:w="280" w:type="dxa"/>
            <w:vAlign w:val="bottom"/>
            <w:shd w:val="clear" w:color="auto" w:fill="4834BA"/>
          </w:tcPr>
          <w:p>
            <w:pPr>
              <w:spacing w:after="0"/>
              <w:rPr>
                <w:sz w:val="12"/>
                <w:szCs w:val="12"/>
                <w:color w:val="auto"/>
              </w:rPr>
            </w:pPr>
          </w:p>
        </w:tc>
        <w:tc>
          <w:tcPr>
            <w:tcW w:w="640" w:type="dxa"/>
            <w:vAlign w:val="bottom"/>
            <w:shd w:val="clear" w:color="auto" w:fill="4834BA"/>
          </w:tcPr>
          <w:p>
            <w:pPr>
              <w:spacing w:after="0"/>
              <w:rPr>
                <w:sz w:val="12"/>
                <w:szCs w:val="12"/>
                <w:color w:val="auto"/>
              </w:rPr>
            </w:pPr>
          </w:p>
        </w:tc>
        <w:tc>
          <w:tcPr>
            <w:tcW w:w="280" w:type="dxa"/>
            <w:vAlign w:val="bottom"/>
            <w:shd w:val="clear" w:color="auto" w:fill="4834BA"/>
          </w:tcPr>
          <w:p>
            <w:pPr>
              <w:spacing w:after="0"/>
              <w:rPr>
                <w:sz w:val="12"/>
                <w:szCs w:val="12"/>
                <w:color w:val="auto"/>
              </w:rPr>
            </w:pPr>
          </w:p>
        </w:tc>
        <w:tc>
          <w:tcPr>
            <w:tcW w:w="1280" w:type="dxa"/>
            <w:vAlign w:val="bottom"/>
            <w:shd w:val="clear" w:color="auto" w:fill="4834BA"/>
          </w:tcPr>
          <w:p>
            <w:pPr>
              <w:spacing w:after="0"/>
              <w:rPr>
                <w:sz w:val="12"/>
                <w:szCs w:val="12"/>
                <w:color w:val="auto"/>
              </w:rPr>
            </w:pPr>
          </w:p>
        </w:tc>
        <w:tc>
          <w:tcPr>
            <w:tcW w:w="1440" w:type="dxa"/>
            <w:vAlign w:val="bottom"/>
            <w:vMerge w:val="restart"/>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Equity</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48"/>
        </w:trPr>
        <w:tc>
          <w:tcPr>
            <w:tcW w:w="3320" w:type="dxa"/>
            <w:vAlign w:val="bottom"/>
            <w:shd w:val="clear" w:color="auto" w:fill="4834BA"/>
          </w:tcPr>
          <w:p>
            <w:pPr>
              <w:spacing w:after="0"/>
              <w:rPr>
                <w:sz w:val="12"/>
                <w:szCs w:val="12"/>
                <w:color w:val="auto"/>
              </w:rPr>
            </w:pPr>
          </w:p>
        </w:tc>
        <w:tc>
          <w:tcPr>
            <w:tcW w:w="300" w:type="dxa"/>
            <w:vAlign w:val="bottom"/>
            <w:shd w:val="clear" w:color="auto" w:fill="4834BA"/>
          </w:tcPr>
          <w:p>
            <w:pPr>
              <w:spacing w:after="0"/>
              <w:rPr>
                <w:sz w:val="12"/>
                <w:szCs w:val="12"/>
                <w:color w:val="auto"/>
              </w:rPr>
            </w:pPr>
          </w:p>
        </w:tc>
        <w:tc>
          <w:tcPr>
            <w:tcW w:w="660" w:type="dxa"/>
            <w:vAlign w:val="bottom"/>
            <w:shd w:val="clear" w:color="auto" w:fill="4834BA"/>
          </w:tcPr>
          <w:p>
            <w:pPr>
              <w:spacing w:after="0"/>
              <w:rPr>
                <w:sz w:val="12"/>
                <w:szCs w:val="12"/>
                <w:color w:val="auto"/>
              </w:rPr>
            </w:pPr>
          </w:p>
        </w:tc>
        <w:tc>
          <w:tcPr>
            <w:tcW w:w="280" w:type="dxa"/>
            <w:vAlign w:val="bottom"/>
            <w:shd w:val="clear" w:color="auto" w:fill="4834BA"/>
          </w:tcPr>
          <w:p>
            <w:pPr>
              <w:spacing w:after="0"/>
              <w:rPr>
                <w:sz w:val="12"/>
                <w:szCs w:val="12"/>
                <w:color w:val="auto"/>
              </w:rPr>
            </w:pPr>
          </w:p>
        </w:tc>
        <w:tc>
          <w:tcPr>
            <w:tcW w:w="640" w:type="dxa"/>
            <w:vAlign w:val="bottom"/>
            <w:shd w:val="clear" w:color="auto" w:fill="4834BA"/>
          </w:tcPr>
          <w:p>
            <w:pPr>
              <w:spacing w:after="0"/>
              <w:rPr>
                <w:sz w:val="12"/>
                <w:szCs w:val="12"/>
                <w:color w:val="auto"/>
              </w:rPr>
            </w:pPr>
          </w:p>
        </w:tc>
        <w:tc>
          <w:tcPr>
            <w:tcW w:w="280" w:type="dxa"/>
            <w:vAlign w:val="bottom"/>
            <w:shd w:val="clear" w:color="auto" w:fill="4834BA"/>
          </w:tcPr>
          <w:p>
            <w:pPr>
              <w:spacing w:after="0"/>
              <w:rPr>
                <w:sz w:val="12"/>
                <w:szCs w:val="12"/>
                <w:color w:val="auto"/>
              </w:rPr>
            </w:pPr>
          </w:p>
        </w:tc>
        <w:tc>
          <w:tcPr>
            <w:tcW w:w="1280" w:type="dxa"/>
            <w:vAlign w:val="bottom"/>
            <w:shd w:val="clear" w:color="auto" w:fill="4834BA"/>
          </w:tcPr>
          <w:p>
            <w:pPr>
              <w:spacing w:after="0"/>
              <w:rPr>
                <w:sz w:val="12"/>
                <w:szCs w:val="12"/>
                <w:color w:val="auto"/>
              </w:rPr>
            </w:pPr>
          </w:p>
        </w:tc>
        <w:tc>
          <w:tcPr>
            <w:tcW w:w="1440" w:type="dxa"/>
            <w:vAlign w:val="bottom"/>
            <w:vMerge w:val="continue"/>
            <w:shd w:val="clear" w:color="auto" w:fill="4834BA"/>
          </w:tcPr>
          <w:p>
            <w:pPr>
              <w:spacing w:after="0"/>
              <w:rPr>
                <w:sz w:val="12"/>
                <w:szCs w:val="12"/>
                <w:color w:val="auto"/>
              </w:rPr>
            </w:pP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Plan</w:t>
            </w:r>
          </w:p>
        </w:tc>
        <w:tc>
          <w:tcPr>
            <w:tcW w:w="0" w:type="dxa"/>
            <w:vAlign w:val="bottom"/>
          </w:tcPr>
          <w:p>
            <w:pPr>
              <w:spacing w:after="0"/>
              <w:rPr>
                <w:sz w:val="1"/>
                <w:szCs w:val="1"/>
                <w:color w:val="auto"/>
              </w:rPr>
            </w:pPr>
          </w:p>
        </w:tc>
      </w:tr>
      <w:tr>
        <w:trPr>
          <w:trHeight w:val="150"/>
        </w:trPr>
        <w:tc>
          <w:tcPr>
            <w:tcW w:w="3320" w:type="dxa"/>
            <w:vAlign w:val="bottom"/>
            <w:shd w:val="clear" w:color="auto" w:fill="4834BA"/>
          </w:tcPr>
          <w:p>
            <w:pPr>
              <w:spacing w:after="0"/>
              <w:rPr>
                <w:sz w:val="13"/>
                <w:szCs w:val="13"/>
                <w:color w:val="auto"/>
              </w:rPr>
            </w:pPr>
          </w:p>
        </w:tc>
        <w:tc>
          <w:tcPr>
            <w:tcW w:w="300" w:type="dxa"/>
            <w:vAlign w:val="bottom"/>
            <w:shd w:val="clear" w:color="auto" w:fill="4834BA"/>
          </w:tcPr>
          <w:p>
            <w:pPr>
              <w:spacing w:after="0"/>
              <w:rPr>
                <w:sz w:val="13"/>
                <w:szCs w:val="13"/>
                <w:color w:val="auto"/>
              </w:rPr>
            </w:pPr>
          </w:p>
        </w:tc>
        <w:tc>
          <w:tcPr>
            <w:tcW w:w="660" w:type="dxa"/>
            <w:vAlign w:val="bottom"/>
            <w:shd w:val="clear" w:color="auto" w:fill="4834BA"/>
          </w:tcPr>
          <w:p>
            <w:pPr>
              <w:spacing w:after="0"/>
              <w:rPr>
                <w:sz w:val="13"/>
                <w:szCs w:val="13"/>
                <w:color w:val="auto"/>
              </w:rPr>
            </w:pPr>
          </w:p>
        </w:tc>
        <w:tc>
          <w:tcPr>
            <w:tcW w:w="280" w:type="dxa"/>
            <w:vAlign w:val="bottom"/>
            <w:shd w:val="clear" w:color="auto" w:fill="4834BA"/>
          </w:tcPr>
          <w:p>
            <w:pPr>
              <w:spacing w:after="0"/>
              <w:rPr>
                <w:sz w:val="13"/>
                <w:szCs w:val="13"/>
                <w:color w:val="auto"/>
              </w:rPr>
            </w:pPr>
          </w:p>
        </w:tc>
        <w:tc>
          <w:tcPr>
            <w:tcW w:w="640" w:type="dxa"/>
            <w:vAlign w:val="bottom"/>
            <w:shd w:val="clear" w:color="auto" w:fill="4834BA"/>
          </w:tcPr>
          <w:p>
            <w:pPr>
              <w:spacing w:after="0"/>
              <w:rPr>
                <w:sz w:val="13"/>
                <w:szCs w:val="13"/>
                <w:color w:val="auto"/>
              </w:rPr>
            </w:pPr>
          </w:p>
        </w:tc>
        <w:tc>
          <w:tcPr>
            <w:tcW w:w="280" w:type="dxa"/>
            <w:vAlign w:val="bottom"/>
            <w:shd w:val="clear" w:color="auto" w:fill="4834BA"/>
          </w:tcPr>
          <w:p>
            <w:pPr>
              <w:spacing w:after="0"/>
              <w:rPr>
                <w:sz w:val="13"/>
                <w:szCs w:val="13"/>
                <w:color w:val="auto"/>
              </w:rPr>
            </w:pPr>
          </w:p>
        </w:tc>
        <w:tc>
          <w:tcPr>
            <w:tcW w:w="1280" w:type="dxa"/>
            <w:vAlign w:val="bottom"/>
            <w:shd w:val="clear" w:color="auto" w:fill="4834BA"/>
          </w:tcPr>
          <w:p>
            <w:pPr>
              <w:spacing w:after="0"/>
              <w:rPr>
                <w:sz w:val="13"/>
                <w:szCs w:val="13"/>
                <w:color w:val="auto"/>
              </w:rPr>
            </w:pPr>
          </w:p>
        </w:tc>
        <w:tc>
          <w:tcPr>
            <w:tcW w:w="1440" w:type="dxa"/>
            <w:vAlign w:val="bottom"/>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Incentive</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61"/>
        </w:trPr>
        <w:tc>
          <w:tcPr>
            <w:tcW w:w="3320" w:type="dxa"/>
            <w:vAlign w:val="bottom"/>
            <w:shd w:val="clear" w:color="auto" w:fill="4834BA"/>
          </w:tcPr>
          <w:p>
            <w:pPr>
              <w:spacing w:after="0"/>
              <w:rPr>
                <w:sz w:val="13"/>
                <w:szCs w:val="13"/>
                <w:color w:val="auto"/>
              </w:rPr>
            </w:pPr>
          </w:p>
        </w:tc>
        <w:tc>
          <w:tcPr>
            <w:tcW w:w="300" w:type="dxa"/>
            <w:vAlign w:val="bottom"/>
            <w:shd w:val="clear" w:color="auto" w:fill="4834BA"/>
          </w:tcPr>
          <w:p>
            <w:pPr>
              <w:spacing w:after="0"/>
              <w:rPr>
                <w:sz w:val="13"/>
                <w:szCs w:val="13"/>
                <w:color w:val="auto"/>
              </w:rPr>
            </w:pPr>
          </w:p>
        </w:tc>
        <w:tc>
          <w:tcPr>
            <w:tcW w:w="660" w:type="dxa"/>
            <w:vAlign w:val="bottom"/>
            <w:shd w:val="clear" w:color="auto" w:fill="4834BA"/>
          </w:tcPr>
          <w:p>
            <w:pPr>
              <w:spacing w:after="0"/>
              <w:rPr>
                <w:sz w:val="13"/>
                <w:szCs w:val="13"/>
                <w:color w:val="auto"/>
              </w:rPr>
            </w:pPr>
          </w:p>
        </w:tc>
        <w:tc>
          <w:tcPr>
            <w:tcW w:w="280" w:type="dxa"/>
            <w:vAlign w:val="bottom"/>
            <w:shd w:val="clear" w:color="auto" w:fill="4834BA"/>
          </w:tcPr>
          <w:p>
            <w:pPr>
              <w:spacing w:after="0"/>
              <w:rPr>
                <w:sz w:val="13"/>
                <w:szCs w:val="13"/>
                <w:color w:val="auto"/>
              </w:rPr>
            </w:pPr>
          </w:p>
        </w:tc>
        <w:tc>
          <w:tcPr>
            <w:tcW w:w="640" w:type="dxa"/>
            <w:vAlign w:val="bottom"/>
            <w:vMerge w:val="restart"/>
            <w:shd w:val="clear" w:color="auto" w:fill="4834BA"/>
          </w:tcPr>
          <w:p>
            <w:pPr>
              <w:jc w:val="right"/>
              <w:spacing w:after="0"/>
              <w:rPr>
                <w:sz w:val="20"/>
                <w:szCs w:val="20"/>
                <w:color w:val="auto"/>
              </w:rPr>
            </w:pPr>
            <w:r>
              <w:rPr>
                <w:rFonts w:ascii="Arial" w:cs="Arial" w:eastAsia="Arial" w:hAnsi="Arial"/>
                <w:sz w:val="13"/>
                <w:szCs w:val="13"/>
                <w:b w:val="1"/>
                <w:bCs w:val="1"/>
                <w:color w:val="FFFFFF"/>
              </w:rPr>
              <w:t>Number</w:t>
            </w:r>
          </w:p>
        </w:tc>
        <w:tc>
          <w:tcPr>
            <w:tcW w:w="280" w:type="dxa"/>
            <w:vAlign w:val="bottom"/>
            <w:shd w:val="clear" w:color="auto" w:fill="4834BA"/>
          </w:tcPr>
          <w:p>
            <w:pPr>
              <w:spacing w:after="0"/>
              <w:rPr>
                <w:sz w:val="13"/>
                <w:szCs w:val="13"/>
                <w:color w:val="auto"/>
              </w:rPr>
            </w:pPr>
          </w:p>
        </w:tc>
        <w:tc>
          <w:tcPr>
            <w:tcW w:w="1280" w:type="dxa"/>
            <w:vAlign w:val="bottom"/>
            <w:vMerge w:val="restart"/>
            <w:shd w:val="clear" w:color="auto" w:fill="4834BA"/>
          </w:tcPr>
          <w:p>
            <w:pPr>
              <w:jc w:val="right"/>
              <w:ind w:right="253"/>
              <w:spacing w:after="0"/>
              <w:rPr>
                <w:sz w:val="20"/>
                <w:szCs w:val="20"/>
                <w:color w:val="auto"/>
              </w:rPr>
            </w:pPr>
            <w:r>
              <w:rPr>
                <w:rFonts w:ascii="Arial" w:cs="Arial" w:eastAsia="Arial" w:hAnsi="Arial"/>
                <w:sz w:val="13"/>
                <w:szCs w:val="13"/>
                <w:b w:val="1"/>
                <w:bCs w:val="1"/>
                <w:color w:val="FFFFFF"/>
              </w:rPr>
              <w:t>Market</w:t>
            </w:r>
          </w:p>
        </w:tc>
        <w:tc>
          <w:tcPr>
            <w:tcW w:w="1440" w:type="dxa"/>
            <w:vAlign w:val="bottom"/>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Plan</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48"/>
        </w:trPr>
        <w:tc>
          <w:tcPr>
            <w:tcW w:w="3320" w:type="dxa"/>
            <w:vAlign w:val="bottom"/>
            <w:shd w:val="clear" w:color="auto" w:fill="4834BA"/>
          </w:tcPr>
          <w:p>
            <w:pPr>
              <w:spacing w:after="0"/>
              <w:rPr>
                <w:sz w:val="12"/>
                <w:szCs w:val="12"/>
                <w:color w:val="auto"/>
              </w:rPr>
            </w:pPr>
          </w:p>
        </w:tc>
        <w:tc>
          <w:tcPr>
            <w:tcW w:w="300" w:type="dxa"/>
            <w:vAlign w:val="bottom"/>
            <w:shd w:val="clear" w:color="auto" w:fill="4834BA"/>
          </w:tcPr>
          <w:p>
            <w:pPr>
              <w:spacing w:after="0"/>
              <w:rPr>
                <w:sz w:val="12"/>
                <w:szCs w:val="12"/>
                <w:color w:val="auto"/>
              </w:rPr>
            </w:pPr>
          </w:p>
        </w:tc>
        <w:tc>
          <w:tcPr>
            <w:tcW w:w="660" w:type="dxa"/>
            <w:vAlign w:val="bottom"/>
            <w:shd w:val="clear" w:color="auto" w:fill="4834BA"/>
          </w:tcPr>
          <w:p>
            <w:pPr>
              <w:spacing w:after="0"/>
              <w:rPr>
                <w:sz w:val="12"/>
                <w:szCs w:val="12"/>
                <w:color w:val="auto"/>
              </w:rPr>
            </w:pPr>
          </w:p>
        </w:tc>
        <w:tc>
          <w:tcPr>
            <w:tcW w:w="280" w:type="dxa"/>
            <w:vAlign w:val="bottom"/>
            <w:shd w:val="clear" w:color="auto" w:fill="4834BA"/>
          </w:tcPr>
          <w:p>
            <w:pPr>
              <w:spacing w:after="0"/>
              <w:rPr>
                <w:sz w:val="12"/>
                <w:szCs w:val="12"/>
                <w:color w:val="auto"/>
              </w:rPr>
            </w:pPr>
          </w:p>
        </w:tc>
        <w:tc>
          <w:tcPr>
            <w:tcW w:w="640" w:type="dxa"/>
            <w:vAlign w:val="bottom"/>
            <w:vMerge w:val="continue"/>
            <w:shd w:val="clear" w:color="auto" w:fill="4834BA"/>
          </w:tcPr>
          <w:p>
            <w:pPr>
              <w:spacing w:after="0"/>
              <w:rPr>
                <w:sz w:val="12"/>
                <w:szCs w:val="12"/>
                <w:color w:val="auto"/>
              </w:rPr>
            </w:pPr>
          </w:p>
        </w:tc>
        <w:tc>
          <w:tcPr>
            <w:tcW w:w="280" w:type="dxa"/>
            <w:vAlign w:val="bottom"/>
            <w:shd w:val="clear" w:color="auto" w:fill="4834BA"/>
          </w:tcPr>
          <w:p>
            <w:pPr>
              <w:spacing w:after="0"/>
              <w:rPr>
                <w:sz w:val="12"/>
                <w:szCs w:val="12"/>
                <w:color w:val="auto"/>
              </w:rPr>
            </w:pPr>
          </w:p>
        </w:tc>
        <w:tc>
          <w:tcPr>
            <w:tcW w:w="1280" w:type="dxa"/>
            <w:vAlign w:val="bottom"/>
            <w:vMerge w:val="continue"/>
            <w:shd w:val="clear" w:color="auto" w:fill="4834BA"/>
          </w:tcPr>
          <w:p>
            <w:pPr>
              <w:spacing w:after="0"/>
              <w:rPr>
                <w:sz w:val="12"/>
                <w:szCs w:val="12"/>
                <w:color w:val="auto"/>
              </w:rPr>
            </w:pPr>
          </w:p>
        </w:tc>
        <w:tc>
          <w:tcPr>
            <w:tcW w:w="1440" w:type="dxa"/>
            <w:vAlign w:val="bottom"/>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Awards:</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50"/>
        </w:trPr>
        <w:tc>
          <w:tcPr>
            <w:tcW w:w="3320" w:type="dxa"/>
            <w:vAlign w:val="bottom"/>
            <w:shd w:val="clear" w:color="auto" w:fill="4834BA"/>
          </w:tcPr>
          <w:p>
            <w:pPr>
              <w:spacing w:after="0"/>
              <w:rPr>
                <w:sz w:val="13"/>
                <w:szCs w:val="13"/>
                <w:color w:val="auto"/>
              </w:rPr>
            </w:pPr>
          </w:p>
        </w:tc>
        <w:tc>
          <w:tcPr>
            <w:tcW w:w="300" w:type="dxa"/>
            <w:vAlign w:val="bottom"/>
            <w:shd w:val="clear" w:color="auto" w:fill="4834BA"/>
          </w:tcPr>
          <w:p>
            <w:pPr>
              <w:spacing w:after="0"/>
              <w:rPr>
                <w:sz w:val="13"/>
                <w:szCs w:val="13"/>
                <w:color w:val="auto"/>
              </w:rPr>
            </w:pPr>
          </w:p>
        </w:tc>
        <w:tc>
          <w:tcPr>
            <w:tcW w:w="660" w:type="dxa"/>
            <w:vAlign w:val="bottom"/>
            <w:shd w:val="clear" w:color="auto" w:fill="4834BA"/>
          </w:tcPr>
          <w:p>
            <w:pPr>
              <w:spacing w:after="0"/>
              <w:rPr>
                <w:sz w:val="13"/>
                <w:szCs w:val="13"/>
                <w:color w:val="auto"/>
              </w:rPr>
            </w:pPr>
          </w:p>
        </w:tc>
        <w:tc>
          <w:tcPr>
            <w:tcW w:w="280" w:type="dxa"/>
            <w:vAlign w:val="bottom"/>
            <w:shd w:val="clear" w:color="auto" w:fill="4834BA"/>
          </w:tcPr>
          <w:p>
            <w:pPr>
              <w:spacing w:after="0"/>
              <w:rPr>
                <w:sz w:val="13"/>
                <w:szCs w:val="13"/>
                <w:color w:val="auto"/>
              </w:rPr>
            </w:pPr>
          </w:p>
        </w:tc>
        <w:tc>
          <w:tcPr>
            <w:tcW w:w="640" w:type="dxa"/>
            <w:vAlign w:val="bottom"/>
            <w:shd w:val="clear" w:color="auto" w:fill="4834BA"/>
          </w:tcPr>
          <w:p>
            <w:pPr>
              <w:jc w:val="right"/>
              <w:spacing w:after="0"/>
              <w:rPr>
                <w:sz w:val="20"/>
                <w:szCs w:val="20"/>
                <w:color w:val="auto"/>
              </w:rPr>
            </w:pPr>
            <w:r>
              <w:rPr>
                <w:rFonts w:ascii="Arial" w:cs="Arial" w:eastAsia="Arial" w:hAnsi="Arial"/>
                <w:sz w:val="13"/>
                <w:szCs w:val="13"/>
                <w:b w:val="1"/>
                <w:bCs w:val="1"/>
                <w:color w:val="FFFFFF"/>
                <w:w w:val="97"/>
              </w:rPr>
              <w:t>of Shares</w:t>
            </w:r>
          </w:p>
        </w:tc>
        <w:tc>
          <w:tcPr>
            <w:tcW w:w="280" w:type="dxa"/>
            <w:vAlign w:val="bottom"/>
            <w:shd w:val="clear" w:color="auto" w:fill="4834BA"/>
          </w:tcPr>
          <w:p>
            <w:pPr>
              <w:spacing w:after="0"/>
              <w:rPr>
                <w:sz w:val="13"/>
                <w:szCs w:val="13"/>
                <w:color w:val="auto"/>
              </w:rPr>
            </w:pPr>
          </w:p>
        </w:tc>
        <w:tc>
          <w:tcPr>
            <w:tcW w:w="1280" w:type="dxa"/>
            <w:vAlign w:val="bottom"/>
            <w:shd w:val="clear" w:color="auto" w:fill="4834BA"/>
          </w:tcPr>
          <w:p>
            <w:pPr>
              <w:jc w:val="right"/>
              <w:ind w:right="253"/>
              <w:spacing w:after="0"/>
              <w:rPr>
                <w:sz w:val="20"/>
                <w:szCs w:val="20"/>
                <w:color w:val="auto"/>
              </w:rPr>
            </w:pPr>
            <w:r>
              <w:rPr>
                <w:rFonts w:ascii="Arial" w:cs="Arial" w:eastAsia="Arial" w:hAnsi="Arial"/>
                <w:sz w:val="13"/>
                <w:szCs w:val="13"/>
                <w:b w:val="1"/>
                <w:bCs w:val="1"/>
                <w:color w:val="FFFFFF"/>
              </w:rPr>
              <w:t>Value</w:t>
            </w:r>
          </w:p>
        </w:tc>
        <w:tc>
          <w:tcPr>
            <w:tcW w:w="1440" w:type="dxa"/>
            <w:vAlign w:val="bottom"/>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Number of</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Value</w:t>
            </w:r>
          </w:p>
        </w:tc>
        <w:tc>
          <w:tcPr>
            <w:tcW w:w="0" w:type="dxa"/>
            <w:vAlign w:val="bottom"/>
          </w:tcPr>
          <w:p>
            <w:pPr>
              <w:spacing w:after="0"/>
              <w:rPr>
                <w:sz w:val="1"/>
                <w:szCs w:val="1"/>
                <w:color w:val="auto"/>
              </w:rPr>
            </w:pPr>
          </w:p>
        </w:tc>
      </w:tr>
      <w:tr>
        <w:trPr>
          <w:trHeight w:val="148"/>
        </w:trPr>
        <w:tc>
          <w:tcPr>
            <w:tcW w:w="3320" w:type="dxa"/>
            <w:vAlign w:val="bottom"/>
            <w:shd w:val="clear" w:color="auto" w:fill="4834BA"/>
          </w:tcPr>
          <w:p>
            <w:pPr>
              <w:spacing w:after="0"/>
              <w:rPr>
                <w:sz w:val="12"/>
                <w:szCs w:val="12"/>
                <w:color w:val="auto"/>
              </w:rPr>
            </w:pPr>
          </w:p>
        </w:tc>
        <w:tc>
          <w:tcPr>
            <w:tcW w:w="300" w:type="dxa"/>
            <w:vAlign w:val="bottom"/>
            <w:shd w:val="clear" w:color="auto" w:fill="4834BA"/>
          </w:tcPr>
          <w:p>
            <w:pPr>
              <w:spacing w:after="0"/>
              <w:rPr>
                <w:sz w:val="12"/>
                <w:szCs w:val="12"/>
                <w:color w:val="auto"/>
              </w:rPr>
            </w:pPr>
          </w:p>
        </w:tc>
        <w:tc>
          <w:tcPr>
            <w:tcW w:w="660" w:type="dxa"/>
            <w:vAlign w:val="bottom"/>
            <w:shd w:val="clear" w:color="auto" w:fill="4834BA"/>
          </w:tcPr>
          <w:p>
            <w:pPr>
              <w:spacing w:after="0"/>
              <w:rPr>
                <w:sz w:val="12"/>
                <w:szCs w:val="12"/>
                <w:color w:val="auto"/>
              </w:rPr>
            </w:pPr>
          </w:p>
        </w:tc>
        <w:tc>
          <w:tcPr>
            <w:tcW w:w="280" w:type="dxa"/>
            <w:vAlign w:val="bottom"/>
            <w:shd w:val="clear" w:color="auto" w:fill="4834BA"/>
          </w:tcPr>
          <w:p>
            <w:pPr>
              <w:spacing w:after="0"/>
              <w:rPr>
                <w:sz w:val="12"/>
                <w:szCs w:val="12"/>
                <w:color w:val="auto"/>
              </w:rPr>
            </w:pPr>
          </w:p>
        </w:tc>
        <w:tc>
          <w:tcPr>
            <w:tcW w:w="640" w:type="dxa"/>
            <w:vAlign w:val="bottom"/>
            <w:shd w:val="clear" w:color="auto" w:fill="4834BA"/>
          </w:tcPr>
          <w:p>
            <w:pPr>
              <w:jc w:val="right"/>
              <w:spacing w:after="0"/>
              <w:rPr>
                <w:sz w:val="20"/>
                <w:szCs w:val="20"/>
                <w:color w:val="auto"/>
              </w:rPr>
            </w:pPr>
            <w:r>
              <w:rPr>
                <w:rFonts w:ascii="Arial" w:cs="Arial" w:eastAsia="Arial" w:hAnsi="Arial"/>
                <w:sz w:val="13"/>
                <w:szCs w:val="13"/>
                <w:b w:val="1"/>
                <w:bCs w:val="1"/>
                <w:color w:val="FFFFFF"/>
              </w:rPr>
              <w:t>or Units</w:t>
            </w:r>
          </w:p>
        </w:tc>
        <w:tc>
          <w:tcPr>
            <w:tcW w:w="280" w:type="dxa"/>
            <w:vAlign w:val="bottom"/>
            <w:shd w:val="clear" w:color="auto" w:fill="4834BA"/>
          </w:tcPr>
          <w:p>
            <w:pPr>
              <w:spacing w:after="0"/>
              <w:rPr>
                <w:sz w:val="12"/>
                <w:szCs w:val="12"/>
                <w:color w:val="auto"/>
              </w:rPr>
            </w:pPr>
          </w:p>
        </w:tc>
        <w:tc>
          <w:tcPr>
            <w:tcW w:w="1280" w:type="dxa"/>
            <w:vAlign w:val="bottom"/>
            <w:shd w:val="clear" w:color="auto" w:fill="4834BA"/>
          </w:tcPr>
          <w:p>
            <w:pPr>
              <w:jc w:val="right"/>
              <w:ind w:right="253"/>
              <w:spacing w:after="0"/>
              <w:rPr>
                <w:sz w:val="20"/>
                <w:szCs w:val="20"/>
                <w:color w:val="auto"/>
              </w:rPr>
            </w:pPr>
            <w:r>
              <w:rPr>
                <w:rFonts w:ascii="Arial" w:cs="Arial" w:eastAsia="Arial" w:hAnsi="Arial"/>
                <w:sz w:val="13"/>
                <w:szCs w:val="13"/>
                <w:b w:val="1"/>
                <w:bCs w:val="1"/>
                <w:color w:val="FFFFFF"/>
              </w:rPr>
              <w:t>of Shares</w:t>
            </w:r>
          </w:p>
        </w:tc>
        <w:tc>
          <w:tcPr>
            <w:tcW w:w="1440" w:type="dxa"/>
            <w:vAlign w:val="bottom"/>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Unearned</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of Unearned</w:t>
            </w:r>
          </w:p>
        </w:tc>
        <w:tc>
          <w:tcPr>
            <w:tcW w:w="0" w:type="dxa"/>
            <w:vAlign w:val="bottom"/>
          </w:tcPr>
          <w:p>
            <w:pPr>
              <w:spacing w:after="0"/>
              <w:rPr>
                <w:sz w:val="1"/>
                <w:szCs w:val="1"/>
                <w:color w:val="auto"/>
              </w:rPr>
            </w:pPr>
          </w:p>
        </w:tc>
      </w:tr>
      <w:tr>
        <w:trPr>
          <w:trHeight w:val="161"/>
        </w:trPr>
        <w:tc>
          <w:tcPr>
            <w:tcW w:w="3320" w:type="dxa"/>
            <w:vAlign w:val="bottom"/>
            <w:shd w:val="clear" w:color="auto" w:fill="4834BA"/>
          </w:tcPr>
          <w:p>
            <w:pPr>
              <w:spacing w:after="0"/>
              <w:rPr>
                <w:sz w:val="13"/>
                <w:szCs w:val="13"/>
                <w:color w:val="auto"/>
              </w:rPr>
            </w:pPr>
          </w:p>
        </w:tc>
        <w:tc>
          <w:tcPr>
            <w:tcW w:w="300" w:type="dxa"/>
            <w:vAlign w:val="bottom"/>
            <w:shd w:val="clear" w:color="auto" w:fill="4834BA"/>
          </w:tcPr>
          <w:p>
            <w:pPr>
              <w:spacing w:after="0"/>
              <w:rPr>
                <w:sz w:val="13"/>
                <w:szCs w:val="13"/>
                <w:color w:val="auto"/>
              </w:rPr>
            </w:pPr>
          </w:p>
        </w:tc>
        <w:tc>
          <w:tcPr>
            <w:tcW w:w="660" w:type="dxa"/>
            <w:vAlign w:val="bottom"/>
            <w:shd w:val="clear" w:color="auto" w:fill="4834BA"/>
          </w:tcPr>
          <w:p>
            <w:pPr>
              <w:spacing w:after="0"/>
              <w:rPr>
                <w:sz w:val="13"/>
                <w:szCs w:val="13"/>
                <w:color w:val="auto"/>
              </w:rPr>
            </w:pPr>
          </w:p>
        </w:tc>
        <w:tc>
          <w:tcPr>
            <w:tcW w:w="280" w:type="dxa"/>
            <w:vAlign w:val="bottom"/>
            <w:shd w:val="clear" w:color="auto" w:fill="4834BA"/>
          </w:tcPr>
          <w:p>
            <w:pPr>
              <w:spacing w:after="0"/>
              <w:rPr>
                <w:sz w:val="13"/>
                <w:szCs w:val="13"/>
                <w:color w:val="auto"/>
              </w:rPr>
            </w:pPr>
          </w:p>
        </w:tc>
        <w:tc>
          <w:tcPr>
            <w:tcW w:w="640" w:type="dxa"/>
            <w:vAlign w:val="bottom"/>
            <w:shd w:val="clear" w:color="auto" w:fill="4834BA"/>
          </w:tcPr>
          <w:p>
            <w:pPr>
              <w:jc w:val="right"/>
              <w:spacing w:after="0"/>
              <w:rPr>
                <w:sz w:val="20"/>
                <w:szCs w:val="20"/>
                <w:color w:val="auto"/>
              </w:rPr>
            </w:pPr>
            <w:r>
              <w:rPr>
                <w:rFonts w:ascii="Arial" w:cs="Arial" w:eastAsia="Arial" w:hAnsi="Arial"/>
                <w:sz w:val="13"/>
                <w:szCs w:val="13"/>
                <w:b w:val="1"/>
                <w:bCs w:val="1"/>
                <w:color w:val="FFFFFF"/>
              </w:rPr>
              <w:t>of Stock</w:t>
            </w:r>
          </w:p>
        </w:tc>
        <w:tc>
          <w:tcPr>
            <w:tcW w:w="280" w:type="dxa"/>
            <w:vAlign w:val="bottom"/>
            <w:shd w:val="clear" w:color="auto" w:fill="4834BA"/>
          </w:tcPr>
          <w:p>
            <w:pPr>
              <w:spacing w:after="0"/>
              <w:rPr>
                <w:sz w:val="13"/>
                <w:szCs w:val="13"/>
                <w:color w:val="auto"/>
              </w:rPr>
            </w:pPr>
          </w:p>
        </w:tc>
        <w:tc>
          <w:tcPr>
            <w:tcW w:w="1280" w:type="dxa"/>
            <w:vAlign w:val="bottom"/>
            <w:shd w:val="clear" w:color="auto" w:fill="4834BA"/>
          </w:tcPr>
          <w:p>
            <w:pPr>
              <w:jc w:val="right"/>
              <w:ind w:right="253"/>
              <w:spacing w:after="0"/>
              <w:rPr>
                <w:sz w:val="20"/>
                <w:szCs w:val="20"/>
                <w:color w:val="auto"/>
              </w:rPr>
            </w:pPr>
            <w:r>
              <w:rPr>
                <w:rFonts w:ascii="Arial" w:cs="Arial" w:eastAsia="Arial" w:hAnsi="Arial"/>
                <w:sz w:val="13"/>
                <w:szCs w:val="13"/>
                <w:b w:val="1"/>
                <w:bCs w:val="1"/>
                <w:color w:val="FFFFFF"/>
              </w:rPr>
              <w:t>or</w:t>
            </w:r>
          </w:p>
        </w:tc>
        <w:tc>
          <w:tcPr>
            <w:tcW w:w="1440" w:type="dxa"/>
            <w:vAlign w:val="bottom"/>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Shares, Units</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Shares, Units</w:t>
            </w:r>
          </w:p>
        </w:tc>
        <w:tc>
          <w:tcPr>
            <w:tcW w:w="0" w:type="dxa"/>
            <w:vAlign w:val="bottom"/>
          </w:tcPr>
          <w:p>
            <w:pPr>
              <w:spacing w:after="0"/>
              <w:rPr>
                <w:sz w:val="1"/>
                <w:szCs w:val="1"/>
                <w:color w:val="auto"/>
              </w:rPr>
            </w:pPr>
          </w:p>
        </w:tc>
      </w:tr>
      <w:tr>
        <w:trPr>
          <w:trHeight w:val="148"/>
        </w:trPr>
        <w:tc>
          <w:tcPr>
            <w:tcW w:w="3320" w:type="dxa"/>
            <w:vAlign w:val="bottom"/>
            <w:shd w:val="clear" w:color="auto" w:fill="4834BA"/>
          </w:tcPr>
          <w:p>
            <w:pPr>
              <w:spacing w:after="0"/>
              <w:rPr>
                <w:sz w:val="12"/>
                <w:szCs w:val="12"/>
                <w:color w:val="auto"/>
              </w:rPr>
            </w:pPr>
          </w:p>
        </w:tc>
        <w:tc>
          <w:tcPr>
            <w:tcW w:w="300" w:type="dxa"/>
            <w:vAlign w:val="bottom"/>
            <w:shd w:val="clear" w:color="auto" w:fill="4834BA"/>
          </w:tcPr>
          <w:p>
            <w:pPr>
              <w:spacing w:after="0"/>
              <w:rPr>
                <w:sz w:val="12"/>
                <w:szCs w:val="12"/>
                <w:color w:val="auto"/>
              </w:rPr>
            </w:pPr>
          </w:p>
        </w:tc>
        <w:tc>
          <w:tcPr>
            <w:tcW w:w="660" w:type="dxa"/>
            <w:vAlign w:val="bottom"/>
            <w:shd w:val="clear" w:color="auto" w:fill="4834BA"/>
          </w:tcPr>
          <w:p>
            <w:pPr>
              <w:spacing w:after="0"/>
              <w:rPr>
                <w:sz w:val="12"/>
                <w:szCs w:val="12"/>
                <w:color w:val="auto"/>
              </w:rPr>
            </w:pPr>
          </w:p>
        </w:tc>
        <w:tc>
          <w:tcPr>
            <w:tcW w:w="280" w:type="dxa"/>
            <w:vAlign w:val="bottom"/>
            <w:shd w:val="clear" w:color="auto" w:fill="4834BA"/>
          </w:tcPr>
          <w:p>
            <w:pPr>
              <w:spacing w:after="0"/>
              <w:rPr>
                <w:sz w:val="12"/>
                <w:szCs w:val="12"/>
                <w:color w:val="auto"/>
              </w:rPr>
            </w:pPr>
          </w:p>
        </w:tc>
        <w:tc>
          <w:tcPr>
            <w:tcW w:w="640" w:type="dxa"/>
            <w:vAlign w:val="bottom"/>
            <w:shd w:val="clear" w:color="auto" w:fill="4834BA"/>
          </w:tcPr>
          <w:p>
            <w:pPr>
              <w:jc w:val="right"/>
              <w:spacing w:after="0"/>
              <w:rPr>
                <w:sz w:val="20"/>
                <w:szCs w:val="20"/>
                <w:color w:val="auto"/>
              </w:rPr>
            </w:pPr>
            <w:r>
              <w:rPr>
                <w:rFonts w:ascii="Arial" w:cs="Arial" w:eastAsia="Arial" w:hAnsi="Arial"/>
                <w:sz w:val="13"/>
                <w:szCs w:val="13"/>
                <w:b w:val="1"/>
                <w:bCs w:val="1"/>
                <w:color w:val="FFFFFF"/>
              </w:rPr>
              <w:t>That</w:t>
            </w:r>
          </w:p>
        </w:tc>
        <w:tc>
          <w:tcPr>
            <w:tcW w:w="280" w:type="dxa"/>
            <w:vAlign w:val="bottom"/>
            <w:shd w:val="clear" w:color="auto" w:fill="4834BA"/>
          </w:tcPr>
          <w:p>
            <w:pPr>
              <w:spacing w:after="0"/>
              <w:rPr>
                <w:sz w:val="12"/>
                <w:szCs w:val="12"/>
                <w:color w:val="auto"/>
              </w:rPr>
            </w:pPr>
          </w:p>
        </w:tc>
        <w:tc>
          <w:tcPr>
            <w:tcW w:w="1280" w:type="dxa"/>
            <w:vAlign w:val="bottom"/>
            <w:shd w:val="clear" w:color="auto" w:fill="4834BA"/>
          </w:tcPr>
          <w:p>
            <w:pPr>
              <w:jc w:val="right"/>
              <w:ind w:right="253"/>
              <w:spacing w:after="0"/>
              <w:rPr>
                <w:sz w:val="20"/>
                <w:szCs w:val="20"/>
                <w:color w:val="auto"/>
              </w:rPr>
            </w:pPr>
            <w:r>
              <w:rPr>
                <w:rFonts w:ascii="Arial" w:cs="Arial" w:eastAsia="Arial" w:hAnsi="Arial"/>
                <w:sz w:val="13"/>
                <w:szCs w:val="13"/>
                <w:b w:val="1"/>
                <w:bCs w:val="1"/>
                <w:color w:val="FFFFFF"/>
              </w:rPr>
              <w:t>Units of</w:t>
            </w:r>
          </w:p>
        </w:tc>
        <w:tc>
          <w:tcPr>
            <w:tcW w:w="1440" w:type="dxa"/>
            <w:vAlign w:val="bottom"/>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or Other</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or Other</w:t>
            </w:r>
          </w:p>
        </w:tc>
        <w:tc>
          <w:tcPr>
            <w:tcW w:w="0" w:type="dxa"/>
            <w:vAlign w:val="bottom"/>
          </w:tcPr>
          <w:p>
            <w:pPr>
              <w:spacing w:after="0"/>
              <w:rPr>
                <w:sz w:val="1"/>
                <w:szCs w:val="1"/>
                <w:color w:val="auto"/>
              </w:rPr>
            </w:pPr>
          </w:p>
        </w:tc>
      </w:tr>
      <w:tr>
        <w:trPr>
          <w:trHeight w:val="150"/>
        </w:trPr>
        <w:tc>
          <w:tcPr>
            <w:tcW w:w="3320" w:type="dxa"/>
            <w:vAlign w:val="bottom"/>
            <w:shd w:val="clear" w:color="auto" w:fill="4834BA"/>
          </w:tcPr>
          <w:p>
            <w:pPr>
              <w:spacing w:after="0"/>
              <w:rPr>
                <w:sz w:val="13"/>
                <w:szCs w:val="13"/>
                <w:color w:val="auto"/>
              </w:rPr>
            </w:pPr>
          </w:p>
        </w:tc>
        <w:tc>
          <w:tcPr>
            <w:tcW w:w="300" w:type="dxa"/>
            <w:vAlign w:val="bottom"/>
            <w:shd w:val="clear" w:color="auto" w:fill="4834BA"/>
          </w:tcPr>
          <w:p>
            <w:pPr>
              <w:spacing w:after="0"/>
              <w:rPr>
                <w:sz w:val="13"/>
                <w:szCs w:val="13"/>
                <w:color w:val="auto"/>
              </w:rPr>
            </w:pPr>
          </w:p>
        </w:tc>
        <w:tc>
          <w:tcPr>
            <w:tcW w:w="660" w:type="dxa"/>
            <w:vAlign w:val="bottom"/>
            <w:shd w:val="clear" w:color="auto" w:fill="4834BA"/>
          </w:tcPr>
          <w:p>
            <w:pPr>
              <w:spacing w:after="0"/>
              <w:rPr>
                <w:sz w:val="13"/>
                <w:szCs w:val="13"/>
                <w:color w:val="auto"/>
              </w:rPr>
            </w:pPr>
          </w:p>
        </w:tc>
        <w:tc>
          <w:tcPr>
            <w:tcW w:w="280" w:type="dxa"/>
            <w:vAlign w:val="bottom"/>
            <w:shd w:val="clear" w:color="auto" w:fill="4834BA"/>
          </w:tcPr>
          <w:p>
            <w:pPr>
              <w:spacing w:after="0"/>
              <w:rPr>
                <w:sz w:val="13"/>
                <w:szCs w:val="13"/>
                <w:color w:val="auto"/>
              </w:rPr>
            </w:pPr>
          </w:p>
        </w:tc>
        <w:tc>
          <w:tcPr>
            <w:tcW w:w="640" w:type="dxa"/>
            <w:vAlign w:val="bottom"/>
            <w:shd w:val="clear" w:color="auto" w:fill="4834BA"/>
          </w:tcPr>
          <w:p>
            <w:pPr>
              <w:jc w:val="right"/>
              <w:spacing w:after="0"/>
              <w:rPr>
                <w:sz w:val="20"/>
                <w:szCs w:val="20"/>
                <w:color w:val="auto"/>
              </w:rPr>
            </w:pPr>
            <w:r>
              <w:rPr>
                <w:rFonts w:ascii="Arial" w:cs="Arial" w:eastAsia="Arial" w:hAnsi="Arial"/>
                <w:sz w:val="13"/>
                <w:szCs w:val="13"/>
                <w:b w:val="1"/>
                <w:bCs w:val="1"/>
                <w:color w:val="FFFFFF"/>
              </w:rPr>
              <w:t>Have</w:t>
            </w:r>
          </w:p>
        </w:tc>
        <w:tc>
          <w:tcPr>
            <w:tcW w:w="280" w:type="dxa"/>
            <w:vAlign w:val="bottom"/>
            <w:shd w:val="clear" w:color="auto" w:fill="4834BA"/>
          </w:tcPr>
          <w:p>
            <w:pPr>
              <w:spacing w:after="0"/>
              <w:rPr>
                <w:sz w:val="13"/>
                <w:szCs w:val="13"/>
                <w:color w:val="auto"/>
              </w:rPr>
            </w:pPr>
          </w:p>
        </w:tc>
        <w:tc>
          <w:tcPr>
            <w:tcW w:w="1280" w:type="dxa"/>
            <w:vAlign w:val="bottom"/>
            <w:shd w:val="clear" w:color="auto" w:fill="4834BA"/>
          </w:tcPr>
          <w:p>
            <w:pPr>
              <w:jc w:val="right"/>
              <w:ind w:right="253"/>
              <w:spacing w:after="0"/>
              <w:rPr>
                <w:sz w:val="20"/>
                <w:szCs w:val="20"/>
                <w:color w:val="auto"/>
              </w:rPr>
            </w:pPr>
            <w:r>
              <w:rPr>
                <w:rFonts w:ascii="Arial" w:cs="Arial" w:eastAsia="Arial" w:hAnsi="Arial"/>
                <w:sz w:val="13"/>
                <w:szCs w:val="13"/>
                <w:b w:val="1"/>
                <w:bCs w:val="1"/>
                <w:color w:val="FFFFFF"/>
              </w:rPr>
              <w:t>Stock That</w:t>
            </w:r>
          </w:p>
        </w:tc>
        <w:tc>
          <w:tcPr>
            <w:tcW w:w="1440" w:type="dxa"/>
            <w:vAlign w:val="bottom"/>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Rights That</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Rights That</w:t>
            </w:r>
          </w:p>
        </w:tc>
        <w:tc>
          <w:tcPr>
            <w:tcW w:w="0" w:type="dxa"/>
            <w:vAlign w:val="bottom"/>
          </w:tcPr>
          <w:p>
            <w:pPr>
              <w:spacing w:after="0"/>
              <w:rPr>
                <w:sz w:val="1"/>
                <w:szCs w:val="1"/>
                <w:color w:val="auto"/>
              </w:rPr>
            </w:pPr>
          </w:p>
        </w:tc>
      </w:tr>
      <w:tr>
        <w:trPr>
          <w:trHeight w:val="148"/>
        </w:trPr>
        <w:tc>
          <w:tcPr>
            <w:tcW w:w="3320" w:type="dxa"/>
            <w:vAlign w:val="bottom"/>
            <w:shd w:val="clear" w:color="auto" w:fill="4834BA"/>
          </w:tcPr>
          <w:p>
            <w:pPr>
              <w:spacing w:after="0"/>
              <w:rPr>
                <w:sz w:val="12"/>
                <w:szCs w:val="12"/>
                <w:color w:val="auto"/>
              </w:rPr>
            </w:pPr>
          </w:p>
        </w:tc>
        <w:tc>
          <w:tcPr>
            <w:tcW w:w="300" w:type="dxa"/>
            <w:vAlign w:val="bottom"/>
            <w:shd w:val="clear" w:color="auto" w:fill="4834BA"/>
          </w:tcPr>
          <w:p>
            <w:pPr>
              <w:spacing w:after="0"/>
              <w:rPr>
                <w:sz w:val="12"/>
                <w:szCs w:val="12"/>
                <w:color w:val="auto"/>
              </w:rPr>
            </w:pPr>
          </w:p>
        </w:tc>
        <w:tc>
          <w:tcPr>
            <w:tcW w:w="660" w:type="dxa"/>
            <w:vAlign w:val="bottom"/>
            <w:vMerge w:val="restart"/>
            <w:shd w:val="clear" w:color="auto" w:fill="4834BA"/>
          </w:tcPr>
          <w:p>
            <w:pPr>
              <w:jc w:val="right"/>
              <w:ind w:right="253"/>
              <w:spacing w:after="0"/>
              <w:rPr>
                <w:sz w:val="20"/>
                <w:szCs w:val="20"/>
                <w:color w:val="auto"/>
              </w:rPr>
            </w:pPr>
            <w:r>
              <w:rPr>
                <w:rFonts w:ascii="Arial" w:cs="Arial" w:eastAsia="Arial" w:hAnsi="Arial"/>
                <w:sz w:val="13"/>
                <w:szCs w:val="13"/>
                <w:b w:val="1"/>
                <w:bCs w:val="1"/>
                <w:color w:val="FFFFFF"/>
                <w:w w:val="92"/>
              </w:rPr>
              <w:t>Grant</w:t>
            </w:r>
          </w:p>
        </w:tc>
        <w:tc>
          <w:tcPr>
            <w:tcW w:w="280" w:type="dxa"/>
            <w:vAlign w:val="bottom"/>
            <w:shd w:val="clear" w:color="auto" w:fill="4834BA"/>
          </w:tcPr>
          <w:p>
            <w:pPr>
              <w:spacing w:after="0"/>
              <w:rPr>
                <w:sz w:val="12"/>
                <w:szCs w:val="12"/>
                <w:color w:val="auto"/>
              </w:rPr>
            </w:pPr>
          </w:p>
        </w:tc>
        <w:tc>
          <w:tcPr>
            <w:tcW w:w="640" w:type="dxa"/>
            <w:vAlign w:val="bottom"/>
            <w:shd w:val="clear" w:color="auto" w:fill="4834BA"/>
          </w:tcPr>
          <w:p>
            <w:pPr>
              <w:jc w:val="right"/>
              <w:spacing w:after="0"/>
              <w:rPr>
                <w:sz w:val="20"/>
                <w:szCs w:val="20"/>
                <w:color w:val="auto"/>
              </w:rPr>
            </w:pPr>
            <w:r>
              <w:rPr>
                <w:rFonts w:ascii="Arial" w:cs="Arial" w:eastAsia="Arial" w:hAnsi="Arial"/>
                <w:sz w:val="13"/>
                <w:szCs w:val="13"/>
                <w:b w:val="1"/>
                <w:bCs w:val="1"/>
                <w:color w:val="FFFFFF"/>
              </w:rPr>
              <w:t>Not</w:t>
            </w:r>
          </w:p>
        </w:tc>
        <w:tc>
          <w:tcPr>
            <w:tcW w:w="280" w:type="dxa"/>
            <w:vAlign w:val="bottom"/>
            <w:shd w:val="clear" w:color="auto" w:fill="4834BA"/>
          </w:tcPr>
          <w:p>
            <w:pPr>
              <w:spacing w:after="0"/>
              <w:rPr>
                <w:sz w:val="12"/>
                <w:szCs w:val="12"/>
                <w:color w:val="auto"/>
              </w:rPr>
            </w:pPr>
          </w:p>
        </w:tc>
        <w:tc>
          <w:tcPr>
            <w:tcW w:w="1280" w:type="dxa"/>
            <w:vAlign w:val="bottom"/>
            <w:shd w:val="clear" w:color="auto" w:fill="4834BA"/>
          </w:tcPr>
          <w:p>
            <w:pPr>
              <w:jc w:val="right"/>
              <w:ind w:right="253"/>
              <w:spacing w:after="0"/>
              <w:rPr>
                <w:sz w:val="20"/>
                <w:szCs w:val="20"/>
                <w:color w:val="auto"/>
              </w:rPr>
            </w:pPr>
            <w:r>
              <w:rPr>
                <w:rFonts w:ascii="Arial" w:cs="Arial" w:eastAsia="Arial" w:hAnsi="Arial"/>
                <w:sz w:val="13"/>
                <w:szCs w:val="13"/>
                <w:b w:val="1"/>
                <w:bCs w:val="1"/>
                <w:color w:val="FFFFFF"/>
              </w:rPr>
              <w:t>Have Not</w:t>
            </w:r>
          </w:p>
        </w:tc>
        <w:tc>
          <w:tcPr>
            <w:tcW w:w="1440" w:type="dxa"/>
            <w:vAlign w:val="bottom"/>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Have Not</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Have Not</w:t>
            </w:r>
          </w:p>
        </w:tc>
        <w:tc>
          <w:tcPr>
            <w:tcW w:w="0" w:type="dxa"/>
            <w:vAlign w:val="bottom"/>
          </w:tcPr>
          <w:p>
            <w:pPr>
              <w:spacing w:after="0"/>
              <w:rPr>
                <w:sz w:val="1"/>
                <w:szCs w:val="1"/>
                <w:color w:val="auto"/>
              </w:rPr>
            </w:pPr>
          </w:p>
        </w:tc>
      </w:tr>
      <w:tr>
        <w:trPr>
          <w:trHeight w:val="161"/>
        </w:trPr>
        <w:tc>
          <w:tcPr>
            <w:tcW w:w="3320" w:type="dxa"/>
            <w:vAlign w:val="bottom"/>
            <w:shd w:val="clear" w:color="auto" w:fill="4834BA"/>
          </w:tcPr>
          <w:p>
            <w:pPr>
              <w:spacing w:after="0"/>
              <w:rPr>
                <w:sz w:val="13"/>
                <w:szCs w:val="13"/>
                <w:color w:val="auto"/>
              </w:rPr>
            </w:pPr>
          </w:p>
        </w:tc>
        <w:tc>
          <w:tcPr>
            <w:tcW w:w="300" w:type="dxa"/>
            <w:vAlign w:val="bottom"/>
            <w:shd w:val="clear" w:color="auto" w:fill="4834BA"/>
          </w:tcPr>
          <w:p>
            <w:pPr>
              <w:spacing w:after="0"/>
              <w:rPr>
                <w:sz w:val="13"/>
                <w:szCs w:val="13"/>
                <w:color w:val="auto"/>
              </w:rPr>
            </w:pPr>
          </w:p>
        </w:tc>
        <w:tc>
          <w:tcPr>
            <w:tcW w:w="660" w:type="dxa"/>
            <w:vAlign w:val="bottom"/>
            <w:vMerge w:val="continue"/>
            <w:shd w:val="clear" w:color="auto" w:fill="4834BA"/>
          </w:tcPr>
          <w:p>
            <w:pPr>
              <w:spacing w:after="0"/>
              <w:rPr>
                <w:sz w:val="13"/>
                <w:szCs w:val="13"/>
                <w:color w:val="auto"/>
              </w:rPr>
            </w:pPr>
          </w:p>
        </w:tc>
        <w:tc>
          <w:tcPr>
            <w:tcW w:w="280" w:type="dxa"/>
            <w:vAlign w:val="bottom"/>
            <w:shd w:val="clear" w:color="auto" w:fill="4834BA"/>
          </w:tcPr>
          <w:p>
            <w:pPr>
              <w:spacing w:after="0"/>
              <w:rPr>
                <w:sz w:val="13"/>
                <w:szCs w:val="13"/>
                <w:color w:val="auto"/>
              </w:rPr>
            </w:pPr>
          </w:p>
        </w:tc>
        <w:tc>
          <w:tcPr>
            <w:tcW w:w="640" w:type="dxa"/>
            <w:vAlign w:val="bottom"/>
            <w:shd w:val="clear" w:color="auto" w:fill="4834BA"/>
          </w:tcPr>
          <w:p>
            <w:pPr>
              <w:jc w:val="right"/>
              <w:spacing w:after="0"/>
              <w:rPr>
                <w:sz w:val="20"/>
                <w:szCs w:val="20"/>
                <w:color w:val="auto"/>
              </w:rPr>
            </w:pPr>
            <w:r>
              <w:rPr>
                <w:rFonts w:ascii="Arial" w:cs="Arial" w:eastAsia="Arial" w:hAnsi="Arial"/>
                <w:sz w:val="13"/>
                <w:szCs w:val="13"/>
                <w:b w:val="1"/>
                <w:bCs w:val="1"/>
                <w:color w:val="FFFFFF"/>
              </w:rPr>
              <w:t>Vested</w:t>
            </w:r>
          </w:p>
        </w:tc>
        <w:tc>
          <w:tcPr>
            <w:tcW w:w="280" w:type="dxa"/>
            <w:vAlign w:val="bottom"/>
            <w:shd w:val="clear" w:color="auto" w:fill="4834BA"/>
          </w:tcPr>
          <w:p>
            <w:pPr>
              <w:spacing w:after="0"/>
              <w:rPr>
                <w:sz w:val="13"/>
                <w:szCs w:val="13"/>
                <w:color w:val="auto"/>
              </w:rPr>
            </w:pPr>
          </w:p>
        </w:tc>
        <w:tc>
          <w:tcPr>
            <w:tcW w:w="1280" w:type="dxa"/>
            <w:vAlign w:val="bottom"/>
            <w:shd w:val="clear" w:color="auto" w:fill="4834BA"/>
          </w:tcPr>
          <w:p>
            <w:pPr>
              <w:jc w:val="right"/>
              <w:ind w:right="253"/>
              <w:spacing w:after="0"/>
              <w:rPr>
                <w:sz w:val="20"/>
                <w:szCs w:val="20"/>
                <w:color w:val="auto"/>
              </w:rPr>
            </w:pPr>
            <w:r>
              <w:rPr>
                <w:rFonts w:ascii="Arial" w:cs="Arial" w:eastAsia="Arial" w:hAnsi="Arial"/>
                <w:sz w:val="13"/>
                <w:szCs w:val="13"/>
                <w:b w:val="1"/>
                <w:bCs w:val="1"/>
                <w:color w:val="FFFFFF"/>
              </w:rPr>
              <w:t>Vested</w:t>
            </w:r>
          </w:p>
        </w:tc>
        <w:tc>
          <w:tcPr>
            <w:tcW w:w="1440" w:type="dxa"/>
            <w:vAlign w:val="bottom"/>
            <w:shd w:val="clear" w:color="auto" w:fill="4834BA"/>
          </w:tcPr>
          <w:p>
            <w:pPr>
              <w:jc w:val="right"/>
              <w:ind w:right="273"/>
              <w:spacing w:after="0"/>
              <w:rPr>
                <w:sz w:val="20"/>
                <w:szCs w:val="20"/>
                <w:color w:val="auto"/>
              </w:rPr>
            </w:pPr>
            <w:r>
              <w:rPr>
                <w:rFonts w:ascii="Arial" w:cs="Arial" w:eastAsia="Arial" w:hAnsi="Arial"/>
                <w:sz w:val="13"/>
                <w:szCs w:val="13"/>
                <w:b w:val="1"/>
                <w:bCs w:val="1"/>
                <w:color w:val="FFFFFF"/>
              </w:rPr>
              <w:t>Vested</w:t>
            </w:r>
          </w:p>
        </w:tc>
        <w:tc>
          <w:tcPr>
            <w:tcW w:w="1200" w:type="dxa"/>
            <w:vAlign w:val="bottom"/>
            <w:shd w:val="clear" w:color="auto" w:fill="4834BA"/>
          </w:tcPr>
          <w:p>
            <w:pPr>
              <w:jc w:val="right"/>
              <w:ind w:right="33"/>
              <w:spacing w:after="0"/>
              <w:rPr>
                <w:sz w:val="20"/>
                <w:szCs w:val="20"/>
                <w:color w:val="auto"/>
              </w:rPr>
            </w:pPr>
            <w:r>
              <w:rPr>
                <w:rFonts w:ascii="Arial" w:cs="Arial" w:eastAsia="Arial" w:hAnsi="Arial"/>
                <w:sz w:val="13"/>
                <w:szCs w:val="13"/>
                <w:b w:val="1"/>
                <w:bCs w:val="1"/>
                <w:color w:val="FFFFFF"/>
              </w:rPr>
              <w:t>Vested</w:t>
            </w:r>
          </w:p>
        </w:tc>
        <w:tc>
          <w:tcPr>
            <w:tcW w:w="0" w:type="dxa"/>
            <w:vAlign w:val="bottom"/>
          </w:tcPr>
          <w:p>
            <w:pPr>
              <w:spacing w:after="0"/>
              <w:rPr>
                <w:sz w:val="1"/>
                <w:szCs w:val="1"/>
                <w:color w:val="auto"/>
              </w:rPr>
            </w:pPr>
          </w:p>
        </w:tc>
      </w:tr>
      <w:tr>
        <w:trPr>
          <w:trHeight w:val="204"/>
        </w:trPr>
        <w:tc>
          <w:tcPr>
            <w:tcW w:w="3320" w:type="dxa"/>
            <w:vAlign w:val="bottom"/>
            <w:shd w:val="clear" w:color="auto" w:fill="4834BA"/>
          </w:tcPr>
          <w:p>
            <w:pPr>
              <w:ind w:left="80"/>
              <w:spacing w:after="0"/>
              <w:rPr>
                <w:sz w:val="20"/>
                <w:szCs w:val="20"/>
                <w:color w:val="auto"/>
              </w:rPr>
            </w:pPr>
            <w:r>
              <w:rPr>
                <w:rFonts w:ascii="Arial" w:cs="Arial" w:eastAsia="Arial" w:hAnsi="Arial"/>
                <w:sz w:val="13"/>
                <w:szCs w:val="13"/>
                <w:b w:val="1"/>
                <w:bCs w:val="1"/>
                <w:color w:val="FFFFFF"/>
              </w:rPr>
              <w:t>Name</w:t>
            </w:r>
          </w:p>
        </w:tc>
        <w:tc>
          <w:tcPr>
            <w:tcW w:w="300" w:type="dxa"/>
            <w:vAlign w:val="bottom"/>
            <w:shd w:val="clear" w:color="auto" w:fill="4834BA"/>
          </w:tcPr>
          <w:p>
            <w:pPr>
              <w:spacing w:after="0"/>
              <w:rPr>
                <w:sz w:val="17"/>
                <w:szCs w:val="17"/>
                <w:color w:val="auto"/>
              </w:rPr>
            </w:pPr>
          </w:p>
        </w:tc>
        <w:tc>
          <w:tcPr>
            <w:tcW w:w="660" w:type="dxa"/>
            <w:vAlign w:val="bottom"/>
            <w:shd w:val="clear" w:color="auto" w:fill="4834BA"/>
          </w:tcPr>
          <w:p>
            <w:pPr>
              <w:jc w:val="right"/>
              <w:ind w:right="213"/>
              <w:spacing w:after="0"/>
              <w:rPr>
                <w:sz w:val="20"/>
                <w:szCs w:val="20"/>
                <w:color w:val="auto"/>
              </w:rPr>
            </w:pPr>
            <w:r>
              <w:rPr>
                <w:rFonts w:ascii="Arial" w:cs="Arial" w:eastAsia="Arial" w:hAnsi="Arial"/>
                <w:sz w:val="13"/>
                <w:szCs w:val="13"/>
                <w:b w:val="1"/>
                <w:bCs w:val="1"/>
                <w:color w:val="FFFFFF"/>
              </w:rPr>
              <w:t>Year</w:t>
            </w:r>
          </w:p>
        </w:tc>
        <w:tc>
          <w:tcPr>
            <w:tcW w:w="920" w:type="dxa"/>
            <w:vAlign w:val="bottom"/>
            <w:gridSpan w:val="2"/>
            <w:shd w:val="clear" w:color="auto" w:fill="4834BA"/>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(1)</w:t>
            </w:r>
          </w:p>
        </w:tc>
        <w:tc>
          <w:tcPr>
            <w:tcW w:w="1560" w:type="dxa"/>
            <w:vAlign w:val="bottom"/>
            <w:gridSpan w:val="2"/>
            <w:shd w:val="clear" w:color="auto" w:fill="4834BA"/>
          </w:tcPr>
          <w:p>
            <w:pPr>
              <w:jc w:val="right"/>
              <w:ind w:right="23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(2)</w:t>
            </w:r>
          </w:p>
        </w:tc>
        <w:tc>
          <w:tcPr>
            <w:tcW w:w="1440" w:type="dxa"/>
            <w:vAlign w:val="bottom"/>
            <w:shd w:val="clear" w:color="auto" w:fill="4834BA"/>
          </w:tcPr>
          <w:p>
            <w:pPr>
              <w:jc w:val="right"/>
              <w:ind w:right="23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(3)</w:t>
            </w:r>
          </w:p>
        </w:tc>
        <w:tc>
          <w:tcPr>
            <w:tcW w:w="1200" w:type="dxa"/>
            <w:vAlign w:val="bottom"/>
            <w:shd w:val="clear" w:color="auto" w:fill="4834BA"/>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(2)</w:t>
            </w:r>
          </w:p>
        </w:tc>
        <w:tc>
          <w:tcPr>
            <w:tcW w:w="0" w:type="dxa"/>
            <w:vAlign w:val="bottom"/>
          </w:tcPr>
          <w:p>
            <w:pPr>
              <w:spacing w:after="0"/>
              <w:rPr>
                <w:sz w:val="1"/>
                <w:szCs w:val="1"/>
                <w:color w:val="auto"/>
              </w:rPr>
            </w:pPr>
          </w:p>
        </w:tc>
      </w:tr>
      <w:tr>
        <w:trPr>
          <w:trHeight w:val="204"/>
        </w:trPr>
        <w:tc>
          <w:tcPr>
            <w:tcW w:w="3320" w:type="dxa"/>
            <w:vAlign w:val="bottom"/>
          </w:tcPr>
          <w:p>
            <w:pPr>
              <w:ind w:left="80"/>
              <w:spacing w:after="0"/>
              <w:rPr>
                <w:sz w:val="20"/>
                <w:szCs w:val="20"/>
                <w:color w:val="auto"/>
              </w:rPr>
            </w:pPr>
            <w:r>
              <w:rPr>
                <w:rFonts w:ascii="Arial" w:cs="Arial" w:eastAsia="Arial" w:hAnsi="Arial"/>
                <w:sz w:val="13"/>
                <w:szCs w:val="13"/>
                <w:color w:val="auto"/>
              </w:rPr>
              <w:t>Chih-Hsiang (Thompson) Lin</w:t>
            </w: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2022</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13,951</w:t>
            </w:r>
          </w:p>
        </w:tc>
        <w:tc>
          <w:tcPr>
            <w:tcW w:w="1560" w:type="dxa"/>
            <w:vAlign w:val="bottom"/>
            <w:gridSpan w:val="2"/>
          </w:tcPr>
          <w:p>
            <w:pPr>
              <w:jc w:val="right"/>
              <w:ind w:right="233"/>
              <w:spacing w:after="0"/>
              <w:rPr>
                <w:sz w:val="20"/>
                <w:szCs w:val="20"/>
                <w:color w:val="auto"/>
              </w:rPr>
            </w:pPr>
            <w:r>
              <w:rPr>
                <w:rFonts w:ascii="Arial" w:cs="Arial" w:eastAsia="Arial" w:hAnsi="Arial"/>
                <w:sz w:val="13"/>
                <w:szCs w:val="13"/>
                <w:color w:val="auto"/>
              </w:rPr>
              <w:t>486,332</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960" w:type="dxa"/>
            <w:vAlign w:val="bottom"/>
            <w:tcBorders>
              <w:bottom w:val="single" w:sz="8" w:color="999999"/>
            </w:tcBorders>
            <w:gridSpan w:val="2"/>
          </w:tcPr>
          <w:p>
            <w:pPr>
              <w:spacing w:after="0"/>
              <w:rPr>
                <w:sz w:val="4"/>
                <w:szCs w:val="4"/>
                <w:color w:val="auto"/>
              </w:rPr>
            </w:pPr>
          </w:p>
        </w:tc>
        <w:tc>
          <w:tcPr>
            <w:tcW w:w="920" w:type="dxa"/>
            <w:vAlign w:val="bottom"/>
            <w:tcBorders>
              <w:bottom w:val="single" w:sz="8" w:color="999999"/>
            </w:tcBorders>
            <w:gridSpan w:val="2"/>
          </w:tcPr>
          <w:p>
            <w:pPr>
              <w:spacing w:after="0"/>
              <w:rPr>
                <w:sz w:val="4"/>
                <w:szCs w:val="4"/>
                <w:color w:val="auto"/>
              </w:rPr>
            </w:pPr>
          </w:p>
        </w:tc>
        <w:tc>
          <w:tcPr>
            <w:tcW w:w="1560" w:type="dxa"/>
            <w:vAlign w:val="bottom"/>
            <w:tcBorders>
              <w:bottom w:val="single" w:sz="8" w:color="999999"/>
            </w:tcBorders>
            <w:gridSpan w:val="2"/>
          </w:tcPr>
          <w:p>
            <w:pPr>
              <w:spacing w:after="0"/>
              <w:rPr>
                <w:sz w:val="4"/>
                <w:szCs w:val="4"/>
                <w:color w:val="auto"/>
              </w:rPr>
            </w:pPr>
          </w:p>
        </w:tc>
        <w:tc>
          <w:tcPr>
            <w:tcW w:w="1440" w:type="dxa"/>
            <w:vAlign w:val="bottom"/>
            <w:tcBorders>
              <w:bottom w:val="single" w:sz="8" w:color="999999"/>
            </w:tcBorders>
          </w:tcPr>
          <w:p>
            <w:pPr>
              <w:spacing w:after="0"/>
              <w:rPr>
                <w:sz w:val="4"/>
                <w:szCs w:val="4"/>
                <w:color w:val="auto"/>
              </w:rPr>
            </w:pPr>
          </w:p>
        </w:tc>
        <w:tc>
          <w:tcPr>
            <w:tcW w:w="120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111,210</w:t>
            </w:r>
          </w:p>
        </w:tc>
        <w:tc>
          <w:tcPr>
            <w:tcW w:w="1560" w:type="dxa"/>
            <w:vAlign w:val="bottom"/>
            <w:gridSpan w:val="2"/>
          </w:tcPr>
          <w:p>
            <w:pPr>
              <w:jc w:val="right"/>
              <w:ind w:right="233"/>
              <w:spacing w:after="0"/>
              <w:rPr>
                <w:sz w:val="20"/>
                <w:szCs w:val="20"/>
                <w:color w:val="auto"/>
              </w:rPr>
            </w:pPr>
            <w:r>
              <w:rPr>
                <w:rFonts w:ascii="Arial" w:cs="Arial" w:eastAsia="Arial" w:hAnsi="Arial"/>
                <w:sz w:val="13"/>
                <w:szCs w:val="13"/>
                <w:color w:val="auto"/>
              </w:rPr>
              <w:t>3,876,781</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355,871</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12,405,663</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920" w:type="dxa"/>
            <w:vAlign w:val="bottom"/>
            <w:tcBorders>
              <w:bottom w:val="single" w:sz="8" w:color="999999"/>
            </w:tcBorders>
            <w:gridSpan w:val="2"/>
          </w:tcPr>
          <w:p>
            <w:pPr>
              <w:spacing w:after="0"/>
              <w:rPr>
                <w:sz w:val="2"/>
                <w:szCs w:val="2"/>
                <w:color w:val="auto"/>
              </w:rPr>
            </w:pPr>
          </w:p>
        </w:tc>
        <w:tc>
          <w:tcPr>
            <w:tcW w:w="1560" w:type="dxa"/>
            <w:vAlign w:val="bottom"/>
            <w:tcBorders>
              <w:bottom w:val="single" w:sz="8" w:color="999999"/>
            </w:tcBorders>
            <w:gridSpan w:val="2"/>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2024</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53,318</w:t>
            </w:r>
          </w:p>
        </w:tc>
        <w:tc>
          <w:tcPr>
            <w:tcW w:w="1560" w:type="dxa"/>
            <w:vAlign w:val="bottom"/>
            <w:gridSpan w:val="2"/>
          </w:tcPr>
          <w:p>
            <w:pPr>
              <w:jc w:val="right"/>
              <w:ind w:right="233"/>
              <w:spacing w:after="0"/>
              <w:rPr>
                <w:sz w:val="20"/>
                <w:szCs w:val="20"/>
                <w:color w:val="auto"/>
              </w:rPr>
            </w:pPr>
            <w:r>
              <w:rPr>
                <w:rFonts w:ascii="Arial" w:cs="Arial" w:eastAsia="Arial" w:hAnsi="Arial"/>
                <w:sz w:val="13"/>
                <w:szCs w:val="13"/>
                <w:color w:val="auto"/>
              </w:rPr>
              <w:t>1,858,665</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2024</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94,786</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3,304,240</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920" w:type="dxa"/>
            <w:vAlign w:val="bottom"/>
            <w:tcBorders>
              <w:bottom w:val="single" w:sz="8" w:color="999999"/>
            </w:tcBorders>
            <w:gridSpan w:val="2"/>
          </w:tcPr>
          <w:p>
            <w:pPr>
              <w:spacing w:after="0"/>
              <w:rPr>
                <w:sz w:val="2"/>
                <w:szCs w:val="2"/>
                <w:color w:val="auto"/>
              </w:rPr>
            </w:pPr>
          </w:p>
        </w:tc>
        <w:tc>
          <w:tcPr>
            <w:tcW w:w="1560" w:type="dxa"/>
            <w:vAlign w:val="bottom"/>
            <w:tcBorders>
              <w:bottom w:val="single" w:sz="8" w:color="999999"/>
            </w:tcBorders>
            <w:gridSpan w:val="2"/>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83,356</w:t>
            </w:r>
          </w:p>
        </w:tc>
        <w:tc>
          <w:tcPr>
            <w:tcW w:w="1560" w:type="dxa"/>
            <w:vAlign w:val="bottom"/>
            <w:gridSpan w:val="2"/>
          </w:tcPr>
          <w:p>
            <w:pPr>
              <w:jc w:val="right"/>
              <w:ind w:right="233"/>
              <w:spacing w:after="0"/>
              <w:rPr>
                <w:sz w:val="20"/>
                <w:szCs w:val="20"/>
                <w:color w:val="auto"/>
              </w:rPr>
            </w:pPr>
            <w:r>
              <w:rPr>
                <w:rFonts w:ascii="Arial" w:cs="Arial" w:eastAsia="Arial" w:hAnsi="Arial"/>
                <w:sz w:val="13"/>
                <w:szCs w:val="13"/>
                <w:color w:val="auto"/>
              </w:rPr>
              <w:t>2,905,790</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102,591</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3,576,322</w:t>
            </w:r>
          </w:p>
        </w:tc>
        <w:tc>
          <w:tcPr>
            <w:tcW w:w="0" w:type="dxa"/>
            <w:vAlign w:val="bottom"/>
          </w:tcPr>
          <w:p>
            <w:pPr>
              <w:spacing w:after="0"/>
              <w:rPr>
                <w:sz w:val="1"/>
                <w:szCs w:val="1"/>
                <w:color w:val="auto"/>
              </w:rPr>
            </w:pPr>
          </w:p>
        </w:tc>
      </w:tr>
      <w:tr>
        <w:trPr>
          <w:trHeight w:val="26"/>
        </w:trPr>
        <w:tc>
          <w:tcPr>
            <w:tcW w:w="3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3"/>
                <w:szCs w:val="13"/>
                <w:color w:val="auto"/>
              </w:rPr>
              <w:t>Stefan J. Murry</w:t>
            </w:r>
          </w:p>
        </w:tc>
        <w:tc>
          <w:tcPr>
            <w:tcW w:w="300" w:type="dxa"/>
            <w:vAlign w:val="bottom"/>
            <w:tcBorders>
              <w:bottom w:val="single" w:sz="8" w:color="E5E5E5"/>
            </w:tcBorders>
            <w:shd w:val="clear" w:color="auto" w:fill="E5E5E5"/>
          </w:tcPr>
          <w:p>
            <w:pPr>
              <w:spacing w:after="0"/>
              <w:rPr>
                <w:sz w:val="21"/>
                <w:szCs w:val="21"/>
                <w:color w:val="auto"/>
              </w:rPr>
            </w:pPr>
          </w:p>
        </w:tc>
        <w:tc>
          <w:tcPr>
            <w:tcW w:w="660" w:type="dxa"/>
            <w:vAlign w:val="bottom"/>
            <w:tcBorders>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2022</w:t>
            </w:r>
          </w:p>
        </w:tc>
        <w:tc>
          <w:tcPr>
            <w:tcW w:w="92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3"/>
                <w:szCs w:val="13"/>
                <w:color w:val="auto"/>
              </w:rPr>
              <w:t>4,883</w:t>
            </w:r>
          </w:p>
        </w:tc>
        <w:tc>
          <w:tcPr>
            <w:tcW w:w="1560" w:type="dxa"/>
            <w:vAlign w:val="bottom"/>
            <w:tcBorders>
              <w:bottom w:val="single" w:sz="8" w:color="E5E5E5"/>
            </w:tcBorders>
            <w:gridSpan w:val="2"/>
            <w:shd w:val="clear" w:color="auto" w:fill="E5E5E5"/>
          </w:tcPr>
          <w:p>
            <w:pPr>
              <w:jc w:val="right"/>
              <w:ind w:right="233"/>
              <w:spacing w:after="0"/>
              <w:rPr>
                <w:sz w:val="20"/>
                <w:szCs w:val="20"/>
                <w:color w:val="auto"/>
              </w:rPr>
            </w:pPr>
            <w:r>
              <w:rPr>
                <w:rFonts w:ascii="Arial" w:cs="Arial" w:eastAsia="Arial" w:hAnsi="Arial"/>
                <w:sz w:val="13"/>
                <w:szCs w:val="13"/>
                <w:color w:val="auto"/>
              </w:rPr>
              <w:t>170,221</w:t>
            </w:r>
          </w:p>
        </w:tc>
        <w:tc>
          <w:tcPr>
            <w:tcW w:w="1440" w:type="dxa"/>
            <w:vAlign w:val="bottom"/>
            <w:tcBorders>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2023</w:t>
            </w:r>
          </w:p>
        </w:tc>
        <w:tc>
          <w:tcPr>
            <w:tcW w:w="920" w:type="dxa"/>
            <w:vAlign w:val="bottom"/>
            <w:tcBorders>
              <w:top w:val="single" w:sz="8" w:color="999999"/>
              <w:bottom w:val="single" w:sz="8" w:color="E5E5E5"/>
            </w:tcBorders>
            <w:gridSpan w:val="2"/>
            <w:shd w:val="clear" w:color="auto" w:fill="E5E5E5"/>
          </w:tcPr>
          <w:p>
            <w:pPr>
              <w:jc w:val="right"/>
              <w:spacing w:after="0"/>
              <w:rPr>
                <w:sz w:val="20"/>
                <w:szCs w:val="20"/>
                <w:color w:val="auto"/>
              </w:rPr>
            </w:pPr>
            <w:r>
              <w:rPr>
                <w:rFonts w:ascii="Arial" w:cs="Arial" w:eastAsia="Arial" w:hAnsi="Arial"/>
                <w:sz w:val="13"/>
                <w:szCs w:val="13"/>
                <w:color w:val="auto"/>
              </w:rPr>
              <w:t>38,924</w:t>
            </w:r>
          </w:p>
        </w:tc>
        <w:tc>
          <w:tcPr>
            <w:tcW w:w="1560" w:type="dxa"/>
            <w:vAlign w:val="bottom"/>
            <w:tcBorders>
              <w:top w:val="single" w:sz="8" w:color="999999"/>
              <w:bottom w:val="single" w:sz="8" w:color="E5E5E5"/>
            </w:tcBorders>
            <w:gridSpan w:val="2"/>
            <w:shd w:val="clear" w:color="auto" w:fill="E5E5E5"/>
          </w:tcPr>
          <w:p>
            <w:pPr>
              <w:jc w:val="right"/>
              <w:ind w:right="233"/>
              <w:spacing w:after="0"/>
              <w:rPr>
                <w:sz w:val="20"/>
                <w:szCs w:val="20"/>
                <w:color w:val="auto"/>
              </w:rPr>
            </w:pPr>
            <w:r>
              <w:rPr>
                <w:rFonts w:ascii="Arial" w:cs="Arial" w:eastAsia="Arial" w:hAnsi="Arial"/>
                <w:sz w:val="13"/>
                <w:szCs w:val="13"/>
                <w:color w:val="auto"/>
              </w:rPr>
              <w:t>1,356,891</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2023</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64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128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124,555</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4,341,987</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2024</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64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15,996</w:t>
            </w:r>
          </w:p>
        </w:tc>
        <w:tc>
          <w:tcPr>
            <w:tcW w:w="1560" w:type="dxa"/>
            <w:vAlign w:val="bottom"/>
            <w:tcBorders>
              <w:top w:val="single" w:sz="8" w:color="999999"/>
              <w:bottom w:val="single" w:sz="8" w:color="E5E5E5"/>
            </w:tcBorders>
            <w:gridSpan w:val="2"/>
            <w:shd w:val="clear" w:color="auto" w:fill="E5E5E5"/>
          </w:tcPr>
          <w:p>
            <w:pPr>
              <w:jc w:val="right"/>
              <w:ind w:right="233"/>
              <w:spacing w:after="0"/>
              <w:rPr>
                <w:sz w:val="20"/>
                <w:szCs w:val="20"/>
                <w:color w:val="auto"/>
              </w:rPr>
            </w:pPr>
            <w:r>
              <w:rPr>
                <w:rFonts w:ascii="Arial" w:cs="Arial" w:eastAsia="Arial" w:hAnsi="Arial"/>
                <w:sz w:val="13"/>
                <w:szCs w:val="13"/>
                <w:color w:val="auto"/>
              </w:rPr>
              <w:t>557,621</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2024</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64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128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28,436</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991,279</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2025</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64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33,635</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128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1,172,516</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2025</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64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128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41,396</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1,443,065</w:t>
            </w:r>
          </w:p>
        </w:tc>
        <w:tc>
          <w:tcPr>
            <w:tcW w:w="0" w:type="dxa"/>
            <w:vAlign w:val="bottom"/>
          </w:tcPr>
          <w:p>
            <w:pPr>
              <w:spacing w:after="0"/>
              <w:rPr>
                <w:sz w:val="1"/>
                <w:szCs w:val="1"/>
                <w:color w:val="auto"/>
              </w:rPr>
            </w:pPr>
          </w:p>
        </w:tc>
      </w:tr>
      <w:tr>
        <w:trPr>
          <w:trHeight w:val="198"/>
        </w:trPr>
        <w:tc>
          <w:tcPr>
            <w:tcW w:w="332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Hung-Lun (Fred) Chang</w:t>
            </w:r>
          </w:p>
        </w:tc>
        <w:tc>
          <w:tcPr>
            <w:tcW w:w="960" w:type="dxa"/>
            <w:vAlign w:val="bottom"/>
            <w:tcBorders>
              <w:top w:val="single" w:sz="8" w:color="auto"/>
            </w:tcBorders>
            <w:gridSpan w:val="2"/>
          </w:tcPr>
          <w:p>
            <w:pPr>
              <w:jc w:val="right"/>
              <w:ind w:right="213"/>
              <w:spacing w:after="0"/>
              <w:rPr>
                <w:sz w:val="20"/>
                <w:szCs w:val="20"/>
                <w:color w:val="auto"/>
              </w:rPr>
            </w:pPr>
            <w:r>
              <w:rPr>
                <w:rFonts w:ascii="Arial" w:cs="Arial" w:eastAsia="Arial" w:hAnsi="Arial"/>
                <w:sz w:val="13"/>
                <w:szCs w:val="13"/>
                <w:color w:val="auto"/>
              </w:rPr>
              <w:t>2022</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4,465</w:t>
            </w:r>
          </w:p>
        </w:tc>
        <w:tc>
          <w:tcPr>
            <w:tcW w:w="1560" w:type="dxa"/>
            <w:vAlign w:val="bottom"/>
            <w:tcBorders>
              <w:top w:val="single" w:sz="8" w:color="auto"/>
            </w:tcBorders>
            <w:gridSpan w:val="2"/>
          </w:tcPr>
          <w:p>
            <w:pPr>
              <w:jc w:val="right"/>
              <w:ind w:right="233"/>
              <w:spacing w:after="0"/>
              <w:rPr>
                <w:sz w:val="20"/>
                <w:szCs w:val="20"/>
                <w:color w:val="auto"/>
              </w:rPr>
            </w:pPr>
            <w:r>
              <w:rPr>
                <w:rFonts w:ascii="Arial" w:cs="Arial" w:eastAsia="Arial" w:hAnsi="Arial"/>
                <w:sz w:val="13"/>
                <w:szCs w:val="13"/>
                <w:color w:val="auto"/>
              </w:rPr>
              <w:t>155,650</w:t>
            </w:r>
          </w:p>
        </w:tc>
        <w:tc>
          <w:tcPr>
            <w:tcW w:w="144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960" w:type="dxa"/>
            <w:vAlign w:val="bottom"/>
            <w:tcBorders>
              <w:bottom w:val="single" w:sz="8" w:color="999999"/>
            </w:tcBorders>
            <w:gridSpan w:val="2"/>
          </w:tcPr>
          <w:p>
            <w:pPr>
              <w:spacing w:after="0"/>
              <w:rPr>
                <w:sz w:val="4"/>
                <w:szCs w:val="4"/>
                <w:color w:val="auto"/>
              </w:rPr>
            </w:pPr>
          </w:p>
        </w:tc>
        <w:tc>
          <w:tcPr>
            <w:tcW w:w="920" w:type="dxa"/>
            <w:vAlign w:val="bottom"/>
            <w:tcBorders>
              <w:bottom w:val="single" w:sz="8" w:color="999999"/>
            </w:tcBorders>
            <w:gridSpan w:val="2"/>
          </w:tcPr>
          <w:p>
            <w:pPr>
              <w:spacing w:after="0"/>
              <w:rPr>
                <w:sz w:val="4"/>
                <w:szCs w:val="4"/>
                <w:color w:val="auto"/>
              </w:rPr>
            </w:pPr>
          </w:p>
        </w:tc>
        <w:tc>
          <w:tcPr>
            <w:tcW w:w="1560" w:type="dxa"/>
            <w:vAlign w:val="bottom"/>
            <w:tcBorders>
              <w:bottom w:val="single" w:sz="8" w:color="999999"/>
            </w:tcBorders>
            <w:gridSpan w:val="2"/>
          </w:tcPr>
          <w:p>
            <w:pPr>
              <w:spacing w:after="0"/>
              <w:rPr>
                <w:sz w:val="4"/>
                <w:szCs w:val="4"/>
                <w:color w:val="auto"/>
              </w:rPr>
            </w:pPr>
          </w:p>
        </w:tc>
        <w:tc>
          <w:tcPr>
            <w:tcW w:w="1440" w:type="dxa"/>
            <w:vAlign w:val="bottom"/>
            <w:tcBorders>
              <w:bottom w:val="single" w:sz="8" w:color="999999"/>
            </w:tcBorders>
          </w:tcPr>
          <w:p>
            <w:pPr>
              <w:spacing w:after="0"/>
              <w:rPr>
                <w:sz w:val="4"/>
                <w:szCs w:val="4"/>
                <w:color w:val="auto"/>
              </w:rPr>
            </w:pPr>
          </w:p>
        </w:tc>
        <w:tc>
          <w:tcPr>
            <w:tcW w:w="120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35,031</w:t>
            </w:r>
          </w:p>
        </w:tc>
        <w:tc>
          <w:tcPr>
            <w:tcW w:w="1560" w:type="dxa"/>
            <w:vAlign w:val="bottom"/>
            <w:gridSpan w:val="2"/>
          </w:tcPr>
          <w:p>
            <w:pPr>
              <w:jc w:val="right"/>
              <w:ind w:right="233"/>
              <w:spacing w:after="0"/>
              <w:rPr>
                <w:sz w:val="20"/>
                <w:szCs w:val="20"/>
                <w:color w:val="auto"/>
              </w:rPr>
            </w:pPr>
            <w:r>
              <w:rPr>
                <w:rFonts w:ascii="Arial" w:cs="Arial" w:eastAsia="Arial" w:hAnsi="Arial"/>
                <w:sz w:val="13"/>
                <w:szCs w:val="13"/>
                <w:color w:val="auto"/>
              </w:rPr>
              <w:t>1,221,181</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112,099</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3,907,771</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920" w:type="dxa"/>
            <w:vAlign w:val="bottom"/>
            <w:tcBorders>
              <w:bottom w:val="single" w:sz="8" w:color="999999"/>
            </w:tcBorders>
            <w:gridSpan w:val="2"/>
          </w:tcPr>
          <w:p>
            <w:pPr>
              <w:spacing w:after="0"/>
              <w:rPr>
                <w:sz w:val="2"/>
                <w:szCs w:val="2"/>
                <w:color w:val="auto"/>
              </w:rPr>
            </w:pPr>
          </w:p>
        </w:tc>
        <w:tc>
          <w:tcPr>
            <w:tcW w:w="1560" w:type="dxa"/>
            <w:vAlign w:val="bottom"/>
            <w:tcBorders>
              <w:bottom w:val="single" w:sz="8" w:color="999999"/>
            </w:tcBorders>
            <w:gridSpan w:val="2"/>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2024</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14,440</w:t>
            </w:r>
          </w:p>
        </w:tc>
        <w:tc>
          <w:tcPr>
            <w:tcW w:w="1560" w:type="dxa"/>
            <w:vAlign w:val="bottom"/>
            <w:gridSpan w:val="2"/>
          </w:tcPr>
          <w:p>
            <w:pPr>
              <w:jc w:val="right"/>
              <w:ind w:right="233"/>
              <w:spacing w:after="0"/>
              <w:rPr>
                <w:sz w:val="20"/>
                <w:szCs w:val="20"/>
                <w:color w:val="auto"/>
              </w:rPr>
            </w:pPr>
            <w:r>
              <w:rPr>
                <w:rFonts w:ascii="Arial" w:cs="Arial" w:eastAsia="Arial" w:hAnsi="Arial"/>
                <w:sz w:val="13"/>
                <w:szCs w:val="13"/>
                <w:color w:val="auto"/>
              </w:rPr>
              <w:t>503,378</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2024</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25,671</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894,891</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920" w:type="dxa"/>
            <w:vAlign w:val="bottom"/>
            <w:tcBorders>
              <w:bottom w:val="single" w:sz="8" w:color="999999"/>
            </w:tcBorders>
            <w:gridSpan w:val="2"/>
          </w:tcPr>
          <w:p>
            <w:pPr>
              <w:spacing w:after="0"/>
              <w:rPr>
                <w:sz w:val="2"/>
                <w:szCs w:val="2"/>
                <w:color w:val="auto"/>
              </w:rPr>
            </w:pPr>
          </w:p>
        </w:tc>
        <w:tc>
          <w:tcPr>
            <w:tcW w:w="1560" w:type="dxa"/>
            <w:vAlign w:val="bottom"/>
            <w:tcBorders>
              <w:bottom w:val="single" w:sz="8" w:color="999999"/>
            </w:tcBorders>
            <w:gridSpan w:val="2"/>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26,323</w:t>
            </w:r>
          </w:p>
        </w:tc>
        <w:tc>
          <w:tcPr>
            <w:tcW w:w="1560" w:type="dxa"/>
            <w:vAlign w:val="bottom"/>
            <w:gridSpan w:val="2"/>
          </w:tcPr>
          <w:p>
            <w:pPr>
              <w:jc w:val="right"/>
              <w:ind w:right="233"/>
              <w:spacing w:after="0"/>
              <w:rPr>
                <w:sz w:val="20"/>
                <w:szCs w:val="20"/>
                <w:color w:val="auto"/>
              </w:rPr>
            </w:pPr>
            <w:r>
              <w:rPr>
                <w:rFonts w:ascii="Arial" w:cs="Arial" w:eastAsia="Arial" w:hAnsi="Arial"/>
                <w:sz w:val="13"/>
                <w:szCs w:val="13"/>
                <w:color w:val="auto"/>
              </w:rPr>
              <w:t>917,620</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32,397</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1,129,359</w:t>
            </w:r>
          </w:p>
        </w:tc>
        <w:tc>
          <w:tcPr>
            <w:tcW w:w="0" w:type="dxa"/>
            <w:vAlign w:val="bottom"/>
          </w:tcPr>
          <w:p>
            <w:pPr>
              <w:spacing w:after="0"/>
              <w:rPr>
                <w:sz w:val="1"/>
                <w:szCs w:val="1"/>
                <w:color w:val="auto"/>
              </w:rPr>
            </w:pPr>
          </w:p>
        </w:tc>
      </w:tr>
      <w:tr>
        <w:trPr>
          <w:trHeight w:val="25"/>
        </w:trPr>
        <w:tc>
          <w:tcPr>
            <w:tcW w:w="3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3"/>
                <w:szCs w:val="13"/>
                <w:color w:val="auto"/>
              </w:rPr>
              <w:t>Shu-Hua (Joshua) Yeh</w:t>
            </w:r>
          </w:p>
        </w:tc>
        <w:tc>
          <w:tcPr>
            <w:tcW w:w="300" w:type="dxa"/>
            <w:vAlign w:val="bottom"/>
            <w:tcBorders>
              <w:bottom w:val="single" w:sz="8" w:color="E5E5E5"/>
            </w:tcBorders>
            <w:shd w:val="clear" w:color="auto" w:fill="E5E5E5"/>
          </w:tcPr>
          <w:p>
            <w:pPr>
              <w:spacing w:after="0"/>
              <w:rPr>
                <w:sz w:val="21"/>
                <w:szCs w:val="21"/>
                <w:color w:val="auto"/>
              </w:rPr>
            </w:pPr>
          </w:p>
        </w:tc>
        <w:tc>
          <w:tcPr>
            <w:tcW w:w="660" w:type="dxa"/>
            <w:vAlign w:val="bottom"/>
            <w:tcBorders>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2022</w:t>
            </w:r>
          </w:p>
        </w:tc>
        <w:tc>
          <w:tcPr>
            <w:tcW w:w="92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3"/>
                <w:szCs w:val="13"/>
                <w:color w:val="auto"/>
              </w:rPr>
              <w:t>4,465</w:t>
            </w:r>
          </w:p>
        </w:tc>
        <w:tc>
          <w:tcPr>
            <w:tcW w:w="1560" w:type="dxa"/>
            <w:vAlign w:val="bottom"/>
            <w:tcBorders>
              <w:bottom w:val="single" w:sz="8" w:color="E5E5E5"/>
            </w:tcBorders>
            <w:gridSpan w:val="2"/>
            <w:shd w:val="clear" w:color="auto" w:fill="E5E5E5"/>
          </w:tcPr>
          <w:p>
            <w:pPr>
              <w:jc w:val="right"/>
              <w:ind w:right="233"/>
              <w:spacing w:after="0"/>
              <w:rPr>
                <w:sz w:val="20"/>
                <w:szCs w:val="20"/>
                <w:color w:val="auto"/>
              </w:rPr>
            </w:pPr>
            <w:r>
              <w:rPr>
                <w:rFonts w:ascii="Arial" w:cs="Arial" w:eastAsia="Arial" w:hAnsi="Arial"/>
                <w:sz w:val="13"/>
                <w:szCs w:val="13"/>
                <w:color w:val="auto"/>
              </w:rPr>
              <w:t>155,650</w:t>
            </w:r>
          </w:p>
        </w:tc>
        <w:tc>
          <w:tcPr>
            <w:tcW w:w="1440" w:type="dxa"/>
            <w:vAlign w:val="bottom"/>
            <w:tcBorders>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2023</w:t>
            </w:r>
          </w:p>
        </w:tc>
        <w:tc>
          <w:tcPr>
            <w:tcW w:w="920" w:type="dxa"/>
            <w:vAlign w:val="bottom"/>
            <w:tcBorders>
              <w:top w:val="single" w:sz="8" w:color="999999"/>
              <w:bottom w:val="single" w:sz="8" w:color="E5E5E5"/>
            </w:tcBorders>
            <w:gridSpan w:val="2"/>
            <w:shd w:val="clear" w:color="auto" w:fill="E5E5E5"/>
          </w:tcPr>
          <w:p>
            <w:pPr>
              <w:jc w:val="right"/>
              <w:spacing w:after="0"/>
              <w:rPr>
                <w:sz w:val="20"/>
                <w:szCs w:val="20"/>
                <w:color w:val="auto"/>
              </w:rPr>
            </w:pPr>
            <w:r>
              <w:rPr>
                <w:rFonts w:ascii="Arial" w:cs="Arial" w:eastAsia="Arial" w:hAnsi="Arial"/>
                <w:sz w:val="13"/>
                <w:szCs w:val="13"/>
                <w:color w:val="auto"/>
              </w:rPr>
              <w:t>30,027</w:t>
            </w:r>
          </w:p>
        </w:tc>
        <w:tc>
          <w:tcPr>
            <w:tcW w:w="1560" w:type="dxa"/>
            <w:vAlign w:val="bottom"/>
            <w:tcBorders>
              <w:top w:val="single" w:sz="8" w:color="999999"/>
              <w:bottom w:val="single" w:sz="8" w:color="E5E5E5"/>
            </w:tcBorders>
            <w:gridSpan w:val="2"/>
            <w:shd w:val="clear" w:color="auto" w:fill="E5E5E5"/>
          </w:tcPr>
          <w:p>
            <w:pPr>
              <w:jc w:val="right"/>
              <w:ind w:right="233"/>
              <w:spacing w:after="0"/>
              <w:rPr>
                <w:sz w:val="20"/>
                <w:szCs w:val="20"/>
                <w:color w:val="auto"/>
              </w:rPr>
            </w:pPr>
            <w:r>
              <w:rPr>
                <w:rFonts w:ascii="Arial" w:cs="Arial" w:eastAsia="Arial" w:hAnsi="Arial"/>
                <w:sz w:val="13"/>
                <w:szCs w:val="13"/>
                <w:color w:val="auto"/>
              </w:rPr>
              <w:t>1,046,741</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2023</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64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128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96,085</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3,349,523</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2024</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64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12,885</w:t>
            </w:r>
          </w:p>
        </w:tc>
        <w:tc>
          <w:tcPr>
            <w:tcW w:w="1560" w:type="dxa"/>
            <w:vAlign w:val="bottom"/>
            <w:tcBorders>
              <w:top w:val="single" w:sz="8" w:color="999999"/>
              <w:bottom w:val="single" w:sz="8" w:color="E5E5E5"/>
            </w:tcBorders>
            <w:gridSpan w:val="2"/>
            <w:shd w:val="clear" w:color="auto" w:fill="E5E5E5"/>
          </w:tcPr>
          <w:p>
            <w:pPr>
              <w:jc w:val="right"/>
              <w:ind w:right="233"/>
              <w:spacing w:after="0"/>
              <w:rPr>
                <w:sz w:val="20"/>
                <w:szCs w:val="20"/>
                <w:color w:val="auto"/>
              </w:rPr>
            </w:pPr>
            <w:r>
              <w:rPr>
                <w:rFonts w:ascii="Arial" w:cs="Arial" w:eastAsia="Arial" w:hAnsi="Arial"/>
                <w:sz w:val="13"/>
                <w:szCs w:val="13"/>
                <w:color w:val="auto"/>
              </w:rPr>
              <w:t>449,171</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2024</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64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128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22,906</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798,503</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2025</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64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26,323</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128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917,620</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332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999999"/>
              <w:bottom w:val="single" w:sz="8" w:color="E5E5E5"/>
            </w:tcBorders>
            <w:shd w:val="clear" w:color="auto" w:fill="E5E5E5"/>
          </w:tcPr>
          <w:p>
            <w:pPr>
              <w:spacing w:after="0"/>
              <w:rPr>
                <w:sz w:val="19"/>
                <w:szCs w:val="19"/>
                <w:color w:val="auto"/>
              </w:rPr>
            </w:pPr>
          </w:p>
        </w:tc>
        <w:tc>
          <w:tcPr>
            <w:tcW w:w="660" w:type="dxa"/>
            <w:vAlign w:val="bottom"/>
            <w:tcBorders>
              <w:top w:val="single" w:sz="8" w:color="999999"/>
              <w:bottom w:val="single" w:sz="8" w:color="E5E5E5"/>
            </w:tcBorders>
            <w:shd w:val="clear" w:color="auto" w:fill="E5E5E5"/>
          </w:tcPr>
          <w:p>
            <w:pPr>
              <w:jc w:val="right"/>
              <w:ind w:right="213"/>
              <w:spacing w:after="0"/>
              <w:rPr>
                <w:sz w:val="20"/>
                <w:szCs w:val="20"/>
                <w:color w:val="auto"/>
              </w:rPr>
            </w:pPr>
            <w:r>
              <w:rPr>
                <w:rFonts w:ascii="Arial" w:cs="Arial" w:eastAsia="Arial" w:hAnsi="Arial"/>
                <w:sz w:val="13"/>
                <w:szCs w:val="13"/>
                <w:color w:val="auto"/>
              </w:rPr>
              <w:t>2025</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640" w:type="dxa"/>
            <w:vAlign w:val="bottom"/>
            <w:tcBorders>
              <w:top w:val="single" w:sz="8" w:color="999999"/>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999999"/>
              <w:bottom w:val="single" w:sz="8" w:color="E5E5E5"/>
            </w:tcBorders>
            <w:shd w:val="clear" w:color="auto" w:fill="E5E5E5"/>
          </w:tcPr>
          <w:p>
            <w:pPr>
              <w:spacing w:after="0"/>
              <w:rPr>
                <w:sz w:val="19"/>
                <w:szCs w:val="19"/>
                <w:color w:val="auto"/>
              </w:rPr>
            </w:pPr>
          </w:p>
        </w:tc>
        <w:tc>
          <w:tcPr>
            <w:tcW w:w="128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999999"/>
              <w:bottom w:val="single" w:sz="8" w:color="E5E5E5"/>
            </w:tcBorders>
            <w:shd w:val="clear" w:color="auto" w:fill="E5E5E5"/>
          </w:tcPr>
          <w:p>
            <w:pPr>
              <w:jc w:val="right"/>
              <w:ind w:right="233"/>
              <w:spacing w:after="0"/>
              <w:rPr>
                <w:sz w:val="20"/>
                <w:szCs w:val="20"/>
                <w:color w:val="auto"/>
              </w:rPr>
            </w:pPr>
            <w:r>
              <w:rPr>
                <w:rFonts w:ascii="Arial" w:cs="Arial" w:eastAsia="Arial" w:hAnsi="Arial"/>
                <w:sz w:val="13"/>
                <w:szCs w:val="13"/>
                <w:color w:val="auto"/>
              </w:rPr>
              <w:t>32,397</w:t>
            </w:r>
          </w:p>
        </w:tc>
        <w:tc>
          <w:tcPr>
            <w:tcW w:w="1200" w:type="dxa"/>
            <w:vAlign w:val="bottom"/>
            <w:tcBorders>
              <w:top w:val="single" w:sz="8" w:color="999999"/>
              <w:bottom w:val="single" w:sz="8" w:color="E5E5E5"/>
            </w:tcBorders>
            <w:shd w:val="clear" w:color="auto" w:fill="E5E5E5"/>
          </w:tcPr>
          <w:p>
            <w:pPr>
              <w:jc w:val="right"/>
              <w:ind w:right="13"/>
              <w:spacing w:after="0"/>
              <w:rPr>
                <w:sz w:val="20"/>
                <w:szCs w:val="20"/>
                <w:color w:val="auto"/>
              </w:rPr>
            </w:pPr>
            <w:r>
              <w:rPr>
                <w:rFonts w:ascii="Arial" w:cs="Arial" w:eastAsia="Arial" w:hAnsi="Arial"/>
                <w:sz w:val="13"/>
                <w:szCs w:val="13"/>
                <w:color w:val="auto"/>
              </w:rPr>
              <w:t>1,129,359</w:t>
            </w:r>
          </w:p>
        </w:tc>
        <w:tc>
          <w:tcPr>
            <w:tcW w:w="0" w:type="dxa"/>
            <w:vAlign w:val="bottom"/>
          </w:tcPr>
          <w:p>
            <w:pPr>
              <w:spacing w:after="0"/>
              <w:rPr>
                <w:sz w:val="1"/>
                <w:szCs w:val="1"/>
                <w:color w:val="auto"/>
              </w:rPr>
            </w:pPr>
          </w:p>
        </w:tc>
      </w:tr>
      <w:tr>
        <w:trPr>
          <w:trHeight w:val="198"/>
        </w:trPr>
        <w:tc>
          <w:tcPr>
            <w:tcW w:w="332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David C. Kuo</w:t>
            </w:r>
          </w:p>
        </w:tc>
        <w:tc>
          <w:tcPr>
            <w:tcW w:w="960" w:type="dxa"/>
            <w:vAlign w:val="bottom"/>
            <w:tcBorders>
              <w:top w:val="single" w:sz="8" w:color="auto"/>
            </w:tcBorders>
            <w:gridSpan w:val="2"/>
          </w:tcPr>
          <w:p>
            <w:pPr>
              <w:jc w:val="right"/>
              <w:ind w:right="213"/>
              <w:spacing w:after="0"/>
              <w:rPr>
                <w:sz w:val="20"/>
                <w:szCs w:val="20"/>
                <w:color w:val="auto"/>
              </w:rPr>
            </w:pPr>
            <w:r>
              <w:rPr>
                <w:rFonts w:ascii="Arial" w:cs="Arial" w:eastAsia="Arial" w:hAnsi="Arial"/>
                <w:sz w:val="13"/>
                <w:szCs w:val="13"/>
                <w:color w:val="auto"/>
              </w:rPr>
              <w:t>2022</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2,791</w:t>
            </w:r>
          </w:p>
        </w:tc>
        <w:tc>
          <w:tcPr>
            <w:tcW w:w="1560" w:type="dxa"/>
            <w:vAlign w:val="bottom"/>
            <w:tcBorders>
              <w:top w:val="single" w:sz="8" w:color="auto"/>
            </w:tcBorders>
            <w:gridSpan w:val="2"/>
          </w:tcPr>
          <w:p>
            <w:pPr>
              <w:jc w:val="right"/>
              <w:ind w:right="233"/>
              <w:spacing w:after="0"/>
              <w:rPr>
                <w:sz w:val="20"/>
                <w:szCs w:val="20"/>
                <w:color w:val="auto"/>
              </w:rPr>
            </w:pPr>
            <w:r>
              <w:rPr>
                <w:rFonts w:ascii="Arial" w:cs="Arial" w:eastAsia="Arial" w:hAnsi="Arial"/>
                <w:sz w:val="13"/>
                <w:szCs w:val="13"/>
                <w:color w:val="auto"/>
              </w:rPr>
              <w:t>97,294</w:t>
            </w:r>
          </w:p>
        </w:tc>
        <w:tc>
          <w:tcPr>
            <w:tcW w:w="144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2"/>
        </w:trPr>
        <w:tc>
          <w:tcPr>
            <w:tcW w:w="3320" w:type="dxa"/>
            <w:vAlign w:val="bottom"/>
          </w:tcPr>
          <w:p>
            <w:pPr>
              <w:spacing w:after="0"/>
              <w:rPr>
                <w:sz w:val="4"/>
                <w:szCs w:val="4"/>
                <w:color w:val="auto"/>
              </w:rPr>
            </w:pPr>
          </w:p>
        </w:tc>
        <w:tc>
          <w:tcPr>
            <w:tcW w:w="960" w:type="dxa"/>
            <w:vAlign w:val="bottom"/>
            <w:tcBorders>
              <w:bottom w:val="single" w:sz="8" w:color="999999"/>
            </w:tcBorders>
            <w:gridSpan w:val="2"/>
          </w:tcPr>
          <w:p>
            <w:pPr>
              <w:spacing w:after="0"/>
              <w:rPr>
                <w:sz w:val="4"/>
                <w:szCs w:val="4"/>
                <w:color w:val="auto"/>
              </w:rPr>
            </w:pPr>
          </w:p>
        </w:tc>
        <w:tc>
          <w:tcPr>
            <w:tcW w:w="920" w:type="dxa"/>
            <w:vAlign w:val="bottom"/>
            <w:tcBorders>
              <w:bottom w:val="single" w:sz="8" w:color="999999"/>
            </w:tcBorders>
            <w:gridSpan w:val="2"/>
          </w:tcPr>
          <w:p>
            <w:pPr>
              <w:spacing w:after="0"/>
              <w:rPr>
                <w:sz w:val="4"/>
                <w:szCs w:val="4"/>
                <w:color w:val="auto"/>
              </w:rPr>
            </w:pPr>
          </w:p>
        </w:tc>
        <w:tc>
          <w:tcPr>
            <w:tcW w:w="1560" w:type="dxa"/>
            <w:vAlign w:val="bottom"/>
            <w:tcBorders>
              <w:bottom w:val="single" w:sz="8" w:color="999999"/>
            </w:tcBorders>
            <w:gridSpan w:val="2"/>
          </w:tcPr>
          <w:p>
            <w:pPr>
              <w:spacing w:after="0"/>
              <w:rPr>
                <w:sz w:val="4"/>
                <w:szCs w:val="4"/>
                <w:color w:val="auto"/>
              </w:rPr>
            </w:pPr>
          </w:p>
        </w:tc>
        <w:tc>
          <w:tcPr>
            <w:tcW w:w="1440" w:type="dxa"/>
            <w:vAlign w:val="bottom"/>
            <w:tcBorders>
              <w:bottom w:val="single" w:sz="8" w:color="999999"/>
            </w:tcBorders>
          </w:tcPr>
          <w:p>
            <w:pPr>
              <w:spacing w:after="0"/>
              <w:rPr>
                <w:sz w:val="4"/>
                <w:szCs w:val="4"/>
                <w:color w:val="auto"/>
              </w:rPr>
            </w:pPr>
          </w:p>
        </w:tc>
        <w:tc>
          <w:tcPr>
            <w:tcW w:w="120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24,466</w:t>
            </w:r>
          </w:p>
        </w:tc>
        <w:tc>
          <w:tcPr>
            <w:tcW w:w="1560" w:type="dxa"/>
            <w:vAlign w:val="bottom"/>
            <w:gridSpan w:val="2"/>
          </w:tcPr>
          <w:p>
            <w:pPr>
              <w:jc w:val="right"/>
              <w:ind w:right="233"/>
              <w:spacing w:after="0"/>
              <w:rPr>
                <w:sz w:val="20"/>
                <w:szCs w:val="20"/>
                <w:color w:val="auto"/>
              </w:rPr>
            </w:pPr>
            <w:r>
              <w:rPr>
                <w:rFonts w:ascii="Arial" w:cs="Arial" w:eastAsia="Arial" w:hAnsi="Arial"/>
                <w:sz w:val="13"/>
                <w:szCs w:val="13"/>
                <w:color w:val="auto"/>
              </w:rPr>
              <w:t>852,885</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78,291</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2,729,224</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920" w:type="dxa"/>
            <w:vAlign w:val="bottom"/>
            <w:tcBorders>
              <w:bottom w:val="single" w:sz="8" w:color="999999"/>
            </w:tcBorders>
            <w:gridSpan w:val="2"/>
          </w:tcPr>
          <w:p>
            <w:pPr>
              <w:spacing w:after="0"/>
              <w:rPr>
                <w:sz w:val="2"/>
                <w:szCs w:val="2"/>
                <w:color w:val="auto"/>
              </w:rPr>
            </w:pPr>
          </w:p>
        </w:tc>
        <w:tc>
          <w:tcPr>
            <w:tcW w:w="1560" w:type="dxa"/>
            <w:vAlign w:val="bottom"/>
            <w:tcBorders>
              <w:bottom w:val="single" w:sz="8" w:color="999999"/>
            </w:tcBorders>
            <w:gridSpan w:val="2"/>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2024</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11,108</w:t>
            </w:r>
          </w:p>
        </w:tc>
        <w:tc>
          <w:tcPr>
            <w:tcW w:w="1560" w:type="dxa"/>
            <w:vAlign w:val="bottom"/>
            <w:gridSpan w:val="2"/>
          </w:tcPr>
          <w:p>
            <w:pPr>
              <w:jc w:val="right"/>
              <w:ind w:right="233"/>
              <w:spacing w:after="0"/>
              <w:rPr>
                <w:sz w:val="20"/>
                <w:szCs w:val="20"/>
                <w:color w:val="auto"/>
              </w:rPr>
            </w:pPr>
            <w:r>
              <w:rPr>
                <w:rFonts w:ascii="Arial" w:cs="Arial" w:eastAsia="Arial" w:hAnsi="Arial"/>
                <w:sz w:val="13"/>
                <w:szCs w:val="13"/>
                <w:color w:val="auto"/>
              </w:rPr>
              <w:t>387,225</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2024</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19,747</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688,380</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920" w:type="dxa"/>
            <w:vAlign w:val="bottom"/>
            <w:tcBorders>
              <w:bottom w:val="single" w:sz="8" w:color="999999"/>
            </w:tcBorders>
            <w:gridSpan w:val="2"/>
          </w:tcPr>
          <w:p>
            <w:pPr>
              <w:spacing w:after="0"/>
              <w:rPr>
                <w:sz w:val="2"/>
                <w:szCs w:val="2"/>
                <w:color w:val="auto"/>
              </w:rPr>
            </w:pPr>
          </w:p>
        </w:tc>
        <w:tc>
          <w:tcPr>
            <w:tcW w:w="1560" w:type="dxa"/>
            <w:vAlign w:val="bottom"/>
            <w:tcBorders>
              <w:bottom w:val="single" w:sz="8" w:color="999999"/>
            </w:tcBorders>
            <w:gridSpan w:val="2"/>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17,549</w:t>
            </w:r>
          </w:p>
        </w:tc>
        <w:tc>
          <w:tcPr>
            <w:tcW w:w="1560" w:type="dxa"/>
            <w:vAlign w:val="bottom"/>
            <w:gridSpan w:val="2"/>
          </w:tcPr>
          <w:p>
            <w:pPr>
              <w:jc w:val="right"/>
              <w:ind w:right="233"/>
              <w:spacing w:after="0"/>
              <w:rPr>
                <w:sz w:val="20"/>
                <w:szCs w:val="20"/>
                <w:color w:val="auto"/>
              </w:rPr>
            </w:pPr>
            <w:r>
              <w:rPr>
                <w:rFonts w:ascii="Arial" w:cs="Arial" w:eastAsia="Arial" w:hAnsi="Arial"/>
                <w:sz w:val="13"/>
                <w:szCs w:val="13"/>
                <w:color w:val="auto"/>
              </w:rPr>
              <w:t>611,758</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960" w:type="dxa"/>
            <w:vAlign w:val="bottom"/>
            <w:tcBorders>
              <w:bottom w:val="single" w:sz="8" w:color="999999"/>
            </w:tcBorders>
            <w:gridSpan w:val="2"/>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28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3"/>
                <w:szCs w:val="13"/>
                <w:color w:val="auto"/>
              </w:rPr>
              <w:t>2025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33"/>
              <w:spacing w:after="0"/>
              <w:rPr>
                <w:sz w:val="20"/>
                <w:szCs w:val="20"/>
                <w:color w:val="auto"/>
              </w:rPr>
            </w:pPr>
            <w:r>
              <w:rPr>
                <w:rFonts w:ascii="Arial" w:cs="Arial" w:eastAsia="Arial" w:hAnsi="Arial"/>
                <w:sz w:val="13"/>
                <w:szCs w:val="13"/>
                <w:color w:val="auto"/>
              </w:rPr>
              <w:t>21,598</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752,906</w:t>
            </w:r>
          </w:p>
        </w:tc>
        <w:tc>
          <w:tcPr>
            <w:tcW w:w="0" w:type="dxa"/>
            <w:vAlign w:val="bottom"/>
          </w:tcPr>
          <w:p>
            <w:pPr>
              <w:spacing w:after="0"/>
              <w:rPr>
                <w:sz w:val="1"/>
                <w:szCs w:val="1"/>
                <w:color w:val="auto"/>
              </w:rPr>
            </w:pPr>
          </w:p>
        </w:tc>
      </w:tr>
      <w:tr>
        <w:trPr>
          <w:trHeight w:val="39"/>
        </w:trPr>
        <w:tc>
          <w:tcPr>
            <w:tcW w:w="3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-6865620</wp:posOffset>
            </wp:positionV>
            <wp:extent cx="32486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4866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213995</wp:posOffset>
            </wp:positionV>
            <wp:extent cx="334010" cy="162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49"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41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7" w:lineRule="exact"/>
        <w:rPr>
          <w:sz w:val="20"/>
          <w:szCs w:val="20"/>
          <w:color w:val="auto"/>
        </w:rPr>
      </w:pPr>
    </w:p>
    <w:p>
      <w:pPr>
        <w:ind w:left="1240" w:right="80" w:hanging="358"/>
        <w:spacing w:after="0" w:line="281" w:lineRule="auto"/>
        <w:tabs>
          <w:tab w:leader="none" w:pos="12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reported reflect RSUs granted under our 2021 Plan, including RSUs granted in 2022, 2023, 2024 and 2025 in settlement of the awards approved by the compensation committee in the prior year that were denominated in dollars and to be settled in RSUs following achievement of the annual performance goals. The RSUs vest in substantially equal installments each quarter over a four-year period commencing in January of the specified calendar year, subject to continued service through each applicable vesting date.</w:t>
      </w:r>
    </w:p>
    <w:p>
      <w:pPr>
        <w:spacing w:after="0" w:line="42" w:lineRule="exact"/>
        <w:rPr>
          <w:rFonts w:ascii="Arial" w:cs="Arial" w:eastAsia="Arial" w:hAnsi="Arial"/>
          <w:sz w:val="13"/>
          <w:szCs w:val="13"/>
          <w:color w:val="auto"/>
        </w:rPr>
      </w:pPr>
    </w:p>
    <w:p>
      <w:pPr>
        <w:ind w:left="1240" w:right="320" w:hanging="358"/>
        <w:spacing w:after="0" w:line="302" w:lineRule="auto"/>
        <w:tabs>
          <w:tab w:leader="none" w:pos="12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market value of the stock awards was calculated using the closing price of our common stock on December 31, 2025 (the last trading day of 2025) of $34.86.</w:t>
      </w:r>
    </w:p>
    <w:p>
      <w:pPr>
        <w:spacing w:after="0" w:line="28" w:lineRule="exact"/>
        <w:rPr>
          <w:rFonts w:ascii="Arial" w:cs="Arial" w:eastAsia="Arial" w:hAnsi="Arial"/>
          <w:sz w:val="13"/>
          <w:szCs w:val="13"/>
          <w:color w:val="auto"/>
        </w:rPr>
      </w:pPr>
    </w:p>
    <w:p>
      <w:pPr>
        <w:ind w:left="1240" w:right="120" w:hanging="358"/>
        <w:spacing w:after="0" w:line="302" w:lineRule="auto"/>
        <w:tabs>
          <w:tab w:leader="none" w:pos="12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reported reflect PSUs granted in the specified calendar year under our 2021 Plan based on achieving target performance goals, which would result in 100% of the subject shares vesting.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2025 Option Exercises and Stock Vested</w:t>
      </w:r>
    </w:p>
    <w:p>
      <w:pPr>
        <w:spacing w:after="0" w:line="119" w:lineRule="exact"/>
        <w:rPr>
          <w:sz w:val="20"/>
          <w:szCs w:val="20"/>
          <w:color w:val="auto"/>
        </w:rPr>
      </w:pPr>
    </w:p>
    <w:p>
      <w:pPr>
        <w:ind w:left="660" w:right="180"/>
        <w:spacing w:after="0" w:line="286" w:lineRule="auto"/>
        <w:rPr>
          <w:sz w:val="20"/>
          <w:szCs w:val="20"/>
          <w:color w:val="auto"/>
        </w:rPr>
      </w:pPr>
      <w:r>
        <w:rPr>
          <w:rFonts w:ascii="Arial" w:cs="Arial" w:eastAsia="Arial" w:hAnsi="Arial"/>
          <w:sz w:val="16"/>
          <w:szCs w:val="16"/>
          <w:color w:val="auto"/>
        </w:rPr>
        <w:t>The following table sets forth information regarding stock awards that vested for each of our NEOs during 2025. None of our NEOs exercised stock options in 2025.</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289"/>
        </w:trPr>
        <w:tc>
          <w:tcPr>
            <w:tcW w:w="6940" w:type="dxa"/>
            <w:vAlign w:val="bottom"/>
            <w:shd w:val="clear" w:color="auto" w:fill="4834BA"/>
          </w:tcPr>
          <w:p>
            <w:pPr>
              <w:spacing w:after="0"/>
              <w:rPr>
                <w:sz w:val="24"/>
                <w:szCs w:val="24"/>
                <w:color w:val="auto"/>
              </w:rPr>
            </w:pPr>
          </w:p>
        </w:tc>
        <w:tc>
          <w:tcPr>
            <w:tcW w:w="1240" w:type="dxa"/>
            <w:vAlign w:val="bottom"/>
            <w:shd w:val="clear" w:color="auto" w:fill="4834BA"/>
          </w:tcPr>
          <w:p>
            <w:pPr>
              <w:spacing w:after="0"/>
              <w:rPr>
                <w:sz w:val="24"/>
                <w:szCs w:val="24"/>
                <w:color w:val="auto"/>
              </w:rPr>
            </w:pPr>
          </w:p>
        </w:tc>
        <w:tc>
          <w:tcPr>
            <w:tcW w:w="122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263"/>
        </w:trPr>
        <w:tc>
          <w:tcPr>
            <w:tcW w:w="6940" w:type="dxa"/>
            <w:vAlign w:val="bottom"/>
            <w:shd w:val="clear" w:color="auto" w:fill="4834BA"/>
          </w:tcPr>
          <w:p>
            <w:pPr>
              <w:spacing w:after="0"/>
              <w:rPr>
                <w:sz w:val="22"/>
                <w:szCs w:val="22"/>
                <w:color w:val="auto"/>
              </w:rPr>
            </w:pPr>
          </w:p>
        </w:tc>
        <w:tc>
          <w:tcPr>
            <w:tcW w:w="1240" w:type="dxa"/>
            <w:vAlign w:val="bottom"/>
            <w:shd w:val="clear" w:color="auto" w:fill="4834BA"/>
          </w:tcPr>
          <w:p>
            <w:pPr>
              <w:jc w:val="right"/>
              <w:ind w:right="99"/>
              <w:spacing w:after="0"/>
              <w:rPr>
                <w:sz w:val="20"/>
                <w:szCs w:val="20"/>
                <w:color w:val="auto"/>
              </w:rPr>
            </w:pPr>
            <w:r>
              <w:rPr>
                <w:rFonts w:ascii="Arial" w:cs="Arial" w:eastAsia="Arial" w:hAnsi="Arial"/>
                <w:sz w:val="16"/>
                <w:szCs w:val="16"/>
                <w:b w:val="1"/>
                <w:bCs w:val="1"/>
                <w:color w:val="FFFFFF"/>
              </w:rPr>
              <w:t>Number of</w:t>
            </w:r>
          </w:p>
        </w:tc>
        <w:tc>
          <w:tcPr>
            <w:tcW w:w="1220" w:type="dxa"/>
            <w:vAlign w:val="bottom"/>
            <w:vMerge w:val="restart"/>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Value</w:t>
            </w:r>
          </w:p>
        </w:tc>
        <w:tc>
          <w:tcPr>
            <w:tcW w:w="0" w:type="dxa"/>
            <w:vAlign w:val="bottom"/>
          </w:tcPr>
          <w:p>
            <w:pPr>
              <w:spacing w:after="0"/>
              <w:rPr>
                <w:sz w:val="1"/>
                <w:szCs w:val="1"/>
                <w:color w:val="auto"/>
              </w:rPr>
            </w:pPr>
          </w:p>
        </w:tc>
      </w:tr>
      <w:tr>
        <w:trPr>
          <w:trHeight w:val="175"/>
        </w:trPr>
        <w:tc>
          <w:tcPr>
            <w:tcW w:w="6940" w:type="dxa"/>
            <w:vAlign w:val="bottom"/>
            <w:shd w:val="clear" w:color="auto" w:fill="4834BA"/>
          </w:tcPr>
          <w:p>
            <w:pPr>
              <w:spacing w:after="0"/>
              <w:rPr>
                <w:sz w:val="15"/>
                <w:szCs w:val="15"/>
                <w:color w:val="auto"/>
              </w:rPr>
            </w:pPr>
          </w:p>
        </w:tc>
        <w:tc>
          <w:tcPr>
            <w:tcW w:w="1240" w:type="dxa"/>
            <w:vAlign w:val="bottom"/>
            <w:shd w:val="clear" w:color="auto" w:fill="4834BA"/>
          </w:tcPr>
          <w:p>
            <w:pPr>
              <w:jc w:val="right"/>
              <w:ind w:right="99"/>
              <w:spacing w:after="0" w:line="175" w:lineRule="exact"/>
              <w:rPr>
                <w:sz w:val="20"/>
                <w:szCs w:val="20"/>
                <w:color w:val="auto"/>
              </w:rPr>
            </w:pPr>
            <w:r>
              <w:rPr>
                <w:rFonts w:ascii="Arial" w:cs="Arial" w:eastAsia="Arial" w:hAnsi="Arial"/>
                <w:sz w:val="16"/>
                <w:szCs w:val="16"/>
                <w:b w:val="1"/>
                <w:bCs w:val="1"/>
                <w:color w:val="FFFFFF"/>
              </w:rPr>
              <w:t>Shares</w:t>
            </w:r>
          </w:p>
        </w:tc>
        <w:tc>
          <w:tcPr>
            <w:tcW w:w="1220" w:type="dxa"/>
            <w:vAlign w:val="bottom"/>
            <w:vMerge w:val="continue"/>
            <w:shd w:val="clear" w:color="auto" w:fill="4834BA"/>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940" w:type="dxa"/>
            <w:vAlign w:val="bottom"/>
            <w:shd w:val="clear" w:color="auto" w:fill="4834BA"/>
          </w:tcPr>
          <w:p>
            <w:pPr>
              <w:spacing w:after="0"/>
              <w:rPr>
                <w:sz w:val="14"/>
                <w:szCs w:val="14"/>
                <w:color w:val="auto"/>
              </w:rPr>
            </w:pPr>
          </w:p>
        </w:tc>
        <w:tc>
          <w:tcPr>
            <w:tcW w:w="1240" w:type="dxa"/>
            <w:vAlign w:val="bottom"/>
            <w:shd w:val="clear" w:color="auto" w:fill="4834BA"/>
          </w:tcPr>
          <w:p>
            <w:pPr>
              <w:jc w:val="right"/>
              <w:ind w:right="99"/>
              <w:spacing w:after="0" w:line="171" w:lineRule="exact"/>
              <w:rPr>
                <w:sz w:val="20"/>
                <w:szCs w:val="20"/>
                <w:color w:val="auto"/>
              </w:rPr>
            </w:pPr>
            <w:r>
              <w:rPr>
                <w:rFonts w:ascii="Arial" w:cs="Arial" w:eastAsia="Arial" w:hAnsi="Arial"/>
                <w:sz w:val="16"/>
                <w:szCs w:val="16"/>
                <w:b w:val="1"/>
                <w:bCs w:val="1"/>
                <w:color w:val="FFFFFF"/>
              </w:rPr>
              <w:t>Acquired on</w:t>
            </w:r>
          </w:p>
        </w:tc>
        <w:tc>
          <w:tcPr>
            <w:tcW w:w="1220" w:type="dxa"/>
            <w:vAlign w:val="bottom"/>
            <w:shd w:val="clear" w:color="auto" w:fill="4834BA"/>
          </w:tcPr>
          <w:p>
            <w:pPr>
              <w:jc w:val="right"/>
              <w:ind w:right="19"/>
              <w:spacing w:after="0" w:line="171" w:lineRule="exact"/>
              <w:rPr>
                <w:sz w:val="20"/>
                <w:szCs w:val="20"/>
                <w:color w:val="auto"/>
              </w:rPr>
            </w:pPr>
            <w:r>
              <w:rPr>
                <w:rFonts w:ascii="Arial" w:cs="Arial" w:eastAsia="Arial" w:hAnsi="Arial"/>
                <w:sz w:val="16"/>
                <w:szCs w:val="16"/>
                <w:b w:val="1"/>
                <w:bCs w:val="1"/>
                <w:color w:val="FFFFFF"/>
              </w:rPr>
              <w:t>Realized on</w:t>
            </w:r>
          </w:p>
        </w:tc>
        <w:tc>
          <w:tcPr>
            <w:tcW w:w="0" w:type="dxa"/>
            <w:vAlign w:val="bottom"/>
          </w:tcPr>
          <w:p>
            <w:pPr>
              <w:spacing w:after="0"/>
              <w:rPr>
                <w:sz w:val="1"/>
                <w:szCs w:val="1"/>
                <w:color w:val="auto"/>
              </w:rPr>
            </w:pPr>
          </w:p>
        </w:tc>
      </w:tr>
      <w:tr>
        <w:trPr>
          <w:trHeight w:val="248"/>
        </w:trPr>
        <w:tc>
          <w:tcPr>
            <w:tcW w:w="6940" w:type="dxa"/>
            <w:vAlign w:val="bottom"/>
            <w:shd w:val="clear" w:color="auto" w:fill="4834BA"/>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1240" w:type="dxa"/>
            <w:vAlign w:val="bottom"/>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rPr>
              <w:t>Vesting (#)</w:t>
            </w:r>
          </w:p>
        </w:tc>
        <w:tc>
          <w:tcPr>
            <w:tcW w:w="122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Vesting ($)</w:t>
            </w:r>
            <w:r>
              <w:rPr>
                <w:rFonts w:ascii="Arial" w:cs="Arial" w:eastAsia="Arial" w:hAnsi="Arial"/>
                <w:sz w:val="19"/>
                <w:szCs w:val="19"/>
                <w:b w:val="1"/>
                <w:bCs w:val="1"/>
                <w:color w:val="FFFFFF"/>
                <w:vertAlign w:val="superscript"/>
              </w:rPr>
              <w:t>(1)</w:t>
            </w:r>
          </w:p>
        </w:tc>
        <w:tc>
          <w:tcPr>
            <w:tcW w:w="0" w:type="dxa"/>
            <w:vAlign w:val="bottom"/>
          </w:tcPr>
          <w:p>
            <w:pPr>
              <w:spacing w:after="0"/>
              <w:rPr>
                <w:sz w:val="1"/>
                <w:szCs w:val="1"/>
                <w:color w:val="auto"/>
              </w:rPr>
            </w:pPr>
          </w:p>
        </w:tc>
      </w:tr>
      <w:tr>
        <w:trPr>
          <w:trHeight w:val="228"/>
        </w:trPr>
        <w:tc>
          <w:tcPr>
            <w:tcW w:w="6940" w:type="dxa"/>
            <w:vAlign w:val="bottom"/>
          </w:tcPr>
          <w:p>
            <w:pPr>
              <w:ind w:left="80"/>
              <w:spacing w:after="0"/>
              <w:rPr>
                <w:sz w:val="20"/>
                <w:szCs w:val="20"/>
                <w:color w:val="auto"/>
              </w:rPr>
            </w:pPr>
            <w:r>
              <w:rPr>
                <w:rFonts w:ascii="Arial" w:cs="Arial" w:eastAsia="Arial" w:hAnsi="Arial"/>
                <w:sz w:val="16"/>
                <w:szCs w:val="16"/>
                <w:color w:val="auto"/>
              </w:rPr>
              <w:t>Chih-Hsiang (Thompson) Lin</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669,180</w:t>
            </w:r>
          </w:p>
        </w:tc>
        <w:tc>
          <w:tcPr>
            <w:tcW w:w="1220" w:type="dxa"/>
            <w:vAlign w:val="bottom"/>
          </w:tcPr>
          <w:p>
            <w:pPr>
              <w:jc w:val="right"/>
              <w:spacing w:after="0"/>
              <w:rPr>
                <w:sz w:val="20"/>
                <w:szCs w:val="20"/>
                <w:color w:val="auto"/>
              </w:rPr>
            </w:pPr>
            <w:r>
              <w:rPr>
                <w:rFonts w:ascii="Arial" w:cs="Arial" w:eastAsia="Arial" w:hAnsi="Arial"/>
                <w:sz w:val="16"/>
                <w:szCs w:val="16"/>
                <w:color w:val="auto"/>
              </w:rPr>
              <w:t>12,220,399</w:t>
            </w:r>
          </w:p>
        </w:tc>
        <w:tc>
          <w:tcPr>
            <w:tcW w:w="0" w:type="dxa"/>
            <w:vAlign w:val="bottom"/>
          </w:tcPr>
          <w:p>
            <w:pPr>
              <w:spacing w:after="0"/>
              <w:rPr>
                <w:sz w:val="1"/>
                <w:szCs w:val="1"/>
                <w:color w:val="auto"/>
              </w:rPr>
            </w:pPr>
          </w:p>
        </w:tc>
      </w:tr>
      <w:tr>
        <w:trPr>
          <w:trHeight w:val="29"/>
        </w:trPr>
        <w:tc>
          <w:tcPr>
            <w:tcW w:w="6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Stefan J. Murry</w:t>
            </w:r>
          </w:p>
        </w:tc>
        <w:tc>
          <w:tcPr>
            <w:tcW w:w="124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233,832</w:t>
            </w: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4,264,771</w:t>
            </w:r>
          </w:p>
        </w:tc>
        <w:tc>
          <w:tcPr>
            <w:tcW w:w="0" w:type="dxa"/>
            <w:vAlign w:val="bottom"/>
          </w:tcPr>
          <w:p>
            <w:pPr>
              <w:spacing w:after="0"/>
              <w:rPr>
                <w:sz w:val="1"/>
                <w:szCs w:val="1"/>
                <w:color w:val="auto"/>
              </w:rPr>
            </w:pPr>
          </w:p>
        </w:tc>
      </w:tr>
      <w:tr>
        <w:trPr>
          <w:trHeight w:val="221"/>
        </w:trPr>
        <w:tc>
          <w:tcPr>
            <w:tcW w:w="69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Hung-Lun (Fred) Chang</w:t>
            </w: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212,556</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3,870,924</w:t>
            </w:r>
          </w:p>
        </w:tc>
        <w:tc>
          <w:tcPr>
            <w:tcW w:w="0" w:type="dxa"/>
            <w:vAlign w:val="bottom"/>
          </w:tcPr>
          <w:p>
            <w:pPr>
              <w:spacing w:after="0"/>
              <w:rPr>
                <w:sz w:val="1"/>
                <w:szCs w:val="1"/>
                <w:color w:val="auto"/>
              </w:rPr>
            </w:pPr>
          </w:p>
        </w:tc>
      </w:tr>
      <w:tr>
        <w:trPr>
          <w:trHeight w:val="29"/>
        </w:trPr>
        <w:tc>
          <w:tcPr>
            <w:tcW w:w="6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Shu-Hua (Joshua) Yeh</w:t>
            </w:r>
          </w:p>
        </w:tc>
        <w:tc>
          <w:tcPr>
            <w:tcW w:w="124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207,970</w:t>
            </w: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3,754,687</w:t>
            </w:r>
          </w:p>
        </w:tc>
        <w:tc>
          <w:tcPr>
            <w:tcW w:w="0" w:type="dxa"/>
            <w:vAlign w:val="bottom"/>
          </w:tcPr>
          <w:p>
            <w:pPr>
              <w:spacing w:after="0"/>
              <w:rPr>
                <w:sz w:val="1"/>
                <w:szCs w:val="1"/>
                <w:color w:val="auto"/>
              </w:rPr>
            </w:pPr>
          </w:p>
        </w:tc>
      </w:tr>
      <w:tr>
        <w:trPr>
          <w:trHeight w:val="221"/>
        </w:trPr>
        <w:tc>
          <w:tcPr>
            <w:tcW w:w="69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David C. Kuo</w:t>
            </w: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136,082</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2,501,292</w:t>
            </w:r>
          </w:p>
        </w:tc>
        <w:tc>
          <w:tcPr>
            <w:tcW w:w="0" w:type="dxa"/>
            <w:vAlign w:val="bottom"/>
          </w:tcPr>
          <w:p>
            <w:pPr>
              <w:spacing w:after="0"/>
              <w:rPr>
                <w:sz w:val="1"/>
                <w:szCs w:val="1"/>
                <w:color w:val="auto"/>
              </w:rPr>
            </w:pPr>
          </w:p>
        </w:tc>
      </w:tr>
      <w:tr>
        <w:trPr>
          <w:trHeight w:val="56"/>
        </w:trPr>
        <w:tc>
          <w:tcPr>
            <w:tcW w:w="69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-1388110</wp:posOffset>
            </wp:positionV>
            <wp:extent cx="15684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60" w:lineRule="exact"/>
        <w:rPr>
          <w:sz w:val="20"/>
          <w:szCs w:val="20"/>
          <w:color w:val="auto"/>
        </w:rPr>
      </w:pPr>
    </w:p>
    <w:p>
      <w:pPr>
        <w:ind w:left="1240" w:right="100" w:hanging="358"/>
        <w:spacing w:after="0" w:line="304" w:lineRule="auto"/>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value realized on vesting of stock awards was calculated using the closing price of our common stock on the applicable vesting date for each award.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Potential Payments Upon Termination and Change of Control</w:t>
      </w:r>
    </w:p>
    <w:p>
      <w:pPr>
        <w:spacing w:after="0" w:line="112"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The following discussion reflects the payments and benefits that each of the NEOs would have been eligible to receive in the event of certain terminations, assuming that each such termination occurred on December 31, 2025.</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Employment Agreements</w:t>
      </w:r>
    </w:p>
    <w:p>
      <w:pPr>
        <w:spacing w:after="0" w:line="127"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We maintain employment agreements with Dr. Lin, Dr. Murry, Dr. Chang, Mr. Yeh and Mr. Kuo. The employment agreement with Dr. Lin provides that, if our Board terminates his employment for any reason other than Cause or if he resigns for Good Reason outside of the Change of Control Period, each as defined below, he will be entitled to receive (i) a payment equal to one year’s base salary as in effect immediately prior to termination, (ii) a payment equal to his full target bonus as in effect immediately prior to termination and (iii) $15,000 (which may be used for benefit continuation under COBRA or for any other purpose), which amounts will be paid periodically in installments over the 12 months following his separation from service. The employment agreements with</w:t>
      </w:r>
    </w:p>
    <w:p>
      <w:pPr>
        <w:ind w:left="660" w:right="60"/>
        <w:spacing w:after="0" w:line="250" w:lineRule="auto"/>
        <w:rPr>
          <w:sz w:val="20"/>
          <w:szCs w:val="20"/>
          <w:color w:val="auto"/>
        </w:rPr>
      </w:pPr>
      <w:r>
        <w:rPr>
          <w:rFonts w:ascii="Arial" w:cs="Arial" w:eastAsia="Arial" w:hAnsi="Arial"/>
          <w:sz w:val="16"/>
          <w:szCs w:val="16"/>
          <w:color w:val="auto"/>
        </w:rPr>
        <w:t>Dr. Murry, Dr. Chang, Mr. Yeh and Mr. Kuo each provide that, if our Board terminates his employment for any reason other than Cause or if he resigns for Good Reason outside of the Change of Control Period (each as defined below), he will be entitled to receive (i) a payment equal to fifty percent (50%) of base salary as in effect immediately prior to termination, (ii) a payment equal to fifty percent (50%) of his full target bonus as in effect immediately prior to termination and (iii) $15,000, (which may be used for benefit continuation under COBRA or for any other purpose). The severance benefits that may arise as a result of a termination prior to a Change of Control will be paid in a lump sum.</w:t>
      </w:r>
    </w:p>
    <w:p>
      <w:pPr>
        <w:spacing w:after="0" w:line="76" w:lineRule="exact"/>
        <w:rPr>
          <w:sz w:val="20"/>
          <w:szCs w:val="20"/>
          <w:color w:val="auto"/>
        </w:rPr>
      </w:pPr>
    </w:p>
    <w:p>
      <w:pPr>
        <w:ind w:left="660" w:right="20"/>
        <w:spacing w:after="0" w:line="249" w:lineRule="auto"/>
        <w:rPr>
          <w:sz w:val="20"/>
          <w:szCs w:val="20"/>
          <w:color w:val="auto"/>
        </w:rPr>
      </w:pPr>
      <w:r>
        <w:rPr>
          <w:rFonts w:ascii="Arial" w:cs="Arial" w:eastAsia="Arial" w:hAnsi="Arial"/>
          <w:sz w:val="16"/>
          <w:szCs w:val="16"/>
          <w:color w:val="auto"/>
        </w:rPr>
        <w:t>Dr. Lin, Dr. Murry, Dr. Chang, Mr. Yeh and Mr. Kuo, each have provisions in their employment agreements that provide for “double-trigger” severance. Specifically, if, within the Change of Control Period, the executive’s employment is terminated by the executive for Good Reason or by our Company other than for Cause, then in lieu of the severance benefits described in the preceding paragraph, the executive will be entitled to receive the following: (i) a lump sum payment equal to one year’s base salary as in effect immediately prior to termination; (ii) a lump sum payment equal to his full target bonus as in effect immediately prior to termination; (iii) $10,000 ($15,000 for Dr. Murry, Dr. Chang, Mr. Yeh and Mr. Kuo) which may be used for benefit continuation under COBRA or for any other purpose; and (iv) accelerated vesting of the executive’s awards granted under any incentive share plan or equity incentive plan of the Company, with all vested options becoming exercisable for an extended period following termination of employment. For Dr. Murry, Dr. Chang, Mr. Yeh and Mr. Kuo, the severance benefits that may arise as a result of termination during the Change of Control Period will be paid in a lump sum. For Dr. Lin, the severance benefits that may arise as a result of termination within one year following a Change of Control will be paid in a lump sum. Additionally, Dr. Lin’s employment agreement provides him with a potential tax gross-up payment to make him whole for any excise taxes that he would owe resulting from the application of the excise tax provisions under Section 280G of the IRC. None of the other employment agreements with our executive officers provide any right to a tax gross-up.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206375</wp:posOffset>
            </wp:positionV>
            <wp:extent cx="334010" cy="162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36"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42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jc w:val="both"/>
        <w:ind w:left="660" w:right="80"/>
        <w:spacing w:after="0" w:line="269" w:lineRule="auto"/>
        <w:rPr>
          <w:sz w:val="20"/>
          <w:szCs w:val="20"/>
          <w:color w:val="auto"/>
        </w:rPr>
      </w:pPr>
      <w:r>
        <w:rPr>
          <w:rFonts w:ascii="Arial" w:cs="Arial" w:eastAsia="Arial" w:hAnsi="Arial"/>
          <w:sz w:val="16"/>
          <w:szCs w:val="16"/>
          <w:color w:val="auto"/>
        </w:rPr>
        <w:t>To receive the severance benefits described above, each executive must execute a release agreement in favor of the Company and its affiliates, which will include a reasonable agreement to cooperate for a period of six months following the employment termination date and a mutual non-disparagement clause. In consideration of the severance benefits described above, each executive has also agreed to be subject to a non-compete provision for a period of 12 months following his separation from service and to maintain the confidentiality of Company information.</w:t>
      </w:r>
    </w:p>
    <w:p>
      <w:pPr>
        <w:spacing w:after="0" w:line="62" w:lineRule="exact"/>
        <w:rPr>
          <w:sz w:val="20"/>
          <w:szCs w:val="20"/>
          <w:color w:val="auto"/>
        </w:rPr>
      </w:pPr>
    </w:p>
    <w:p>
      <w:pPr>
        <w:ind w:left="660" w:right="320"/>
        <w:spacing w:after="0" w:line="272" w:lineRule="auto"/>
        <w:rPr>
          <w:sz w:val="20"/>
          <w:szCs w:val="20"/>
          <w:color w:val="auto"/>
        </w:rPr>
      </w:pPr>
      <w:r>
        <w:rPr>
          <w:rFonts w:ascii="Arial" w:cs="Arial" w:eastAsia="Arial" w:hAnsi="Arial"/>
          <w:sz w:val="16"/>
          <w:szCs w:val="16"/>
          <w:color w:val="auto"/>
        </w:rPr>
        <w:t>Each employment agreement generally defines “Cause” as, following written notice to the executive and the executive’s failure to cure such occurrence(s): (i) conviction or plea of nolo contendere to any felony offense or to a crime of moral turpitude;</w:t>
      </w:r>
    </w:p>
    <w:p>
      <w:pPr>
        <w:ind w:left="660" w:firstLine="6"/>
        <w:spacing w:after="0" w:line="259" w:lineRule="auto"/>
        <w:tabs>
          <w:tab w:leader="none" w:pos="87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commission of willful misconduct or violation of law in connection with the performance of his duties, including (a) misappropriation of funds or property, (b) attempting to secure personally any profit in connection with any transaction entered into on behalf of our Company, or (c) making any material misrepresentation to our Board, our Company or its affiliates; (iii) material violation or failure to comply with our Company policy; (iv) material breach of the employment agreement; or (v) the willful and continued failure or neglect to substantially perform his duties with our Company. “Good Reason” is generally defined to include: (i) the executive’s assignment of duties inconsistent with his position or title; (ii) a reduction in his base compensation, except as part of an overall cost reduction program that affects all senior executives and does not disproportionately affect the executive; (iii) any purported termination of the executive by our Company other than for disability or Cause or a voluntary resignation initiated by the executive, except for a voluntary termination for Good Reason; (iv) failure of any successor entity to our Company to expressly assume the employment agreement; and (v) material breach by the Company of the employment agreement.</w:t>
      </w:r>
    </w:p>
    <w:p>
      <w:pPr>
        <w:spacing w:after="0" w:line="81" w:lineRule="exact"/>
        <w:rPr>
          <w:sz w:val="20"/>
          <w:szCs w:val="20"/>
          <w:color w:val="auto"/>
        </w:rPr>
      </w:pPr>
    </w:p>
    <w:p>
      <w:pPr>
        <w:ind w:left="660" w:right="20"/>
        <w:spacing w:after="0" w:line="278" w:lineRule="auto"/>
        <w:rPr>
          <w:sz w:val="20"/>
          <w:szCs w:val="20"/>
          <w:color w:val="auto"/>
        </w:rPr>
      </w:pPr>
      <w:r>
        <w:rPr>
          <w:rFonts w:ascii="Arial" w:cs="Arial" w:eastAsia="Arial" w:hAnsi="Arial"/>
          <w:sz w:val="15"/>
          <w:szCs w:val="15"/>
          <w:color w:val="auto"/>
        </w:rPr>
        <w:t>Each employment agreement generally provides that a “Change of Control” is deemed to occur if: (i) individuals who constitute the Board of the Company on the date of the employment agreement (“Incumbent Directors”) cease to constitute at least a majority of our Board; provided, that any individual whose election or nomination for election by the stockholders was approved by a majority of the then Incumbent Directors shall be considered an Incumbent Director, with certain exceptions; or (ii) the stockholders of our Company approve (1) any merger, consolidation or recapitalization of our Company or any sale of substantially all of its assets where</w:t>
      </w:r>
    </w:p>
    <w:p>
      <w:pPr>
        <w:spacing w:after="0" w:line="3" w:lineRule="exact"/>
        <w:rPr>
          <w:sz w:val="20"/>
          <w:szCs w:val="20"/>
          <w:color w:val="auto"/>
        </w:rPr>
      </w:pPr>
    </w:p>
    <w:p>
      <w:pPr>
        <w:ind w:left="660" w:firstLine="6"/>
        <w:spacing w:after="0" w:line="299" w:lineRule="auto"/>
        <w:tabs>
          <w:tab w:leader="none" w:pos="899"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stockholders of our Company prior to the transaction do not, immediately thereafter, own at least 51% of both the equity and voting power of the surviving entity or (b) the Incumbent Directors at the time of the approval of the transaction would not immediately thereafter constitute a majority of the Board of the surviving entity, or (2) any plan of liquidation or dissolution of our Company.</w:t>
      </w:r>
    </w:p>
    <w:p>
      <w:pPr>
        <w:spacing w:after="0" w:line="41" w:lineRule="exact"/>
        <w:rPr>
          <w:sz w:val="20"/>
          <w:szCs w:val="20"/>
          <w:color w:val="auto"/>
        </w:rPr>
      </w:pPr>
    </w:p>
    <w:p>
      <w:pPr>
        <w:ind w:left="660" w:right="160"/>
        <w:spacing w:after="0" w:line="284" w:lineRule="auto"/>
        <w:rPr>
          <w:sz w:val="20"/>
          <w:szCs w:val="20"/>
          <w:color w:val="auto"/>
        </w:rPr>
      </w:pPr>
      <w:r>
        <w:rPr>
          <w:rFonts w:ascii="Arial" w:cs="Arial" w:eastAsia="Arial" w:hAnsi="Arial"/>
          <w:sz w:val="16"/>
          <w:szCs w:val="16"/>
          <w:color w:val="auto"/>
        </w:rPr>
        <w:t>Under the employment agreements, the “Change of Control Period” means, with respect to Dr. Lin, one year after a Change of Control, and with respect to Dr. Murry, Dr. Chang, Mr. Yeh and Mr. Kuo, within six months prior to a Change of Control or within one year after a Change of Control.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Equity Awards</w:t>
      </w:r>
    </w:p>
    <w:p>
      <w:pPr>
        <w:spacing w:after="0" w:line="127" w:lineRule="exact"/>
        <w:rPr>
          <w:sz w:val="20"/>
          <w:szCs w:val="20"/>
          <w:color w:val="auto"/>
        </w:rPr>
      </w:pPr>
    </w:p>
    <w:p>
      <w:pPr>
        <w:ind w:left="660" w:right="240"/>
        <w:spacing w:after="0" w:line="271" w:lineRule="auto"/>
        <w:rPr>
          <w:sz w:val="20"/>
          <w:szCs w:val="20"/>
          <w:color w:val="auto"/>
        </w:rPr>
      </w:pPr>
      <w:r>
        <w:rPr>
          <w:rFonts w:ascii="Arial" w:cs="Arial" w:eastAsia="Arial" w:hAnsi="Arial"/>
          <w:sz w:val="16"/>
          <w:szCs w:val="16"/>
          <w:color w:val="auto"/>
        </w:rPr>
        <w:t>The time-based RSUs we have granted to our NEOs provide for full acceleration upon a NEO’s termination of employment due to death or disability, as well as on a termination without cause or resignation for good cause during the Change of Control Period. In addition, if the acquiring entity in a Change of Control refuses to assume or replace outstanding time-based awards of any plan participant, that participant’s awards will become fully vested.</w:t>
      </w:r>
    </w:p>
    <w:p>
      <w:pPr>
        <w:spacing w:after="0" w:line="73" w:lineRule="exact"/>
        <w:rPr>
          <w:sz w:val="20"/>
          <w:szCs w:val="20"/>
          <w:color w:val="auto"/>
        </w:rPr>
      </w:pPr>
    </w:p>
    <w:p>
      <w:pPr>
        <w:ind w:left="660" w:right="60"/>
        <w:spacing w:after="0" w:line="262" w:lineRule="auto"/>
        <w:rPr>
          <w:sz w:val="20"/>
          <w:szCs w:val="20"/>
          <w:color w:val="auto"/>
        </w:rPr>
      </w:pPr>
      <w:r>
        <w:rPr>
          <w:rFonts w:ascii="Arial" w:cs="Arial" w:eastAsia="Arial" w:hAnsi="Arial"/>
          <w:sz w:val="16"/>
          <w:szCs w:val="16"/>
          <w:color w:val="auto"/>
        </w:rPr>
        <w:t>The PSUs we have granted to our NEOs provide for different acceleration treatment based on the applicable performance goal. The portion of the awards that vests based on achievement of the relative TSR goal: upon termination of employment due to death or disability, will vest in full at the target level; for termination of employment in connection with a change of control, will vest following the end of the performance period with respect to the greater of actual or target performance (based on unreduced performance goals); for retirement, will vest following the end of the performance period with respect to a pro-rated amount based on actual performance; and upon other termination of employment, will be forfeited. The portion of the award that vests based on achievement of the stock price goal: upon termination of employment due to death or disability, will vest in full to the extent already earned; for termination of employment in connection with a change of control, will vest immediately to the extent already earned, and will vest following the end of the performance period to the extent earned at that time; for retirement, will vest following the end of the performance period to the extent earned; and upon other termination of employment, will be forfeited.</w:t>
      </w:r>
    </w:p>
    <w:p>
      <w:pPr>
        <w:spacing w:after="0" w:line="70" w:lineRule="exact"/>
        <w:rPr>
          <w:sz w:val="20"/>
          <w:szCs w:val="20"/>
          <w:color w:val="auto"/>
        </w:rPr>
      </w:pPr>
    </w:p>
    <w:p>
      <w:pPr>
        <w:ind w:left="660" w:right="240"/>
        <w:spacing w:after="0" w:line="271" w:lineRule="auto"/>
        <w:rPr>
          <w:sz w:val="20"/>
          <w:szCs w:val="20"/>
          <w:color w:val="auto"/>
        </w:rPr>
      </w:pPr>
      <w:r>
        <w:rPr>
          <w:rFonts w:ascii="Arial" w:cs="Arial" w:eastAsia="Arial" w:hAnsi="Arial"/>
          <w:sz w:val="16"/>
          <w:szCs w:val="16"/>
          <w:color w:val="auto"/>
        </w:rPr>
        <w:t>The following table reflects the payments and benefits that each of the NEOs would have been eligible to receive in the event of certain terminations or a Change of Control, assuming that each such event occurred on December 31, 2025. The acceleration of equity awards was calculated using the closing price of our common stock on December 31, 2025 (the last trading day of 2025) of $34.86. Amounts that could actually become due upon any termination cannot be known with certainty until the event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1530350</wp:posOffset>
            </wp:positionV>
            <wp:extent cx="334010" cy="162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43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1"/>
        </w:trPr>
        <w:tc>
          <w:tcPr>
            <w:tcW w:w="324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2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9"/>
        </w:trPr>
        <w:tc>
          <w:tcPr>
            <w:tcW w:w="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2580" w:type="dxa"/>
            <w:vAlign w:val="bottom"/>
            <w:shd w:val="clear" w:color="auto" w:fill="4834BA"/>
          </w:tcPr>
          <w:p>
            <w:pPr>
              <w:spacing w:after="0"/>
              <w:rPr>
                <w:sz w:val="19"/>
                <w:szCs w:val="19"/>
                <w:color w:val="auto"/>
              </w:rPr>
            </w:pPr>
          </w:p>
        </w:tc>
        <w:tc>
          <w:tcPr>
            <w:tcW w:w="2180" w:type="dxa"/>
            <w:vAlign w:val="bottom"/>
            <w:shd w:val="clear" w:color="auto" w:fill="4834BA"/>
          </w:tcPr>
          <w:p>
            <w:pPr>
              <w:jc w:val="right"/>
              <w:ind w:right="28"/>
              <w:spacing w:after="0"/>
              <w:rPr>
                <w:sz w:val="20"/>
                <w:szCs w:val="20"/>
                <w:color w:val="auto"/>
              </w:rPr>
            </w:pPr>
            <w:r>
              <w:rPr>
                <w:rFonts w:ascii="Arial" w:cs="Arial" w:eastAsia="Arial" w:hAnsi="Arial"/>
                <w:sz w:val="14"/>
                <w:szCs w:val="14"/>
                <w:b w:val="1"/>
                <w:bCs w:val="1"/>
                <w:color w:val="FFFFFF"/>
              </w:rPr>
              <w:t>Termination Without</w:t>
            </w:r>
          </w:p>
        </w:tc>
        <w:tc>
          <w:tcPr>
            <w:tcW w:w="1560" w:type="dxa"/>
            <w:vAlign w:val="bottom"/>
            <w:shd w:val="clear" w:color="auto" w:fill="4834BA"/>
          </w:tcPr>
          <w:p>
            <w:pPr>
              <w:jc w:val="right"/>
              <w:ind w:right="48"/>
              <w:spacing w:after="0"/>
              <w:rPr>
                <w:sz w:val="20"/>
                <w:szCs w:val="20"/>
                <w:color w:val="auto"/>
              </w:rPr>
            </w:pPr>
            <w:r>
              <w:rPr>
                <w:rFonts w:ascii="Arial" w:cs="Arial" w:eastAsia="Arial" w:hAnsi="Arial"/>
                <w:sz w:val="14"/>
                <w:szCs w:val="14"/>
                <w:b w:val="1"/>
                <w:bCs w:val="1"/>
                <w:color w:val="FFFFFF"/>
              </w:rPr>
              <w:t>Termination Without</w:t>
            </w:r>
          </w:p>
        </w:tc>
        <w:tc>
          <w:tcPr>
            <w:tcW w:w="1200" w:type="dxa"/>
            <w:vAlign w:val="bottom"/>
            <w:shd w:val="clear" w:color="auto" w:fill="4834BA"/>
          </w:tcPr>
          <w:p>
            <w:pPr>
              <w:spacing w:after="0"/>
              <w:rPr>
                <w:sz w:val="19"/>
                <w:szCs w:val="19"/>
                <w:color w:val="auto"/>
              </w:rPr>
            </w:pPr>
          </w:p>
        </w:tc>
        <w:tc>
          <w:tcPr>
            <w:tcW w:w="940" w:type="dxa"/>
            <w:vAlign w:val="bottom"/>
            <w:shd w:val="clear" w:color="auto" w:fill="4834BA"/>
          </w:tcPr>
          <w:p>
            <w:pPr>
              <w:spacing w:after="0"/>
              <w:rPr>
                <w:sz w:val="19"/>
                <w:szCs w:val="19"/>
                <w:color w:val="auto"/>
              </w:rPr>
            </w:pPr>
          </w:p>
        </w:tc>
        <w:tc>
          <w:tcPr>
            <w:tcW w:w="940" w:type="dxa"/>
            <w:vAlign w:val="bottom"/>
            <w:vMerge w:val="restart"/>
            <w:shd w:val="clear" w:color="auto" w:fill="4834BA"/>
          </w:tcPr>
          <w:p>
            <w:pPr>
              <w:jc w:val="right"/>
              <w:ind w:right="68"/>
              <w:spacing w:after="0"/>
              <w:rPr>
                <w:sz w:val="20"/>
                <w:szCs w:val="20"/>
                <w:color w:val="auto"/>
              </w:rPr>
            </w:pPr>
            <w:r>
              <w:rPr>
                <w:rFonts w:ascii="Arial" w:cs="Arial" w:eastAsia="Arial" w:hAnsi="Arial"/>
                <w:sz w:val="14"/>
                <w:szCs w:val="14"/>
                <w:b w:val="1"/>
                <w:bCs w:val="1"/>
                <w:color w:val="FFFFFF"/>
              </w:rPr>
              <w:t>Change of</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2580" w:type="dxa"/>
            <w:vAlign w:val="bottom"/>
            <w:shd w:val="clear" w:color="auto" w:fill="4834BA"/>
          </w:tcPr>
          <w:p>
            <w:pPr>
              <w:spacing w:after="0"/>
              <w:rPr>
                <w:sz w:val="12"/>
                <w:szCs w:val="12"/>
                <w:color w:val="auto"/>
              </w:rPr>
            </w:pPr>
          </w:p>
        </w:tc>
        <w:tc>
          <w:tcPr>
            <w:tcW w:w="2180" w:type="dxa"/>
            <w:vAlign w:val="bottom"/>
            <w:shd w:val="clear" w:color="auto" w:fill="4834BA"/>
          </w:tcPr>
          <w:p>
            <w:pPr>
              <w:jc w:val="right"/>
              <w:ind w:right="28"/>
              <w:spacing w:after="0" w:line="145" w:lineRule="exact"/>
              <w:rPr>
                <w:sz w:val="20"/>
                <w:szCs w:val="20"/>
                <w:color w:val="auto"/>
              </w:rPr>
            </w:pPr>
            <w:r>
              <w:rPr>
                <w:rFonts w:ascii="Arial" w:cs="Arial" w:eastAsia="Arial" w:hAnsi="Arial"/>
                <w:sz w:val="14"/>
                <w:szCs w:val="14"/>
                <w:b w:val="1"/>
                <w:bCs w:val="1"/>
                <w:color w:val="FFFFFF"/>
              </w:rPr>
              <w:t>Cause or Resignation</w:t>
            </w:r>
          </w:p>
        </w:tc>
        <w:tc>
          <w:tcPr>
            <w:tcW w:w="1560" w:type="dxa"/>
            <w:vAlign w:val="bottom"/>
            <w:shd w:val="clear" w:color="auto" w:fill="4834BA"/>
          </w:tcPr>
          <w:p>
            <w:pPr>
              <w:jc w:val="right"/>
              <w:ind w:right="48"/>
              <w:spacing w:after="0" w:line="145" w:lineRule="exact"/>
              <w:rPr>
                <w:sz w:val="20"/>
                <w:szCs w:val="20"/>
                <w:color w:val="auto"/>
              </w:rPr>
            </w:pPr>
            <w:r>
              <w:rPr>
                <w:rFonts w:ascii="Arial" w:cs="Arial" w:eastAsia="Arial" w:hAnsi="Arial"/>
                <w:sz w:val="14"/>
                <w:szCs w:val="14"/>
                <w:b w:val="1"/>
                <w:bCs w:val="1"/>
                <w:color w:val="FFFFFF"/>
                <w:w w:val="98"/>
              </w:rPr>
              <w:t>Cause or Resignation</w:t>
            </w:r>
          </w:p>
        </w:tc>
        <w:tc>
          <w:tcPr>
            <w:tcW w:w="1200" w:type="dxa"/>
            <w:vAlign w:val="bottom"/>
            <w:vMerge w:val="restart"/>
            <w:shd w:val="clear" w:color="auto" w:fill="4834BA"/>
          </w:tcPr>
          <w:p>
            <w:pPr>
              <w:jc w:val="right"/>
              <w:ind w:right="28"/>
              <w:spacing w:after="0"/>
              <w:rPr>
                <w:sz w:val="20"/>
                <w:szCs w:val="20"/>
                <w:color w:val="auto"/>
              </w:rPr>
            </w:pPr>
            <w:r>
              <w:rPr>
                <w:rFonts w:ascii="Arial" w:cs="Arial" w:eastAsia="Arial" w:hAnsi="Arial"/>
                <w:sz w:val="14"/>
                <w:szCs w:val="14"/>
                <w:b w:val="1"/>
                <w:bCs w:val="1"/>
                <w:color w:val="FFFFFF"/>
                <w:w w:val="97"/>
              </w:rPr>
              <w:t>Termination Due</w:t>
            </w:r>
          </w:p>
        </w:tc>
        <w:tc>
          <w:tcPr>
            <w:tcW w:w="940" w:type="dxa"/>
            <w:vAlign w:val="bottom"/>
            <w:vMerge w:val="restart"/>
            <w:shd w:val="clear" w:color="auto" w:fill="4834BA"/>
          </w:tcPr>
          <w:p>
            <w:pPr>
              <w:jc w:val="right"/>
              <w:ind w:right="48"/>
              <w:spacing w:after="0"/>
              <w:rPr>
                <w:sz w:val="20"/>
                <w:szCs w:val="20"/>
                <w:color w:val="auto"/>
              </w:rPr>
            </w:pPr>
            <w:r>
              <w:rPr>
                <w:rFonts w:ascii="Arial" w:cs="Arial" w:eastAsia="Arial" w:hAnsi="Arial"/>
                <w:sz w:val="14"/>
                <w:szCs w:val="14"/>
                <w:b w:val="1"/>
                <w:bCs w:val="1"/>
                <w:color w:val="FFFFFF"/>
                <w:w w:val="99"/>
              </w:rPr>
              <w:t>Termination</w:t>
            </w:r>
          </w:p>
        </w:tc>
        <w:tc>
          <w:tcPr>
            <w:tcW w:w="940" w:type="dxa"/>
            <w:vAlign w:val="bottom"/>
            <w:vMerge w:val="continue"/>
            <w:shd w:val="clear" w:color="auto" w:fill="4834B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580" w:type="dxa"/>
            <w:vAlign w:val="bottom"/>
            <w:shd w:val="clear" w:color="auto" w:fill="4834BA"/>
          </w:tcPr>
          <w:p>
            <w:pPr>
              <w:spacing w:after="0"/>
              <w:rPr>
                <w:sz w:val="12"/>
                <w:szCs w:val="12"/>
                <w:color w:val="auto"/>
              </w:rPr>
            </w:pPr>
          </w:p>
        </w:tc>
        <w:tc>
          <w:tcPr>
            <w:tcW w:w="2180" w:type="dxa"/>
            <w:vAlign w:val="bottom"/>
            <w:shd w:val="clear" w:color="auto" w:fill="4834BA"/>
          </w:tcPr>
          <w:p>
            <w:pPr>
              <w:jc w:val="right"/>
              <w:ind w:right="28"/>
              <w:spacing w:after="0" w:line="149" w:lineRule="exact"/>
              <w:rPr>
                <w:sz w:val="20"/>
                <w:szCs w:val="20"/>
                <w:color w:val="auto"/>
              </w:rPr>
            </w:pPr>
            <w:r>
              <w:rPr>
                <w:rFonts w:ascii="Arial" w:cs="Arial" w:eastAsia="Arial" w:hAnsi="Arial"/>
                <w:sz w:val="14"/>
                <w:szCs w:val="14"/>
                <w:b w:val="1"/>
                <w:bCs w:val="1"/>
                <w:color w:val="FFFFFF"/>
              </w:rPr>
              <w:t>For Good Reason,</w:t>
            </w:r>
          </w:p>
        </w:tc>
        <w:tc>
          <w:tcPr>
            <w:tcW w:w="1560" w:type="dxa"/>
            <w:vAlign w:val="bottom"/>
            <w:shd w:val="clear" w:color="auto" w:fill="4834BA"/>
          </w:tcPr>
          <w:p>
            <w:pPr>
              <w:jc w:val="right"/>
              <w:ind w:right="48"/>
              <w:spacing w:after="0" w:line="149" w:lineRule="exact"/>
              <w:rPr>
                <w:sz w:val="20"/>
                <w:szCs w:val="20"/>
                <w:color w:val="auto"/>
              </w:rPr>
            </w:pPr>
            <w:r>
              <w:rPr>
                <w:rFonts w:ascii="Arial" w:cs="Arial" w:eastAsia="Arial" w:hAnsi="Arial"/>
                <w:sz w:val="14"/>
                <w:szCs w:val="14"/>
                <w:b w:val="1"/>
                <w:bCs w:val="1"/>
                <w:color w:val="FFFFFF"/>
              </w:rPr>
              <w:t>For Good Reason,</w:t>
            </w:r>
          </w:p>
        </w:tc>
        <w:tc>
          <w:tcPr>
            <w:tcW w:w="1200" w:type="dxa"/>
            <w:vAlign w:val="bottom"/>
            <w:vMerge w:val="continue"/>
            <w:shd w:val="clear" w:color="auto" w:fill="4834BA"/>
          </w:tcPr>
          <w:p>
            <w:pPr>
              <w:spacing w:after="0"/>
              <w:rPr>
                <w:sz w:val="12"/>
                <w:szCs w:val="12"/>
                <w:color w:val="auto"/>
              </w:rPr>
            </w:pPr>
          </w:p>
        </w:tc>
        <w:tc>
          <w:tcPr>
            <w:tcW w:w="940" w:type="dxa"/>
            <w:vAlign w:val="bottom"/>
            <w:vMerge w:val="continue"/>
            <w:shd w:val="clear" w:color="auto" w:fill="4834BA"/>
          </w:tcPr>
          <w:p>
            <w:pPr>
              <w:spacing w:after="0"/>
              <w:rPr>
                <w:sz w:val="12"/>
                <w:szCs w:val="12"/>
                <w:color w:val="auto"/>
              </w:rPr>
            </w:pPr>
          </w:p>
        </w:tc>
        <w:tc>
          <w:tcPr>
            <w:tcW w:w="940" w:type="dxa"/>
            <w:vAlign w:val="bottom"/>
            <w:shd w:val="clear" w:color="auto" w:fill="4834BA"/>
          </w:tcPr>
          <w:p>
            <w:pPr>
              <w:jc w:val="right"/>
              <w:ind w:right="68"/>
              <w:spacing w:after="0" w:line="149" w:lineRule="exact"/>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580" w:type="dxa"/>
            <w:vAlign w:val="bottom"/>
            <w:shd w:val="clear" w:color="auto" w:fill="4834BA"/>
          </w:tcPr>
          <w:p>
            <w:pPr>
              <w:spacing w:after="0"/>
              <w:rPr>
                <w:sz w:val="11"/>
                <w:szCs w:val="11"/>
                <w:color w:val="auto"/>
              </w:rPr>
            </w:pPr>
          </w:p>
        </w:tc>
        <w:tc>
          <w:tcPr>
            <w:tcW w:w="2180" w:type="dxa"/>
            <w:vAlign w:val="bottom"/>
            <w:shd w:val="clear" w:color="auto" w:fill="4834BA"/>
          </w:tcPr>
          <w:p>
            <w:pPr>
              <w:jc w:val="right"/>
              <w:ind w:right="28"/>
              <w:spacing w:after="0" w:line="135" w:lineRule="exact"/>
              <w:rPr>
                <w:sz w:val="20"/>
                <w:szCs w:val="20"/>
                <w:color w:val="auto"/>
              </w:rPr>
            </w:pPr>
            <w:r>
              <w:rPr>
                <w:rFonts w:ascii="Arial" w:cs="Arial" w:eastAsia="Arial" w:hAnsi="Arial"/>
                <w:sz w:val="14"/>
                <w:szCs w:val="14"/>
                <w:b w:val="1"/>
                <w:bCs w:val="1"/>
                <w:color w:val="FFFFFF"/>
              </w:rPr>
              <w:t>Outside of the Change</w:t>
            </w:r>
          </w:p>
        </w:tc>
        <w:tc>
          <w:tcPr>
            <w:tcW w:w="1560" w:type="dxa"/>
            <w:vAlign w:val="bottom"/>
            <w:shd w:val="clear" w:color="auto" w:fill="4834BA"/>
          </w:tcPr>
          <w:p>
            <w:pPr>
              <w:jc w:val="right"/>
              <w:ind w:right="48"/>
              <w:spacing w:after="0" w:line="135" w:lineRule="exact"/>
              <w:rPr>
                <w:sz w:val="20"/>
                <w:szCs w:val="20"/>
                <w:color w:val="auto"/>
              </w:rPr>
            </w:pPr>
            <w:r>
              <w:rPr>
                <w:rFonts w:ascii="Arial" w:cs="Arial" w:eastAsia="Arial" w:hAnsi="Arial"/>
                <w:sz w:val="14"/>
                <w:szCs w:val="14"/>
                <w:b w:val="1"/>
                <w:bCs w:val="1"/>
                <w:color w:val="FFFFFF"/>
              </w:rPr>
              <w:t>Within the Change</w:t>
            </w:r>
          </w:p>
        </w:tc>
        <w:tc>
          <w:tcPr>
            <w:tcW w:w="1200" w:type="dxa"/>
            <w:vAlign w:val="bottom"/>
            <w:shd w:val="clear" w:color="auto" w:fill="4834BA"/>
          </w:tcPr>
          <w:p>
            <w:pPr>
              <w:jc w:val="right"/>
              <w:ind w:right="28"/>
              <w:spacing w:after="0" w:line="135" w:lineRule="exact"/>
              <w:rPr>
                <w:sz w:val="20"/>
                <w:szCs w:val="20"/>
                <w:color w:val="auto"/>
              </w:rPr>
            </w:pPr>
            <w:r>
              <w:rPr>
                <w:rFonts w:ascii="Arial" w:cs="Arial" w:eastAsia="Arial" w:hAnsi="Arial"/>
                <w:sz w:val="14"/>
                <w:szCs w:val="14"/>
                <w:b w:val="1"/>
                <w:bCs w:val="1"/>
                <w:color w:val="FFFFFF"/>
              </w:rPr>
              <w:t>to Death or</w:t>
            </w:r>
          </w:p>
        </w:tc>
        <w:tc>
          <w:tcPr>
            <w:tcW w:w="940" w:type="dxa"/>
            <w:vAlign w:val="bottom"/>
            <w:shd w:val="clear" w:color="auto" w:fill="4834BA"/>
          </w:tcPr>
          <w:p>
            <w:pPr>
              <w:jc w:val="right"/>
              <w:ind w:right="48"/>
              <w:spacing w:after="0" w:line="135" w:lineRule="exact"/>
              <w:rPr>
                <w:sz w:val="20"/>
                <w:szCs w:val="20"/>
                <w:color w:val="auto"/>
              </w:rPr>
            </w:pPr>
            <w:r>
              <w:rPr>
                <w:rFonts w:ascii="Arial" w:cs="Arial" w:eastAsia="Arial" w:hAnsi="Arial"/>
                <w:sz w:val="14"/>
                <w:szCs w:val="14"/>
                <w:b w:val="1"/>
                <w:bCs w:val="1"/>
                <w:color w:val="FFFFFF"/>
              </w:rPr>
              <w:t>Due to</w:t>
            </w:r>
          </w:p>
        </w:tc>
        <w:tc>
          <w:tcPr>
            <w:tcW w:w="940" w:type="dxa"/>
            <w:vAlign w:val="bottom"/>
            <w:shd w:val="clear" w:color="auto" w:fill="4834BA"/>
          </w:tcPr>
          <w:p>
            <w:pPr>
              <w:jc w:val="right"/>
              <w:ind w:right="68"/>
              <w:spacing w:after="0" w:line="135" w:lineRule="exact"/>
              <w:rPr>
                <w:sz w:val="20"/>
                <w:szCs w:val="20"/>
                <w:color w:val="auto"/>
              </w:rPr>
            </w:pPr>
            <w:r>
              <w:rPr>
                <w:rFonts w:ascii="Arial" w:cs="Arial" w:eastAsia="Arial" w:hAnsi="Arial"/>
                <w:sz w:val="14"/>
                <w:szCs w:val="14"/>
                <w:b w:val="1"/>
                <w:bCs w:val="1"/>
                <w:color w:val="FFFFFF"/>
              </w:rPr>
              <w:t>Awards Not</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580" w:type="dxa"/>
            <w:vAlign w:val="bottom"/>
            <w:vMerge w:val="restart"/>
            <w:shd w:val="clear" w:color="auto" w:fill="4834BA"/>
          </w:tcPr>
          <w:p>
            <w:pPr>
              <w:ind w:left="120"/>
              <w:spacing w:after="0"/>
              <w:rPr>
                <w:sz w:val="20"/>
                <w:szCs w:val="20"/>
                <w:color w:val="auto"/>
              </w:rPr>
            </w:pPr>
            <w:r>
              <w:rPr>
                <w:rFonts w:ascii="Arial" w:cs="Arial" w:eastAsia="Arial" w:hAnsi="Arial"/>
                <w:sz w:val="14"/>
                <w:szCs w:val="14"/>
                <w:b w:val="1"/>
                <w:bCs w:val="1"/>
                <w:color w:val="FFFFFF"/>
              </w:rPr>
              <w:t>Name and Principal Position</w:t>
            </w:r>
          </w:p>
        </w:tc>
        <w:tc>
          <w:tcPr>
            <w:tcW w:w="2180" w:type="dxa"/>
            <w:vAlign w:val="bottom"/>
            <w:shd w:val="clear" w:color="auto" w:fill="4834BA"/>
          </w:tcPr>
          <w:p>
            <w:pPr>
              <w:jc w:val="right"/>
              <w:ind w:right="48"/>
              <w:spacing w:after="0" w:line="149" w:lineRule="exact"/>
              <w:rPr>
                <w:sz w:val="20"/>
                <w:szCs w:val="20"/>
                <w:color w:val="auto"/>
              </w:rPr>
            </w:pPr>
            <w:r>
              <w:rPr>
                <w:rFonts w:ascii="Arial" w:cs="Arial" w:eastAsia="Arial" w:hAnsi="Arial"/>
                <w:sz w:val="14"/>
                <w:szCs w:val="14"/>
                <w:b w:val="1"/>
                <w:bCs w:val="1"/>
                <w:color w:val="FFFFFF"/>
              </w:rPr>
              <w:t>of Control Period</w:t>
            </w:r>
          </w:p>
        </w:tc>
        <w:tc>
          <w:tcPr>
            <w:tcW w:w="1560" w:type="dxa"/>
            <w:vAlign w:val="bottom"/>
            <w:shd w:val="clear" w:color="auto" w:fill="4834BA"/>
          </w:tcPr>
          <w:p>
            <w:pPr>
              <w:jc w:val="right"/>
              <w:ind w:right="48"/>
              <w:spacing w:after="0" w:line="149" w:lineRule="exact"/>
              <w:rPr>
                <w:sz w:val="20"/>
                <w:szCs w:val="20"/>
                <w:color w:val="auto"/>
              </w:rPr>
            </w:pPr>
            <w:r>
              <w:rPr>
                <w:rFonts w:ascii="Arial" w:cs="Arial" w:eastAsia="Arial" w:hAnsi="Arial"/>
                <w:sz w:val="14"/>
                <w:szCs w:val="14"/>
                <w:b w:val="1"/>
                <w:bCs w:val="1"/>
                <w:color w:val="FFFFFF"/>
              </w:rPr>
              <w:t>of Control Period</w:t>
            </w:r>
          </w:p>
        </w:tc>
        <w:tc>
          <w:tcPr>
            <w:tcW w:w="1200" w:type="dxa"/>
            <w:vAlign w:val="bottom"/>
            <w:shd w:val="clear" w:color="auto" w:fill="4834BA"/>
          </w:tcPr>
          <w:p>
            <w:pPr>
              <w:jc w:val="right"/>
              <w:ind w:right="28"/>
              <w:spacing w:after="0" w:line="149" w:lineRule="exact"/>
              <w:rPr>
                <w:sz w:val="20"/>
                <w:szCs w:val="20"/>
                <w:color w:val="auto"/>
              </w:rPr>
            </w:pPr>
            <w:r>
              <w:rPr>
                <w:rFonts w:ascii="Arial" w:cs="Arial" w:eastAsia="Arial" w:hAnsi="Arial"/>
                <w:sz w:val="14"/>
                <w:szCs w:val="14"/>
                <w:b w:val="1"/>
                <w:bCs w:val="1"/>
                <w:color w:val="FFFFFF"/>
              </w:rPr>
              <w:t>Disability</w:t>
            </w:r>
          </w:p>
        </w:tc>
        <w:tc>
          <w:tcPr>
            <w:tcW w:w="940" w:type="dxa"/>
            <w:vAlign w:val="bottom"/>
            <w:shd w:val="clear" w:color="auto" w:fill="4834BA"/>
          </w:tcPr>
          <w:p>
            <w:pPr>
              <w:jc w:val="right"/>
              <w:ind w:right="48"/>
              <w:spacing w:after="0" w:line="149" w:lineRule="exact"/>
              <w:rPr>
                <w:sz w:val="20"/>
                <w:szCs w:val="20"/>
                <w:color w:val="auto"/>
              </w:rPr>
            </w:pPr>
            <w:r>
              <w:rPr>
                <w:rFonts w:ascii="Arial" w:cs="Arial" w:eastAsia="Arial" w:hAnsi="Arial"/>
                <w:sz w:val="14"/>
                <w:szCs w:val="14"/>
                <w:b w:val="1"/>
                <w:bCs w:val="1"/>
                <w:color w:val="FFFFFF"/>
              </w:rPr>
              <w:t>Retirement</w:t>
            </w:r>
          </w:p>
        </w:tc>
        <w:tc>
          <w:tcPr>
            <w:tcW w:w="940" w:type="dxa"/>
            <w:vAlign w:val="bottom"/>
            <w:shd w:val="clear" w:color="auto" w:fill="4834BA"/>
          </w:tcPr>
          <w:p>
            <w:pPr>
              <w:jc w:val="right"/>
              <w:ind w:right="88"/>
              <w:spacing w:after="0" w:line="149" w:lineRule="exact"/>
              <w:rPr>
                <w:sz w:val="20"/>
                <w:szCs w:val="20"/>
                <w:color w:val="auto"/>
              </w:rPr>
            </w:pPr>
            <w:r>
              <w:rPr>
                <w:rFonts w:ascii="Arial" w:cs="Arial" w:eastAsia="Arial" w:hAnsi="Arial"/>
                <w:sz w:val="14"/>
                <w:szCs w:val="14"/>
                <w:b w:val="1"/>
                <w:bCs w:val="1"/>
                <w:color w:val="FFFFFF"/>
              </w:rPr>
              <w:t>Assumed</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580" w:type="dxa"/>
            <w:vAlign w:val="bottom"/>
            <w:vMerge w:val="continue"/>
            <w:shd w:val="clear" w:color="auto" w:fill="4834BA"/>
          </w:tcPr>
          <w:p>
            <w:pPr>
              <w:spacing w:after="0"/>
              <w:rPr>
                <w:sz w:val="21"/>
                <w:szCs w:val="21"/>
                <w:color w:val="auto"/>
              </w:rPr>
            </w:pPr>
          </w:p>
        </w:tc>
        <w:tc>
          <w:tcPr>
            <w:tcW w:w="2180" w:type="dxa"/>
            <w:vAlign w:val="bottom"/>
            <w:shd w:val="clear" w:color="auto" w:fill="4834BA"/>
          </w:tcPr>
          <w:p>
            <w:pPr>
              <w:jc w:val="right"/>
              <w:ind w:right="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8"/>
                <w:szCs w:val="8"/>
                <w:b w:val="1"/>
                <w:bCs w:val="1"/>
                <w:color w:val="FFFFFF"/>
              </w:rPr>
              <w:t>(1)</w:t>
            </w:r>
          </w:p>
        </w:tc>
        <w:tc>
          <w:tcPr>
            <w:tcW w:w="1560" w:type="dxa"/>
            <w:vAlign w:val="bottom"/>
            <w:shd w:val="clear" w:color="auto" w:fill="4834BA"/>
          </w:tcPr>
          <w:p>
            <w:pPr>
              <w:jc w:val="right"/>
              <w:ind w:right="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8"/>
                <w:szCs w:val="8"/>
                <w:b w:val="1"/>
                <w:bCs w:val="1"/>
                <w:color w:val="FFFFFF"/>
              </w:rPr>
              <w:t>(2)</w:t>
            </w:r>
          </w:p>
        </w:tc>
        <w:tc>
          <w:tcPr>
            <w:tcW w:w="1200" w:type="dxa"/>
            <w:vAlign w:val="bottom"/>
            <w:shd w:val="clear" w:color="auto" w:fill="4834BA"/>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(3)</w:t>
            </w:r>
          </w:p>
        </w:tc>
        <w:tc>
          <w:tcPr>
            <w:tcW w:w="940" w:type="dxa"/>
            <w:vAlign w:val="bottom"/>
            <w:shd w:val="clear" w:color="auto" w:fill="4834BA"/>
          </w:tcPr>
          <w:p>
            <w:pPr>
              <w:jc w:val="right"/>
              <w:ind w:right="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(4)</w:t>
            </w:r>
          </w:p>
        </w:tc>
        <w:tc>
          <w:tcPr>
            <w:tcW w:w="940" w:type="dxa"/>
            <w:vAlign w:val="bottom"/>
            <w:shd w:val="clear" w:color="auto" w:fill="4834BA"/>
          </w:tcPr>
          <w:p>
            <w:pPr>
              <w:jc w:val="right"/>
              <w:ind w:right="2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(5)</w:t>
            </w: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25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Chih-Hsiang (Thompson) Lin</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0"/>
                <w:szCs w:val="20"/>
                <w:color w:val="auto"/>
              </w:rPr>
            </w:pPr>
          </w:p>
        </w:tc>
        <w:tc>
          <w:tcPr>
            <w:tcW w:w="258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4"/>
                <w:szCs w:val="14"/>
                <w:i w:val="1"/>
                <w:iCs w:val="1"/>
                <w:color w:val="auto"/>
              </w:rPr>
              <w:t>Salary and Bonus</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1,733,331</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1,733,331</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580" w:type="dxa"/>
            <w:vAlign w:val="bottom"/>
            <w:tcBorders>
              <w:top w:val="single" w:sz="8" w:color="auto"/>
            </w:tcBorders>
          </w:tcPr>
          <w:p>
            <w:pPr>
              <w:ind w:left="260"/>
              <w:spacing w:after="0"/>
              <w:rPr>
                <w:sz w:val="20"/>
                <w:szCs w:val="20"/>
                <w:color w:val="auto"/>
              </w:rPr>
            </w:pPr>
            <w:r>
              <w:rPr>
                <w:rFonts w:ascii="Arial" w:cs="Arial" w:eastAsia="Arial" w:hAnsi="Arial"/>
                <w:sz w:val="14"/>
                <w:szCs w:val="14"/>
                <w:i w:val="1"/>
                <w:iCs w:val="1"/>
                <w:color w:val="auto"/>
              </w:rPr>
              <w:t>Other Cash Payments</w:t>
            </w:r>
          </w:p>
        </w:tc>
        <w:tc>
          <w:tcPr>
            <w:tcW w:w="2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15,000</w:t>
            </w: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10,000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0"/>
                <w:szCs w:val="20"/>
                <w:color w:val="auto"/>
              </w:rPr>
            </w:pPr>
          </w:p>
        </w:tc>
        <w:tc>
          <w:tcPr>
            <w:tcW w:w="258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4"/>
                <w:szCs w:val="14"/>
                <w:i w:val="1"/>
                <w:iCs w:val="1"/>
                <w:color w:val="auto"/>
              </w:rPr>
              <w:t>Accelerated Equity</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54,213,871</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29,814,677</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58,228,471</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5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i w:val="1"/>
                <w:iCs w:val="1"/>
                <w:color w:val="auto"/>
              </w:rPr>
              <w:t>Tax Gross-Up</w:t>
            </w:r>
          </w:p>
        </w:tc>
        <w:tc>
          <w:tcPr>
            <w:tcW w:w="2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348,666</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2580" w:type="dxa"/>
            <w:vAlign w:val="bottom"/>
            <w:tcBorders>
              <w:bottom w:val="single" w:sz="8" w:color="E5E5E5"/>
            </w:tcBorders>
            <w:shd w:val="clear" w:color="auto" w:fill="E5E5E5"/>
          </w:tcPr>
          <w:p>
            <w:pPr>
              <w:ind w:left="400"/>
              <w:spacing w:after="0"/>
              <w:rPr>
                <w:sz w:val="20"/>
                <w:szCs w:val="20"/>
                <w:color w:val="auto"/>
              </w:rPr>
            </w:pPr>
            <w:r>
              <w:rPr>
                <w:rFonts w:ascii="Arial" w:cs="Arial" w:eastAsia="Arial" w:hAnsi="Arial"/>
                <w:sz w:val="14"/>
                <w:szCs w:val="14"/>
                <w:color w:val="auto"/>
              </w:rPr>
              <w:t>Total</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1,748,331</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2,091,997</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54,213,871</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29,814,677</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58,228,471</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5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Stefan J. Murry</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0"/>
                <w:szCs w:val="20"/>
                <w:color w:val="auto"/>
              </w:rPr>
            </w:pPr>
          </w:p>
        </w:tc>
        <w:tc>
          <w:tcPr>
            <w:tcW w:w="258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4"/>
                <w:szCs w:val="14"/>
                <w:i w:val="1"/>
                <w:iCs w:val="1"/>
                <w:color w:val="auto"/>
              </w:rPr>
              <w:t>Salary and Bonus</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430,673</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861,345</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580" w:type="dxa"/>
            <w:vAlign w:val="bottom"/>
            <w:tcBorders>
              <w:top w:val="single" w:sz="8" w:color="auto"/>
            </w:tcBorders>
          </w:tcPr>
          <w:p>
            <w:pPr>
              <w:ind w:left="260"/>
              <w:spacing w:after="0"/>
              <w:rPr>
                <w:sz w:val="20"/>
                <w:szCs w:val="20"/>
                <w:color w:val="auto"/>
              </w:rPr>
            </w:pPr>
            <w:r>
              <w:rPr>
                <w:rFonts w:ascii="Arial" w:cs="Arial" w:eastAsia="Arial" w:hAnsi="Arial"/>
                <w:sz w:val="14"/>
                <w:szCs w:val="14"/>
                <w:i w:val="1"/>
                <w:iCs w:val="1"/>
                <w:color w:val="auto"/>
              </w:rPr>
              <w:t>Other Cash Payments</w:t>
            </w:r>
          </w:p>
        </w:tc>
        <w:tc>
          <w:tcPr>
            <w:tcW w:w="2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15,000</w:t>
            </w: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15,000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58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4"/>
                <w:szCs w:val="14"/>
                <w:i w:val="1"/>
                <w:iCs w:val="1"/>
                <w:color w:val="auto"/>
              </w:rPr>
              <w:t>Accelerated Equity</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22,323,577</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18,935,394</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10,244,589</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20,278,169</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80" w:type="dxa"/>
            <w:vAlign w:val="bottom"/>
            <w:tcBorders>
              <w:top w:val="single" w:sz="8" w:color="auto"/>
            </w:tcBorders>
          </w:tcPr>
          <w:p>
            <w:pPr>
              <w:ind w:left="400"/>
              <w:spacing w:after="0"/>
              <w:rPr>
                <w:sz w:val="20"/>
                <w:szCs w:val="20"/>
                <w:color w:val="auto"/>
              </w:rPr>
            </w:pPr>
            <w:r>
              <w:rPr>
                <w:rFonts w:ascii="Arial" w:cs="Arial" w:eastAsia="Arial" w:hAnsi="Arial"/>
                <w:sz w:val="14"/>
                <w:szCs w:val="14"/>
                <w:color w:val="auto"/>
              </w:rPr>
              <w:t>Total</w:t>
            </w:r>
          </w:p>
        </w:tc>
        <w:tc>
          <w:tcPr>
            <w:tcW w:w="2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445,673</w:t>
            </w: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23,199,923</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18,935,394</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10,244,589</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20,278,169</w:t>
            </w: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Hung-Lun (Fred) Chang</w:t>
            </w:r>
          </w:p>
        </w:tc>
        <w:tc>
          <w:tcPr>
            <w:tcW w:w="2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80" w:type="dxa"/>
            <w:vAlign w:val="bottom"/>
          </w:tcPr>
          <w:p>
            <w:pPr>
              <w:ind w:left="260"/>
              <w:spacing w:after="0"/>
              <w:rPr>
                <w:sz w:val="20"/>
                <w:szCs w:val="20"/>
                <w:color w:val="auto"/>
              </w:rPr>
            </w:pPr>
            <w:r>
              <w:rPr>
                <w:rFonts w:ascii="Arial" w:cs="Arial" w:eastAsia="Arial" w:hAnsi="Arial"/>
                <w:sz w:val="14"/>
                <w:szCs w:val="14"/>
                <w:i w:val="1"/>
                <w:iCs w:val="1"/>
                <w:color w:val="auto"/>
              </w:rPr>
              <w:t>Salary and Bonus</w:t>
            </w:r>
          </w:p>
        </w:tc>
        <w:tc>
          <w:tcPr>
            <w:tcW w:w="2180" w:type="dxa"/>
            <w:vAlign w:val="bottom"/>
          </w:tcPr>
          <w:p>
            <w:pPr>
              <w:jc w:val="right"/>
              <w:ind w:right="8"/>
              <w:spacing w:after="0"/>
              <w:rPr>
                <w:sz w:val="20"/>
                <w:szCs w:val="20"/>
                <w:color w:val="auto"/>
              </w:rPr>
            </w:pPr>
            <w:r>
              <w:rPr>
                <w:rFonts w:ascii="Arial" w:cs="Arial" w:eastAsia="Arial" w:hAnsi="Arial"/>
                <w:sz w:val="14"/>
                <w:szCs w:val="14"/>
                <w:color w:val="auto"/>
              </w:rPr>
              <w:t>387,479</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774,958</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58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4"/>
                <w:szCs w:val="14"/>
                <w:i w:val="1"/>
                <w:iCs w:val="1"/>
                <w:color w:val="auto"/>
              </w:rPr>
              <w:t>Other Cash Payments</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15,000</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15,000</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2580" w:type="dxa"/>
            <w:vAlign w:val="bottom"/>
            <w:tcBorders>
              <w:top w:val="single" w:sz="8" w:color="auto"/>
            </w:tcBorders>
          </w:tcPr>
          <w:p>
            <w:pPr>
              <w:ind w:left="260"/>
              <w:spacing w:after="0"/>
              <w:rPr>
                <w:sz w:val="20"/>
                <w:szCs w:val="20"/>
                <w:color w:val="auto"/>
              </w:rPr>
            </w:pPr>
            <w:r>
              <w:rPr>
                <w:rFonts w:ascii="Arial" w:cs="Arial" w:eastAsia="Arial" w:hAnsi="Arial"/>
                <w:sz w:val="14"/>
                <w:szCs w:val="14"/>
                <w:i w:val="1"/>
                <w:iCs w:val="1"/>
                <w:color w:val="auto"/>
              </w:rPr>
              <w:t>Accelerated Equity</w:t>
            </w:r>
          </w:p>
        </w:tc>
        <w:tc>
          <w:tcPr>
            <w:tcW w:w="2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19,605,735</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16,639,706</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9,165,566</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17,895,416</w:t>
            </w: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580" w:type="dxa"/>
            <w:vAlign w:val="bottom"/>
            <w:tcBorders>
              <w:bottom w:val="single" w:sz="8" w:color="E5E5E5"/>
            </w:tcBorders>
            <w:shd w:val="clear" w:color="auto" w:fill="E5E5E5"/>
          </w:tcPr>
          <w:p>
            <w:pPr>
              <w:ind w:left="400"/>
              <w:spacing w:after="0"/>
              <w:rPr>
                <w:sz w:val="20"/>
                <w:szCs w:val="20"/>
                <w:color w:val="auto"/>
              </w:rPr>
            </w:pPr>
            <w:r>
              <w:rPr>
                <w:rFonts w:ascii="Arial" w:cs="Arial" w:eastAsia="Arial" w:hAnsi="Arial"/>
                <w:sz w:val="14"/>
                <w:szCs w:val="14"/>
                <w:color w:val="auto"/>
              </w:rPr>
              <w:t>Total</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402,479</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20,395,693</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16,639,706</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9,165,566</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17,895,416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Shu-Hua (Joshua) Yeh</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58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4"/>
                <w:szCs w:val="14"/>
                <w:i w:val="1"/>
                <w:iCs w:val="1"/>
                <w:color w:val="auto"/>
              </w:rPr>
              <w:t>Salary and Bonus</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357,833</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715,666</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2580" w:type="dxa"/>
            <w:vAlign w:val="bottom"/>
            <w:tcBorders>
              <w:top w:val="single" w:sz="8" w:color="auto"/>
            </w:tcBorders>
          </w:tcPr>
          <w:p>
            <w:pPr>
              <w:ind w:left="260"/>
              <w:spacing w:after="0"/>
              <w:rPr>
                <w:sz w:val="20"/>
                <w:szCs w:val="20"/>
                <w:color w:val="auto"/>
              </w:rPr>
            </w:pPr>
            <w:r>
              <w:rPr>
                <w:rFonts w:ascii="Arial" w:cs="Arial" w:eastAsia="Arial" w:hAnsi="Arial"/>
                <w:sz w:val="14"/>
                <w:szCs w:val="14"/>
                <w:i w:val="1"/>
                <w:iCs w:val="1"/>
                <w:color w:val="auto"/>
              </w:rPr>
              <w:t>Other Cash Payments</w:t>
            </w:r>
          </w:p>
        </w:tc>
        <w:tc>
          <w:tcPr>
            <w:tcW w:w="2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15,000</w:t>
            </w: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15,000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58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4"/>
                <w:szCs w:val="14"/>
                <w:i w:val="1"/>
                <w:iCs w:val="1"/>
                <w:color w:val="auto"/>
              </w:rPr>
              <w:t>Accelerated Equity</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17,413,180</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14,774,470</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7,961,154</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15,807,722</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2580" w:type="dxa"/>
            <w:vAlign w:val="bottom"/>
            <w:tcBorders>
              <w:top w:val="single" w:sz="8" w:color="auto"/>
            </w:tcBorders>
          </w:tcPr>
          <w:p>
            <w:pPr>
              <w:ind w:left="400"/>
              <w:spacing w:after="0"/>
              <w:rPr>
                <w:sz w:val="20"/>
                <w:szCs w:val="20"/>
                <w:color w:val="auto"/>
              </w:rPr>
            </w:pPr>
            <w:r>
              <w:rPr>
                <w:rFonts w:ascii="Arial" w:cs="Arial" w:eastAsia="Arial" w:hAnsi="Arial"/>
                <w:sz w:val="14"/>
                <w:szCs w:val="14"/>
                <w:color w:val="auto"/>
              </w:rPr>
              <w:t>Total</w:t>
            </w:r>
          </w:p>
        </w:tc>
        <w:tc>
          <w:tcPr>
            <w:tcW w:w="2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372,833</w:t>
            </w: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18,143,846</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14,774,470</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7,961,154</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15,807,722</w:t>
            </w: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David C. Kuo</w:t>
            </w:r>
          </w:p>
        </w:tc>
        <w:tc>
          <w:tcPr>
            <w:tcW w:w="2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80" w:type="dxa"/>
            <w:vAlign w:val="bottom"/>
          </w:tcPr>
          <w:p>
            <w:pPr>
              <w:ind w:left="260"/>
              <w:spacing w:after="0"/>
              <w:rPr>
                <w:sz w:val="20"/>
                <w:szCs w:val="20"/>
                <w:color w:val="auto"/>
              </w:rPr>
            </w:pPr>
            <w:r>
              <w:rPr>
                <w:rFonts w:ascii="Arial" w:cs="Arial" w:eastAsia="Arial" w:hAnsi="Arial"/>
                <w:sz w:val="14"/>
                <w:szCs w:val="14"/>
                <w:i w:val="1"/>
                <w:iCs w:val="1"/>
                <w:color w:val="auto"/>
              </w:rPr>
              <w:t>Salary and Bonus</w:t>
            </w:r>
          </w:p>
        </w:tc>
        <w:tc>
          <w:tcPr>
            <w:tcW w:w="2180" w:type="dxa"/>
            <w:vAlign w:val="bottom"/>
          </w:tcPr>
          <w:p>
            <w:pPr>
              <w:jc w:val="right"/>
              <w:ind w:right="8"/>
              <w:spacing w:after="0"/>
              <w:rPr>
                <w:sz w:val="20"/>
                <w:szCs w:val="20"/>
                <w:color w:val="auto"/>
              </w:rPr>
            </w:pPr>
            <w:r>
              <w:rPr>
                <w:rFonts w:ascii="Arial" w:cs="Arial" w:eastAsia="Arial" w:hAnsi="Arial"/>
                <w:sz w:val="14"/>
                <w:szCs w:val="14"/>
                <w:color w:val="auto"/>
              </w:rPr>
              <w:t>296,940</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593,879</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58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4"/>
                <w:szCs w:val="14"/>
                <w:i w:val="1"/>
                <w:iCs w:val="1"/>
                <w:color w:val="auto"/>
              </w:rPr>
              <w:t>Other Cash Payments</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15,000</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15,000</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2580" w:type="dxa"/>
            <w:vAlign w:val="bottom"/>
            <w:tcBorders>
              <w:top w:val="single" w:sz="8" w:color="auto"/>
            </w:tcBorders>
          </w:tcPr>
          <w:p>
            <w:pPr>
              <w:ind w:left="260"/>
              <w:spacing w:after="0"/>
              <w:rPr>
                <w:sz w:val="20"/>
                <w:szCs w:val="20"/>
                <w:color w:val="auto"/>
              </w:rPr>
            </w:pPr>
            <w:r>
              <w:rPr>
                <w:rFonts w:ascii="Arial" w:cs="Arial" w:eastAsia="Arial" w:hAnsi="Arial"/>
                <w:sz w:val="14"/>
                <w:szCs w:val="14"/>
                <w:i w:val="1"/>
                <w:iCs w:val="1"/>
                <w:color w:val="auto"/>
              </w:rPr>
              <w:t>Accelerated Equity</w:t>
            </w:r>
          </w:p>
        </w:tc>
        <w:tc>
          <w:tcPr>
            <w:tcW w:w="2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13,801,928</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11,716,655</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6,487,465</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12,607,138</w:t>
            </w: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58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4"/>
                <w:szCs w:val="14"/>
                <w:color w:val="auto"/>
              </w:rPr>
              <w:t>Total</w:t>
            </w:r>
          </w:p>
        </w:tc>
        <w:tc>
          <w:tcPr>
            <w:tcW w:w="21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311,940</w:t>
            </w:r>
          </w:p>
        </w:tc>
        <w:tc>
          <w:tcPr>
            <w:tcW w:w="15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14,410,807</w:t>
            </w: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11,716,655</w:t>
            </w:r>
          </w:p>
        </w:tc>
        <w:tc>
          <w:tcPr>
            <w:tcW w:w="9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6,487,465</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12,607,138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240" w:right="200" w:hanging="358"/>
        <w:spacing w:after="0" w:line="293" w:lineRule="auto"/>
        <w:tabs>
          <w:tab w:leader="none" w:pos="1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in this column reflect the payments and benefits that the NEOs would have been eligible to receive in the event of a termination without Cause or resignation for Good Reason on December 31, 2025 assuming that such date was not during the Change of Control Period.</w:t>
      </w:r>
    </w:p>
    <w:p>
      <w:pPr>
        <w:spacing w:after="0" w:line="17" w:lineRule="exact"/>
        <w:rPr>
          <w:rFonts w:ascii="Arial" w:cs="Arial" w:eastAsia="Arial" w:hAnsi="Arial"/>
          <w:sz w:val="14"/>
          <w:szCs w:val="14"/>
          <w:color w:val="auto"/>
        </w:rPr>
      </w:pPr>
    </w:p>
    <w:p>
      <w:pPr>
        <w:ind w:left="1240" w:right="160" w:hanging="358"/>
        <w:spacing w:after="0" w:line="275" w:lineRule="auto"/>
        <w:tabs>
          <w:tab w:leader="none" w:pos="1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in this column reflect the payments and benefits that the NEOs would have been eligible to receive in the event of a termination without Cause or resignation for Good Reason on December 31, 2025 assuming that such date was during the Change of Control Period, which (1) with respect to Dr. Lin, means one year after a Change of Control and (2) with respect to Dr. Murry, Dr. Chang, Mr. Yeh and Mr. Kuo, means within six months prior to a Change of Control or within one year after a Change of Control. Amounts in this column assume that PSUs will vest at the maximum level for the portion subject to the 2023, 2024 and 2025 relative TSR goals, maximum level for the portion subject to the 2023 and 2024 stock price goals and reduced level for the portion subject to the 2025 stock price goals. For purposes of this table, no value has been included for Dr. Lin’s potential tax gross-up payment under Section 280G of the IRC.</w:t>
      </w:r>
    </w:p>
    <w:p>
      <w:pPr>
        <w:spacing w:after="0" w:line="45" w:lineRule="exact"/>
        <w:rPr>
          <w:rFonts w:ascii="Arial" w:cs="Arial" w:eastAsia="Arial" w:hAnsi="Arial"/>
          <w:sz w:val="14"/>
          <w:szCs w:val="14"/>
          <w:color w:val="auto"/>
        </w:rPr>
      </w:pPr>
    </w:p>
    <w:p>
      <w:pPr>
        <w:ind w:left="1240" w:right="240" w:hanging="358"/>
        <w:spacing w:after="0" w:line="282" w:lineRule="auto"/>
        <w:tabs>
          <w:tab w:leader="none" w:pos="1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in this column reflect the payments and benefits that the NEOs would have been eligible to receive in the event of a termination due to death or disability on December 31, 2025, assuming that time-based RSUs vested in full and assuming that PSUs will vest at the target level for the portion subject to the 2023, 2024 and 2025 relative TSR goals, maximum level for the portion subject to the 2023 and 2024 stock price goals and reduced level for the portion subject to the 2025 stock price goals.</w:t>
      </w:r>
    </w:p>
    <w:p>
      <w:pPr>
        <w:spacing w:after="0" w:line="39" w:lineRule="exact"/>
        <w:rPr>
          <w:rFonts w:ascii="Arial" w:cs="Arial" w:eastAsia="Arial" w:hAnsi="Arial"/>
          <w:sz w:val="14"/>
          <w:szCs w:val="14"/>
          <w:color w:val="auto"/>
        </w:rPr>
      </w:pPr>
    </w:p>
    <w:p>
      <w:pPr>
        <w:ind w:left="1240" w:right="240" w:hanging="358"/>
        <w:spacing w:after="0" w:line="282" w:lineRule="auto"/>
        <w:tabs>
          <w:tab w:leader="none" w:pos="1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in this column reflect the payments and benefits that the NEOs would have been eligible to receive in the event of retirement on December 31, 2025, assuming that PSUs will vest at the maximum level for the portion subject to the 2023, 2024 and 2025 relative TSR goals, maximum level for the portion subject to the 2023 and 2024 stock price goals and reduced level subject to the 2025 stock price goals.</w:t>
      </w:r>
    </w:p>
    <w:p>
      <w:pPr>
        <w:spacing w:after="0" w:line="26" w:lineRule="exact"/>
        <w:rPr>
          <w:rFonts w:ascii="Arial" w:cs="Arial" w:eastAsia="Arial" w:hAnsi="Arial"/>
          <w:sz w:val="14"/>
          <w:szCs w:val="14"/>
          <w:color w:val="auto"/>
        </w:rPr>
      </w:pPr>
    </w:p>
    <w:p>
      <w:pPr>
        <w:ind w:left="1240" w:right="20" w:hanging="358"/>
        <w:spacing w:after="0" w:line="278" w:lineRule="auto"/>
        <w:tabs>
          <w:tab w:leader="none" w:pos="1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in this column reflect the payments and benefits that the NEOs would have been eligible to receive in the event of a Change of Control transaction in which the successor company refused to assume or replace outstanding awards, resulting in the vesting in full of time-vesting RSUs and vesting of a prorated portion of PSUs based on actual results measured against the performance goals as of December 31, 2025. The amounts shown assume PSUs will vest at maximum for the portion subject to the 2023, 2024 and 2025 relative TSR goals, maximum level for the portion subject to the 2023 and 2024 stock price goals and reduced for the portion subject to the 2025 stock price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195580</wp:posOffset>
            </wp:positionV>
            <wp:extent cx="334010" cy="162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19"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44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CEO Pay-Ratio Disclosure</w:t>
      </w:r>
    </w:p>
    <w:p>
      <w:pPr>
        <w:spacing w:after="0" w:line="119" w:lineRule="exact"/>
        <w:rPr>
          <w:sz w:val="20"/>
          <w:szCs w:val="20"/>
          <w:color w:val="auto"/>
        </w:rPr>
      </w:pPr>
    </w:p>
    <w:p>
      <w:pPr>
        <w:ind w:left="660" w:right="760"/>
        <w:spacing w:after="0" w:line="254" w:lineRule="auto"/>
        <w:rPr>
          <w:sz w:val="20"/>
          <w:szCs w:val="20"/>
          <w:color w:val="auto"/>
        </w:rPr>
      </w:pPr>
      <w:r>
        <w:rPr>
          <w:rFonts w:ascii="Arial" w:cs="Arial" w:eastAsia="Arial" w:hAnsi="Arial"/>
          <w:sz w:val="16"/>
          <w:szCs w:val="16"/>
          <w:color w:val="auto"/>
        </w:rPr>
        <w:t>As required by Section 953(b) of the Dodd-Frank Wall Street Reform and Consumer Protection Act of 2010 (the “Dodd-Frank Act”) and Item 402(u) of Regulation S-K, we provide the following disclosure regarding the ratio of the total annual compensation of our CEO to the total compensation for the median employee of all of our employees (excluding our CEO). Based on SEC rules for this disclosure and applying the methodology described below, we have determined that our CEO’s total compensation for the year ended December 31, 2025 was $4,769,014, and the total compensation for the median employee of all of our employees (excluding our CEO) for 2025 was $10,177.</w:t>
      </w:r>
    </w:p>
    <w:p>
      <w:pPr>
        <w:spacing w:after="0" w:line="74" w:lineRule="exact"/>
        <w:rPr>
          <w:sz w:val="20"/>
          <w:szCs w:val="20"/>
          <w:color w:val="auto"/>
        </w:rPr>
      </w:pPr>
    </w:p>
    <w:p>
      <w:pPr>
        <w:ind w:left="660" w:right="860"/>
        <w:spacing w:after="0" w:line="286" w:lineRule="auto"/>
        <w:rPr>
          <w:sz w:val="20"/>
          <w:szCs w:val="20"/>
          <w:color w:val="auto"/>
        </w:rPr>
      </w:pPr>
      <w:r>
        <w:rPr>
          <w:rFonts w:ascii="Arial" w:cs="Arial" w:eastAsia="Arial" w:hAnsi="Arial"/>
          <w:sz w:val="16"/>
          <w:szCs w:val="16"/>
          <w:color w:val="auto"/>
        </w:rPr>
        <w:t>Based on these amounts, we estimate the ratio of our CEO’s total compensation for 2025 to the total compensation for the median employee of all of our employees (excluding our CEO) for 2025 to be 469 to 1.</w:t>
      </w:r>
    </w:p>
    <w:p>
      <w:pPr>
        <w:spacing w:after="0" w:line="48" w:lineRule="exact"/>
        <w:rPr>
          <w:sz w:val="20"/>
          <w:szCs w:val="20"/>
          <w:color w:val="auto"/>
        </w:rPr>
      </w:pPr>
    </w:p>
    <w:p>
      <w:pPr>
        <w:ind w:left="660" w:right="740"/>
        <w:spacing w:after="0" w:line="253" w:lineRule="auto"/>
        <w:rPr>
          <w:sz w:val="20"/>
          <w:szCs w:val="20"/>
          <w:color w:val="auto"/>
        </w:rPr>
      </w:pPr>
      <w:r>
        <w:rPr>
          <w:rFonts w:ascii="Arial" w:cs="Arial" w:eastAsia="Arial" w:hAnsi="Arial"/>
          <w:sz w:val="16"/>
          <w:szCs w:val="16"/>
          <w:color w:val="auto"/>
        </w:rPr>
        <w:t>We selected December 31, 2025, which is the last day of the Company’s 2025 fiscal year, as the date we would use to identify our median employee. To find the median employee of all our employees (excluding our CEO), we used the employee’s compensation from our payroll records; compensation includes base salary, bonus and RSU grants. In making our determination, we did not annualize the base compensation for those employees who did not work for the Company for the entire fiscal year and did not annualize the base compensation of seasonal or temporary employees. We also did not make any cost-of-living adjustments in identifying the median employee. We used the December 31, 2025 exchange rates of 6.99 RMB to 1 USD and 31.35 NTD to 1 USD for our calculations.</w:t>
      </w:r>
    </w:p>
    <w:p>
      <w:pPr>
        <w:spacing w:after="0" w:line="73" w:lineRule="exact"/>
        <w:rPr>
          <w:sz w:val="20"/>
          <w:szCs w:val="20"/>
          <w:color w:val="auto"/>
        </w:rPr>
      </w:pPr>
    </w:p>
    <w:p>
      <w:pPr>
        <w:ind w:left="660" w:right="760"/>
        <w:spacing w:after="0" w:line="254" w:lineRule="auto"/>
        <w:rPr>
          <w:sz w:val="20"/>
          <w:szCs w:val="20"/>
          <w:color w:val="auto"/>
        </w:rPr>
      </w:pPr>
      <w:r>
        <w:rPr>
          <w:rFonts w:ascii="Arial" w:cs="Arial" w:eastAsia="Arial" w:hAnsi="Arial"/>
          <w:sz w:val="16"/>
          <w:szCs w:val="16"/>
          <w:color w:val="auto"/>
        </w:rPr>
        <w:t>In evaluating our CEO pay-ratio for 2025, we believe stockholders should take into account that approximately 84.5% of our employees as of December 31, 2025 were employed by us in our facilities in China and Taiwan (including the median employee whose compensation was used to calculate the CEO pay-ratio as described above). If we included only our employees based in the U.S. in this analysis, we estimate the total compensation for the median employee of all our U.S. employees for 2025 would be $52,209 and the ratio of our CEO’s total compensation for 2025 to the total compensation for the median employee of all our U.S. employees (excluding our CEO) for 2025 would be 91 to 1.</w:t>
      </w:r>
    </w:p>
    <w:p>
      <w:pPr>
        <w:spacing w:after="0" w:line="74" w:lineRule="exact"/>
        <w:rPr>
          <w:sz w:val="20"/>
          <w:szCs w:val="20"/>
          <w:color w:val="auto"/>
        </w:rPr>
      </w:pPr>
    </w:p>
    <w:p>
      <w:pPr>
        <w:ind w:left="660" w:right="680"/>
        <w:spacing w:after="0" w:line="254" w:lineRule="auto"/>
        <w:rPr>
          <w:sz w:val="20"/>
          <w:szCs w:val="20"/>
          <w:color w:val="auto"/>
        </w:rPr>
      </w:pPr>
      <w:r>
        <w:rPr>
          <w:rFonts w:ascii="Arial" w:cs="Arial" w:eastAsia="Arial" w:hAnsi="Arial"/>
          <w:sz w:val="16"/>
          <w:szCs w:val="16"/>
          <w:color w:val="auto"/>
        </w:rPr>
        <w:t>This pay ratio is an estimate calculated in a manner consistent with SEC rules based on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 vs. Performance</w:t>
      </w:r>
    </w:p>
    <w:p>
      <w:pPr>
        <w:spacing w:after="0" w:line="126" w:lineRule="exact"/>
        <w:rPr>
          <w:sz w:val="20"/>
          <w:szCs w:val="20"/>
          <w:color w:val="auto"/>
        </w:rPr>
      </w:pPr>
    </w:p>
    <w:p>
      <w:pPr>
        <w:ind w:left="660" w:right="1320"/>
        <w:spacing w:after="0" w:line="274" w:lineRule="auto"/>
        <w:rPr>
          <w:sz w:val="20"/>
          <w:szCs w:val="20"/>
          <w:color w:val="auto"/>
        </w:rPr>
      </w:pPr>
      <w:r>
        <w:rPr>
          <w:rFonts w:ascii="Arial" w:cs="Arial" w:eastAsia="Arial" w:hAnsi="Arial"/>
          <w:sz w:val="15"/>
          <w:szCs w:val="15"/>
          <w:color w:val="auto"/>
        </w:rPr>
        <w:t>In accordance with rules adopted by the SEC pursuant to the Dodd-Frank Act, we provide the following disclosure regarding executive compensation for our principal executive officer (“PEO”) and Non-PEO NEOs and Company performance for the</w:t>
      </w:r>
    </w:p>
    <w:p>
      <w:pPr>
        <w:ind w:left="660" w:right="860"/>
        <w:spacing w:after="0" w:line="265" w:lineRule="auto"/>
        <w:rPr>
          <w:sz w:val="20"/>
          <w:szCs w:val="20"/>
          <w:color w:val="auto"/>
        </w:rPr>
      </w:pPr>
      <w:r>
        <w:rPr>
          <w:rFonts w:ascii="Arial" w:cs="Arial" w:eastAsia="Arial" w:hAnsi="Arial"/>
          <w:sz w:val="16"/>
          <w:szCs w:val="16"/>
          <w:color w:val="auto"/>
        </w:rPr>
        <w:t>fiscal years listed below. The compensation committee did not consider the pay versus performance disclosure below in making its pay decisions for any of the years shown.</w:t>
      </w:r>
    </w:p>
    <w:p>
      <w:pPr>
        <w:spacing w:after="0" w:line="105"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760" w:type="dxa"/>
            <w:vAlign w:val="bottom"/>
            <w:shd w:val="clear" w:color="auto" w:fill="4834BA"/>
          </w:tcPr>
          <w:p>
            <w:pPr>
              <w:spacing w:after="0"/>
              <w:rPr>
                <w:sz w:val="20"/>
                <w:szCs w:val="20"/>
                <w:color w:val="auto"/>
              </w:rPr>
            </w:pPr>
          </w:p>
        </w:tc>
        <w:tc>
          <w:tcPr>
            <w:tcW w:w="1460" w:type="dxa"/>
            <w:vAlign w:val="bottom"/>
            <w:shd w:val="clear" w:color="auto" w:fill="4834BA"/>
          </w:tcPr>
          <w:p>
            <w:pPr>
              <w:spacing w:after="0"/>
              <w:rPr>
                <w:sz w:val="20"/>
                <w:szCs w:val="20"/>
                <w:color w:val="auto"/>
              </w:rPr>
            </w:pPr>
          </w:p>
        </w:tc>
        <w:tc>
          <w:tcPr>
            <w:tcW w:w="1140" w:type="dxa"/>
            <w:vAlign w:val="bottom"/>
            <w:shd w:val="clear" w:color="auto" w:fill="4834BA"/>
          </w:tcPr>
          <w:p>
            <w:pPr>
              <w:spacing w:after="0"/>
              <w:rPr>
                <w:sz w:val="20"/>
                <w:szCs w:val="20"/>
                <w:color w:val="auto"/>
              </w:rPr>
            </w:pPr>
          </w:p>
        </w:tc>
        <w:tc>
          <w:tcPr>
            <w:tcW w:w="1140" w:type="dxa"/>
            <w:vAlign w:val="bottom"/>
            <w:vMerge w:val="restart"/>
            <w:shd w:val="clear" w:color="auto" w:fill="4834BA"/>
          </w:tcPr>
          <w:p>
            <w:pPr>
              <w:jc w:val="right"/>
              <w:ind w:right="4"/>
              <w:spacing w:after="0"/>
              <w:rPr>
                <w:sz w:val="20"/>
                <w:szCs w:val="20"/>
                <w:color w:val="auto"/>
              </w:rPr>
            </w:pPr>
            <w:r>
              <w:rPr>
                <w:rFonts w:ascii="Arial" w:cs="Arial" w:eastAsia="Arial" w:hAnsi="Arial"/>
                <w:sz w:val="15"/>
                <w:szCs w:val="15"/>
                <w:b w:val="1"/>
                <w:bCs w:val="1"/>
                <w:color w:val="FFFFFF"/>
              </w:rPr>
              <w:t>Average</w:t>
            </w:r>
          </w:p>
        </w:tc>
        <w:tc>
          <w:tcPr>
            <w:tcW w:w="1140" w:type="dxa"/>
            <w:vAlign w:val="bottom"/>
            <w:shd w:val="clear" w:color="auto" w:fill="4834BA"/>
          </w:tcPr>
          <w:p>
            <w:pPr>
              <w:spacing w:after="0"/>
              <w:rPr>
                <w:sz w:val="20"/>
                <w:szCs w:val="20"/>
                <w:color w:val="auto"/>
              </w:rPr>
            </w:pPr>
          </w:p>
        </w:tc>
        <w:tc>
          <w:tcPr>
            <w:tcW w:w="1540" w:type="dxa"/>
            <w:vAlign w:val="bottom"/>
            <w:gridSpan w:val="2"/>
            <w:shd w:val="clear" w:color="auto" w:fill="4834BA"/>
          </w:tcPr>
          <w:p>
            <w:pPr>
              <w:jc w:val="right"/>
              <w:ind w:right="6"/>
              <w:spacing w:after="0"/>
              <w:rPr>
                <w:sz w:val="20"/>
                <w:szCs w:val="20"/>
                <w:color w:val="auto"/>
              </w:rPr>
            </w:pPr>
            <w:r>
              <w:rPr>
                <w:rFonts w:ascii="Arial" w:cs="Arial" w:eastAsia="Arial" w:hAnsi="Arial"/>
                <w:sz w:val="15"/>
                <w:szCs w:val="15"/>
                <w:b w:val="1"/>
                <w:bCs w:val="1"/>
                <w:color w:val="FFFFFF"/>
              </w:rPr>
              <w:t>Value of Initial</w:t>
            </w:r>
          </w:p>
        </w:tc>
        <w:tc>
          <w:tcPr>
            <w:tcW w:w="1120" w:type="dxa"/>
            <w:vAlign w:val="bottom"/>
            <w:shd w:val="clear" w:color="auto" w:fill="4834BA"/>
          </w:tcPr>
          <w:p>
            <w:pPr>
              <w:spacing w:after="0"/>
              <w:rPr>
                <w:sz w:val="20"/>
                <w:szCs w:val="20"/>
                <w:color w:val="auto"/>
              </w:rPr>
            </w:pPr>
          </w:p>
        </w:tc>
        <w:tc>
          <w:tcPr>
            <w:tcW w:w="1100" w:type="dxa"/>
            <w:vAlign w:val="bottom"/>
            <w:shd w:val="clear" w:color="auto" w:fill="4834BA"/>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760" w:type="dxa"/>
            <w:vAlign w:val="bottom"/>
            <w:shd w:val="clear" w:color="auto" w:fill="4834BA"/>
          </w:tcPr>
          <w:p>
            <w:pPr>
              <w:spacing w:after="0"/>
              <w:rPr>
                <w:sz w:val="7"/>
                <w:szCs w:val="7"/>
                <w:color w:val="auto"/>
              </w:rPr>
            </w:pPr>
          </w:p>
        </w:tc>
        <w:tc>
          <w:tcPr>
            <w:tcW w:w="1460" w:type="dxa"/>
            <w:vAlign w:val="bottom"/>
            <w:shd w:val="clear" w:color="auto" w:fill="4834BA"/>
          </w:tcPr>
          <w:p>
            <w:pPr>
              <w:spacing w:after="0"/>
              <w:rPr>
                <w:sz w:val="7"/>
                <w:szCs w:val="7"/>
                <w:color w:val="auto"/>
              </w:rPr>
            </w:pPr>
          </w:p>
        </w:tc>
        <w:tc>
          <w:tcPr>
            <w:tcW w:w="1140" w:type="dxa"/>
            <w:vAlign w:val="bottom"/>
            <w:shd w:val="clear" w:color="auto" w:fill="4834BA"/>
          </w:tcPr>
          <w:p>
            <w:pPr>
              <w:spacing w:after="0"/>
              <w:rPr>
                <w:sz w:val="7"/>
                <w:szCs w:val="7"/>
                <w:color w:val="auto"/>
              </w:rPr>
            </w:pPr>
          </w:p>
        </w:tc>
        <w:tc>
          <w:tcPr>
            <w:tcW w:w="1140" w:type="dxa"/>
            <w:vAlign w:val="bottom"/>
            <w:vMerge w:val="continue"/>
            <w:shd w:val="clear" w:color="auto" w:fill="4834BA"/>
          </w:tcPr>
          <w:p>
            <w:pPr>
              <w:spacing w:after="0"/>
              <w:rPr>
                <w:sz w:val="7"/>
                <w:szCs w:val="7"/>
                <w:color w:val="auto"/>
              </w:rPr>
            </w:pPr>
          </w:p>
        </w:tc>
        <w:tc>
          <w:tcPr>
            <w:tcW w:w="1140" w:type="dxa"/>
            <w:vAlign w:val="bottom"/>
            <w:shd w:val="clear" w:color="auto" w:fill="4834BA"/>
          </w:tcPr>
          <w:p>
            <w:pPr>
              <w:spacing w:after="0"/>
              <w:rPr>
                <w:sz w:val="7"/>
                <w:szCs w:val="7"/>
                <w:color w:val="auto"/>
              </w:rPr>
            </w:pPr>
          </w:p>
        </w:tc>
        <w:tc>
          <w:tcPr>
            <w:tcW w:w="600" w:type="dxa"/>
            <w:vAlign w:val="bottom"/>
            <w:shd w:val="clear" w:color="auto" w:fill="4834BA"/>
          </w:tcPr>
          <w:p>
            <w:pPr>
              <w:spacing w:after="0"/>
              <w:rPr>
                <w:sz w:val="7"/>
                <w:szCs w:val="7"/>
                <w:color w:val="auto"/>
              </w:rPr>
            </w:pPr>
          </w:p>
        </w:tc>
        <w:tc>
          <w:tcPr>
            <w:tcW w:w="940" w:type="dxa"/>
            <w:vAlign w:val="bottom"/>
            <w:vMerge w:val="restart"/>
            <w:shd w:val="clear" w:color="auto" w:fill="4834BA"/>
          </w:tcPr>
          <w:p>
            <w:pPr>
              <w:jc w:val="right"/>
              <w:ind w:right="6"/>
              <w:spacing w:after="0"/>
              <w:rPr>
                <w:sz w:val="20"/>
                <w:szCs w:val="20"/>
                <w:color w:val="auto"/>
              </w:rPr>
            </w:pPr>
            <w:r>
              <w:rPr>
                <w:rFonts w:ascii="Arial" w:cs="Arial" w:eastAsia="Arial" w:hAnsi="Arial"/>
                <w:sz w:val="15"/>
                <w:szCs w:val="15"/>
                <w:b w:val="1"/>
                <w:bCs w:val="1"/>
                <w:color w:val="FFFFFF"/>
              </w:rPr>
              <w:t>Fixed $100</w:t>
            </w:r>
          </w:p>
        </w:tc>
        <w:tc>
          <w:tcPr>
            <w:tcW w:w="1120" w:type="dxa"/>
            <w:vAlign w:val="bottom"/>
            <w:shd w:val="clear" w:color="auto" w:fill="4834BA"/>
          </w:tcPr>
          <w:p>
            <w:pPr>
              <w:spacing w:after="0"/>
              <w:rPr>
                <w:sz w:val="7"/>
                <w:szCs w:val="7"/>
                <w:color w:val="auto"/>
              </w:rPr>
            </w:pPr>
          </w:p>
        </w:tc>
        <w:tc>
          <w:tcPr>
            <w:tcW w:w="1100" w:type="dxa"/>
            <w:vAlign w:val="bottom"/>
            <w:shd w:val="clear" w:color="auto" w:fill="4834BA"/>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60" w:type="dxa"/>
            <w:vAlign w:val="bottom"/>
            <w:shd w:val="clear" w:color="auto" w:fill="4834BA"/>
          </w:tcPr>
          <w:p>
            <w:pPr>
              <w:spacing w:after="0"/>
              <w:rPr>
                <w:sz w:val="8"/>
                <w:szCs w:val="8"/>
                <w:color w:val="auto"/>
              </w:rPr>
            </w:pPr>
          </w:p>
        </w:tc>
        <w:tc>
          <w:tcPr>
            <w:tcW w:w="1460" w:type="dxa"/>
            <w:vAlign w:val="bottom"/>
            <w:shd w:val="clear" w:color="auto" w:fill="4834BA"/>
          </w:tcPr>
          <w:p>
            <w:pPr>
              <w:spacing w:after="0"/>
              <w:rPr>
                <w:sz w:val="8"/>
                <w:szCs w:val="8"/>
                <w:color w:val="auto"/>
              </w:rPr>
            </w:pPr>
          </w:p>
        </w:tc>
        <w:tc>
          <w:tcPr>
            <w:tcW w:w="1140" w:type="dxa"/>
            <w:vAlign w:val="bottom"/>
            <w:shd w:val="clear" w:color="auto" w:fill="4834BA"/>
          </w:tcPr>
          <w:p>
            <w:pPr>
              <w:spacing w:after="0"/>
              <w:rPr>
                <w:sz w:val="8"/>
                <w:szCs w:val="8"/>
                <w:color w:val="auto"/>
              </w:rPr>
            </w:pPr>
          </w:p>
        </w:tc>
        <w:tc>
          <w:tcPr>
            <w:tcW w:w="1140" w:type="dxa"/>
            <w:vAlign w:val="bottom"/>
            <w:vMerge w:val="restart"/>
            <w:shd w:val="clear" w:color="auto" w:fill="4834BA"/>
          </w:tcPr>
          <w:p>
            <w:pPr>
              <w:jc w:val="right"/>
              <w:ind w:right="4"/>
              <w:spacing w:after="0"/>
              <w:rPr>
                <w:sz w:val="20"/>
                <w:szCs w:val="20"/>
                <w:color w:val="auto"/>
              </w:rPr>
            </w:pPr>
            <w:r>
              <w:rPr>
                <w:rFonts w:ascii="Arial" w:cs="Arial" w:eastAsia="Arial" w:hAnsi="Arial"/>
                <w:sz w:val="15"/>
                <w:szCs w:val="15"/>
                <w:b w:val="1"/>
                <w:bCs w:val="1"/>
                <w:color w:val="FFFFFF"/>
              </w:rPr>
              <w:t>Summary</w:t>
            </w:r>
          </w:p>
        </w:tc>
        <w:tc>
          <w:tcPr>
            <w:tcW w:w="1140" w:type="dxa"/>
            <w:vAlign w:val="bottom"/>
            <w:vMerge w:val="restart"/>
            <w:shd w:val="clear" w:color="auto" w:fill="4834BA"/>
          </w:tcPr>
          <w:p>
            <w:pPr>
              <w:jc w:val="right"/>
              <w:ind w:right="7"/>
              <w:spacing w:after="0"/>
              <w:rPr>
                <w:sz w:val="20"/>
                <w:szCs w:val="20"/>
                <w:color w:val="auto"/>
              </w:rPr>
            </w:pPr>
            <w:r>
              <w:rPr>
                <w:rFonts w:ascii="Arial" w:cs="Arial" w:eastAsia="Arial" w:hAnsi="Arial"/>
                <w:sz w:val="15"/>
                <w:szCs w:val="15"/>
                <w:b w:val="1"/>
                <w:bCs w:val="1"/>
                <w:color w:val="FFFFFF"/>
              </w:rPr>
              <w:t>Average</w:t>
            </w:r>
          </w:p>
        </w:tc>
        <w:tc>
          <w:tcPr>
            <w:tcW w:w="600" w:type="dxa"/>
            <w:vAlign w:val="bottom"/>
            <w:shd w:val="clear" w:color="auto" w:fill="4834BA"/>
          </w:tcPr>
          <w:p>
            <w:pPr>
              <w:spacing w:after="0"/>
              <w:rPr>
                <w:sz w:val="8"/>
                <w:szCs w:val="8"/>
                <w:color w:val="auto"/>
              </w:rPr>
            </w:pPr>
          </w:p>
        </w:tc>
        <w:tc>
          <w:tcPr>
            <w:tcW w:w="940" w:type="dxa"/>
            <w:vAlign w:val="bottom"/>
            <w:vMerge w:val="continue"/>
            <w:shd w:val="clear" w:color="auto" w:fill="4834BA"/>
          </w:tcPr>
          <w:p>
            <w:pPr>
              <w:spacing w:after="0"/>
              <w:rPr>
                <w:sz w:val="8"/>
                <w:szCs w:val="8"/>
                <w:color w:val="auto"/>
              </w:rPr>
            </w:pPr>
          </w:p>
        </w:tc>
        <w:tc>
          <w:tcPr>
            <w:tcW w:w="1120" w:type="dxa"/>
            <w:vAlign w:val="bottom"/>
            <w:shd w:val="clear" w:color="auto" w:fill="4834BA"/>
          </w:tcPr>
          <w:p>
            <w:pPr>
              <w:spacing w:after="0"/>
              <w:rPr>
                <w:sz w:val="8"/>
                <w:szCs w:val="8"/>
                <w:color w:val="auto"/>
              </w:rPr>
            </w:pPr>
          </w:p>
        </w:tc>
        <w:tc>
          <w:tcPr>
            <w:tcW w:w="1100" w:type="dxa"/>
            <w:vAlign w:val="bottom"/>
            <w:shd w:val="clear" w:color="auto" w:fill="4834BA"/>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60" w:type="dxa"/>
            <w:vAlign w:val="bottom"/>
            <w:shd w:val="clear" w:color="auto" w:fill="4834BA"/>
          </w:tcPr>
          <w:p>
            <w:pPr>
              <w:spacing w:after="0"/>
              <w:rPr>
                <w:sz w:val="7"/>
                <w:szCs w:val="7"/>
                <w:color w:val="auto"/>
              </w:rPr>
            </w:pPr>
          </w:p>
        </w:tc>
        <w:tc>
          <w:tcPr>
            <w:tcW w:w="1460" w:type="dxa"/>
            <w:vAlign w:val="bottom"/>
            <w:shd w:val="clear" w:color="auto" w:fill="4834BA"/>
          </w:tcPr>
          <w:p>
            <w:pPr>
              <w:spacing w:after="0"/>
              <w:rPr>
                <w:sz w:val="7"/>
                <w:szCs w:val="7"/>
                <w:color w:val="auto"/>
              </w:rPr>
            </w:pPr>
          </w:p>
        </w:tc>
        <w:tc>
          <w:tcPr>
            <w:tcW w:w="1140" w:type="dxa"/>
            <w:vAlign w:val="bottom"/>
            <w:shd w:val="clear" w:color="auto" w:fill="4834BA"/>
          </w:tcPr>
          <w:p>
            <w:pPr>
              <w:spacing w:after="0"/>
              <w:rPr>
                <w:sz w:val="7"/>
                <w:szCs w:val="7"/>
                <w:color w:val="auto"/>
              </w:rPr>
            </w:pPr>
          </w:p>
        </w:tc>
        <w:tc>
          <w:tcPr>
            <w:tcW w:w="1140" w:type="dxa"/>
            <w:vAlign w:val="bottom"/>
            <w:vMerge w:val="continue"/>
            <w:shd w:val="clear" w:color="auto" w:fill="4834BA"/>
          </w:tcPr>
          <w:p>
            <w:pPr>
              <w:spacing w:after="0"/>
              <w:rPr>
                <w:sz w:val="7"/>
                <w:szCs w:val="7"/>
                <w:color w:val="auto"/>
              </w:rPr>
            </w:pPr>
          </w:p>
        </w:tc>
        <w:tc>
          <w:tcPr>
            <w:tcW w:w="1140" w:type="dxa"/>
            <w:vAlign w:val="bottom"/>
            <w:vMerge w:val="continue"/>
            <w:shd w:val="clear" w:color="auto" w:fill="4834BA"/>
          </w:tcPr>
          <w:p>
            <w:pPr>
              <w:spacing w:after="0"/>
              <w:rPr>
                <w:sz w:val="7"/>
                <w:szCs w:val="7"/>
                <w:color w:val="auto"/>
              </w:rPr>
            </w:pPr>
          </w:p>
        </w:tc>
        <w:tc>
          <w:tcPr>
            <w:tcW w:w="600" w:type="dxa"/>
            <w:vAlign w:val="bottom"/>
            <w:shd w:val="clear" w:color="auto" w:fill="4834BA"/>
          </w:tcPr>
          <w:p>
            <w:pPr>
              <w:spacing w:after="0"/>
              <w:rPr>
                <w:sz w:val="7"/>
                <w:szCs w:val="7"/>
                <w:color w:val="auto"/>
              </w:rPr>
            </w:pPr>
          </w:p>
        </w:tc>
        <w:tc>
          <w:tcPr>
            <w:tcW w:w="940" w:type="dxa"/>
            <w:vAlign w:val="bottom"/>
            <w:vMerge w:val="restart"/>
            <w:shd w:val="clear" w:color="auto" w:fill="4834BA"/>
          </w:tcPr>
          <w:p>
            <w:pPr>
              <w:jc w:val="right"/>
              <w:ind w:right="6"/>
              <w:spacing w:after="0" w:line="163" w:lineRule="exact"/>
              <w:rPr>
                <w:sz w:val="20"/>
                <w:szCs w:val="20"/>
                <w:color w:val="auto"/>
              </w:rPr>
            </w:pPr>
            <w:r>
              <w:rPr>
                <w:rFonts w:ascii="Arial" w:cs="Arial" w:eastAsia="Arial" w:hAnsi="Arial"/>
                <w:sz w:val="15"/>
                <w:szCs w:val="15"/>
                <w:b w:val="1"/>
                <w:bCs w:val="1"/>
                <w:color w:val="FFFFFF"/>
              </w:rPr>
              <w:t>Investment</w:t>
            </w:r>
          </w:p>
        </w:tc>
        <w:tc>
          <w:tcPr>
            <w:tcW w:w="1120" w:type="dxa"/>
            <w:vAlign w:val="bottom"/>
            <w:shd w:val="clear" w:color="auto" w:fill="4834BA"/>
          </w:tcPr>
          <w:p>
            <w:pPr>
              <w:spacing w:after="0"/>
              <w:rPr>
                <w:sz w:val="7"/>
                <w:szCs w:val="7"/>
                <w:color w:val="auto"/>
              </w:rPr>
            </w:pPr>
          </w:p>
        </w:tc>
        <w:tc>
          <w:tcPr>
            <w:tcW w:w="1100" w:type="dxa"/>
            <w:vAlign w:val="bottom"/>
            <w:shd w:val="clear" w:color="auto" w:fill="4834BA"/>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760" w:type="dxa"/>
            <w:vAlign w:val="bottom"/>
            <w:shd w:val="clear" w:color="auto" w:fill="4834BA"/>
          </w:tcPr>
          <w:p>
            <w:pPr>
              <w:spacing w:after="0"/>
              <w:rPr>
                <w:sz w:val="7"/>
                <w:szCs w:val="7"/>
                <w:color w:val="auto"/>
              </w:rPr>
            </w:pPr>
          </w:p>
        </w:tc>
        <w:tc>
          <w:tcPr>
            <w:tcW w:w="1460" w:type="dxa"/>
            <w:vAlign w:val="bottom"/>
            <w:vMerge w:val="restart"/>
            <w:shd w:val="clear" w:color="auto" w:fill="4834BA"/>
          </w:tcPr>
          <w:p>
            <w:pPr>
              <w:jc w:val="right"/>
              <w:ind w:right="24"/>
              <w:spacing w:after="0"/>
              <w:rPr>
                <w:sz w:val="20"/>
                <w:szCs w:val="20"/>
                <w:color w:val="auto"/>
              </w:rPr>
            </w:pPr>
            <w:r>
              <w:rPr>
                <w:rFonts w:ascii="Arial" w:cs="Arial" w:eastAsia="Arial" w:hAnsi="Arial"/>
                <w:sz w:val="15"/>
                <w:szCs w:val="15"/>
                <w:b w:val="1"/>
                <w:bCs w:val="1"/>
                <w:color w:val="FFFFFF"/>
              </w:rPr>
              <w:t>Summary</w:t>
            </w:r>
          </w:p>
        </w:tc>
        <w:tc>
          <w:tcPr>
            <w:tcW w:w="1140" w:type="dxa"/>
            <w:vAlign w:val="bottom"/>
            <w:shd w:val="clear" w:color="auto" w:fill="4834BA"/>
          </w:tcPr>
          <w:p>
            <w:pPr>
              <w:spacing w:after="0"/>
              <w:rPr>
                <w:sz w:val="7"/>
                <w:szCs w:val="7"/>
                <w:color w:val="auto"/>
              </w:rPr>
            </w:pPr>
          </w:p>
        </w:tc>
        <w:tc>
          <w:tcPr>
            <w:tcW w:w="1140" w:type="dxa"/>
            <w:vAlign w:val="bottom"/>
            <w:vMerge w:val="restart"/>
            <w:shd w:val="clear" w:color="auto" w:fill="4834BA"/>
          </w:tcPr>
          <w:p>
            <w:pPr>
              <w:jc w:val="right"/>
              <w:ind w:right="4"/>
              <w:spacing w:after="0"/>
              <w:rPr>
                <w:sz w:val="20"/>
                <w:szCs w:val="20"/>
                <w:color w:val="auto"/>
              </w:rPr>
            </w:pPr>
            <w:r>
              <w:rPr>
                <w:rFonts w:ascii="Arial" w:cs="Arial" w:eastAsia="Arial" w:hAnsi="Arial"/>
                <w:sz w:val="15"/>
                <w:szCs w:val="15"/>
                <w:b w:val="1"/>
                <w:bCs w:val="1"/>
                <w:color w:val="FFFFFF"/>
                <w:w w:val="99"/>
              </w:rPr>
              <w:t>Compensation</w:t>
            </w:r>
          </w:p>
        </w:tc>
        <w:tc>
          <w:tcPr>
            <w:tcW w:w="1140" w:type="dxa"/>
            <w:vAlign w:val="bottom"/>
            <w:vMerge w:val="restart"/>
            <w:shd w:val="clear" w:color="auto" w:fill="4834BA"/>
          </w:tcPr>
          <w:p>
            <w:pPr>
              <w:jc w:val="right"/>
              <w:ind w:right="7"/>
              <w:spacing w:after="0"/>
              <w:rPr>
                <w:sz w:val="20"/>
                <w:szCs w:val="20"/>
                <w:color w:val="auto"/>
              </w:rPr>
            </w:pPr>
            <w:r>
              <w:rPr>
                <w:rFonts w:ascii="Arial" w:cs="Arial" w:eastAsia="Arial" w:hAnsi="Arial"/>
                <w:sz w:val="15"/>
                <w:szCs w:val="15"/>
                <w:b w:val="1"/>
                <w:bCs w:val="1"/>
                <w:color w:val="FFFFFF"/>
                <w:w w:val="99"/>
              </w:rPr>
              <w:t>Compensation</w:t>
            </w:r>
          </w:p>
        </w:tc>
        <w:tc>
          <w:tcPr>
            <w:tcW w:w="600" w:type="dxa"/>
            <w:vAlign w:val="bottom"/>
            <w:shd w:val="clear" w:color="auto" w:fill="4834BA"/>
          </w:tcPr>
          <w:p>
            <w:pPr>
              <w:spacing w:after="0"/>
              <w:rPr>
                <w:sz w:val="7"/>
                <w:szCs w:val="7"/>
                <w:color w:val="auto"/>
              </w:rPr>
            </w:pPr>
          </w:p>
        </w:tc>
        <w:tc>
          <w:tcPr>
            <w:tcW w:w="940" w:type="dxa"/>
            <w:vAlign w:val="bottom"/>
            <w:vMerge w:val="continue"/>
            <w:shd w:val="clear" w:color="auto" w:fill="4834BA"/>
          </w:tcPr>
          <w:p>
            <w:pPr>
              <w:spacing w:after="0"/>
              <w:rPr>
                <w:sz w:val="7"/>
                <w:szCs w:val="7"/>
                <w:color w:val="auto"/>
              </w:rPr>
            </w:pPr>
          </w:p>
        </w:tc>
        <w:tc>
          <w:tcPr>
            <w:tcW w:w="1120" w:type="dxa"/>
            <w:vAlign w:val="bottom"/>
            <w:shd w:val="clear" w:color="auto" w:fill="4834BA"/>
          </w:tcPr>
          <w:p>
            <w:pPr>
              <w:spacing w:after="0"/>
              <w:rPr>
                <w:sz w:val="7"/>
                <w:szCs w:val="7"/>
                <w:color w:val="auto"/>
              </w:rPr>
            </w:pPr>
          </w:p>
        </w:tc>
        <w:tc>
          <w:tcPr>
            <w:tcW w:w="1100" w:type="dxa"/>
            <w:vAlign w:val="bottom"/>
            <w:shd w:val="clear" w:color="auto" w:fill="4834BA"/>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60" w:type="dxa"/>
            <w:vAlign w:val="bottom"/>
            <w:shd w:val="clear" w:color="auto" w:fill="4834BA"/>
          </w:tcPr>
          <w:p>
            <w:pPr>
              <w:spacing w:after="0"/>
              <w:rPr>
                <w:sz w:val="9"/>
                <w:szCs w:val="9"/>
                <w:color w:val="auto"/>
              </w:rPr>
            </w:pPr>
          </w:p>
        </w:tc>
        <w:tc>
          <w:tcPr>
            <w:tcW w:w="1460" w:type="dxa"/>
            <w:vAlign w:val="bottom"/>
            <w:vMerge w:val="continue"/>
            <w:shd w:val="clear" w:color="auto" w:fill="4834BA"/>
          </w:tcPr>
          <w:p>
            <w:pPr>
              <w:spacing w:after="0"/>
              <w:rPr>
                <w:sz w:val="9"/>
                <w:szCs w:val="9"/>
                <w:color w:val="auto"/>
              </w:rPr>
            </w:pPr>
          </w:p>
        </w:tc>
        <w:tc>
          <w:tcPr>
            <w:tcW w:w="1140" w:type="dxa"/>
            <w:vAlign w:val="bottom"/>
            <w:shd w:val="clear" w:color="auto" w:fill="4834BA"/>
          </w:tcPr>
          <w:p>
            <w:pPr>
              <w:spacing w:after="0"/>
              <w:rPr>
                <w:sz w:val="9"/>
                <w:szCs w:val="9"/>
                <w:color w:val="auto"/>
              </w:rPr>
            </w:pPr>
          </w:p>
        </w:tc>
        <w:tc>
          <w:tcPr>
            <w:tcW w:w="1140" w:type="dxa"/>
            <w:vAlign w:val="bottom"/>
            <w:vMerge w:val="continue"/>
            <w:shd w:val="clear" w:color="auto" w:fill="4834BA"/>
          </w:tcPr>
          <w:p>
            <w:pPr>
              <w:spacing w:after="0"/>
              <w:rPr>
                <w:sz w:val="9"/>
                <w:szCs w:val="9"/>
                <w:color w:val="auto"/>
              </w:rPr>
            </w:pPr>
          </w:p>
        </w:tc>
        <w:tc>
          <w:tcPr>
            <w:tcW w:w="1140" w:type="dxa"/>
            <w:vAlign w:val="bottom"/>
            <w:vMerge w:val="continue"/>
            <w:shd w:val="clear" w:color="auto" w:fill="4834BA"/>
          </w:tcPr>
          <w:p>
            <w:pPr>
              <w:spacing w:after="0"/>
              <w:rPr>
                <w:sz w:val="9"/>
                <w:szCs w:val="9"/>
                <w:color w:val="auto"/>
              </w:rPr>
            </w:pPr>
          </w:p>
        </w:tc>
        <w:tc>
          <w:tcPr>
            <w:tcW w:w="600" w:type="dxa"/>
            <w:vAlign w:val="bottom"/>
            <w:shd w:val="clear" w:color="auto" w:fill="4834BA"/>
          </w:tcPr>
          <w:p>
            <w:pPr>
              <w:spacing w:after="0"/>
              <w:rPr>
                <w:sz w:val="9"/>
                <w:szCs w:val="9"/>
                <w:color w:val="auto"/>
              </w:rPr>
            </w:pPr>
          </w:p>
        </w:tc>
        <w:tc>
          <w:tcPr>
            <w:tcW w:w="940" w:type="dxa"/>
            <w:vAlign w:val="bottom"/>
            <w:shd w:val="clear" w:color="auto" w:fill="4834BA"/>
          </w:tcPr>
          <w:p>
            <w:pPr>
              <w:jc w:val="right"/>
              <w:spacing w:after="0" w:line="110" w:lineRule="exact"/>
              <w:rPr>
                <w:sz w:val="20"/>
                <w:szCs w:val="20"/>
                <w:color w:val="auto"/>
              </w:rPr>
            </w:pPr>
            <w:r>
              <w:rPr>
                <w:rFonts w:ascii="Arial" w:cs="Arial" w:eastAsia="Arial" w:hAnsi="Arial"/>
                <w:sz w:val="10"/>
                <w:szCs w:val="10"/>
                <w:b w:val="1"/>
                <w:bCs w:val="1"/>
                <w:color w:val="FFFFFF"/>
              </w:rPr>
              <w:t>based on:</w:t>
            </w:r>
            <w:r>
              <w:rPr>
                <w:rFonts w:ascii="Arial" w:cs="Arial" w:eastAsia="Arial" w:hAnsi="Arial"/>
                <w:sz w:val="12"/>
                <w:szCs w:val="12"/>
                <w:b w:val="1"/>
                <w:bCs w:val="1"/>
                <w:color w:val="FFFFFF"/>
                <w:vertAlign w:val="superscript"/>
              </w:rPr>
              <w:t>(4)</w:t>
            </w:r>
          </w:p>
        </w:tc>
        <w:tc>
          <w:tcPr>
            <w:tcW w:w="1120" w:type="dxa"/>
            <w:vAlign w:val="bottom"/>
            <w:shd w:val="clear" w:color="auto" w:fill="4834BA"/>
          </w:tcPr>
          <w:p>
            <w:pPr>
              <w:spacing w:after="0"/>
              <w:rPr>
                <w:sz w:val="9"/>
                <w:szCs w:val="9"/>
                <w:color w:val="auto"/>
              </w:rPr>
            </w:pPr>
          </w:p>
        </w:tc>
        <w:tc>
          <w:tcPr>
            <w:tcW w:w="1100" w:type="dxa"/>
            <w:vAlign w:val="bottom"/>
            <w:shd w:val="clear" w:color="auto" w:fill="4834BA"/>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4834BA"/>
          </w:tcPr>
          <w:p>
            <w:pPr>
              <w:spacing w:after="0"/>
              <w:rPr>
                <w:sz w:val="12"/>
                <w:szCs w:val="12"/>
                <w:color w:val="auto"/>
              </w:rPr>
            </w:pPr>
          </w:p>
        </w:tc>
        <w:tc>
          <w:tcPr>
            <w:tcW w:w="1460" w:type="dxa"/>
            <w:vAlign w:val="bottom"/>
            <w:shd w:val="clear" w:color="auto" w:fill="4834BA"/>
          </w:tcPr>
          <w:p>
            <w:pPr>
              <w:jc w:val="right"/>
              <w:ind w:right="24"/>
              <w:spacing w:after="0" w:line="146" w:lineRule="exact"/>
              <w:rPr>
                <w:sz w:val="20"/>
                <w:szCs w:val="20"/>
                <w:color w:val="auto"/>
              </w:rPr>
            </w:pPr>
            <w:r>
              <w:rPr>
                <w:rFonts w:ascii="Arial" w:cs="Arial" w:eastAsia="Arial" w:hAnsi="Arial"/>
                <w:sz w:val="15"/>
                <w:szCs w:val="15"/>
                <w:b w:val="1"/>
                <w:bCs w:val="1"/>
                <w:color w:val="FFFFFF"/>
              </w:rPr>
              <w:t>Compensation</w:t>
            </w:r>
          </w:p>
        </w:tc>
        <w:tc>
          <w:tcPr>
            <w:tcW w:w="1140" w:type="dxa"/>
            <w:vAlign w:val="bottom"/>
            <w:shd w:val="clear" w:color="auto" w:fill="4834BA"/>
          </w:tcPr>
          <w:p>
            <w:pPr>
              <w:jc w:val="right"/>
              <w:ind w:right="8"/>
              <w:spacing w:after="0" w:line="146" w:lineRule="exact"/>
              <w:rPr>
                <w:sz w:val="20"/>
                <w:szCs w:val="20"/>
                <w:color w:val="auto"/>
              </w:rPr>
            </w:pPr>
            <w:r>
              <w:rPr>
                <w:rFonts w:ascii="Arial" w:cs="Arial" w:eastAsia="Arial" w:hAnsi="Arial"/>
                <w:sz w:val="15"/>
                <w:szCs w:val="15"/>
                <w:b w:val="1"/>
                <w:bCs w:val="1"/>
                <w:color w:val="FFFFFF"/>
                <w:w w:val="99"/>
              </w:rPr>
              <w:t>Compensation</w:t>
            </w:r>
          </w:p>
        </w:tc>
        <w:tc>
          <w:tcPr>
            <w:tcW w:w="1140" w:type="dxa"/>
            <w:vAlign w:val="bottom"/>
            <w:shd w:val="clear" w:color="auto" w:fill="4834BA"/>
          </w:tcPr>
          <w:p>
            <w:pPr>
              <w:jc w:val="right"/>
              <w:ind w:right="4"/>
              <w:spacing w:after="0" w:line="146" w:lineRule="exact"/>
              <w:rPr>
                <w:sz w:val="20"/>
                <w:szCs w:val="20"/>
                <w:color w:val="auto"/>
              </w:rPr>
            </w:pPr>
            <w:r>
              <w:rPr>
                <w:rFonts w:ascii="Arial" w:cs="Arial" w:eastAsia="Arial" w:hAnsi="Arial"/>
                <w:sz w:val="15"/>
                <w:szCs w:val="15"/>
                <w:b w:val="1"/>
                <w:bCs w:val="1"/>
                <w:color w:val="FFFFFF"/>
              </w:rPr>
              <w:t>Table Total for</w:t>
            </w:r>
          </w:p>
        </w:tc>
        <w:tc>
          <w:tcPr>
            <w:tcW w:w="1140" w:type="dxa"/>
            <w:vAlign w:val="bottom"/>
            <w:shd w:val="clear" w:color="auto" w:fill="4834BA"/>
          </w:tcPr>
          <w:p>
            <w:pPr>
              <w:jc w:val="right"/>
              <w:ind w:right="7"/>
              <w:spacing w:after="0" w:line="146" w:lineRule="exact"/>
              <w:rPr>
                <w:sz w:val="20"/>
                <w:szCs w:val="20"/>
                <w:color w:val="auto"/>
              </w:rPr>
            </w:pPr>
            <w:r>
              <w:rPr>
                <w:rFonts w:ascii="Arial" w:cs="Arial" w:eastAsia="Arial" w:hAnsi="Arial"/>
                <w:sz w:val="15"/>
                <w:szCs w:val="15"/>
                <w:b w:val="1"/>
                <w:bCs w:val="1"/>
                <w:color w:val="FFFFFF"/>
              </w:rPr>
              <w:t>Actually Paid</w:t>
            </w:r>
          </w:p>
        </w:tc>
        <w:tc>
          <w:tcPr>
            <w:tcW w:w="600" w:type="dxa"/>
            <w:vAlign w:val="bottom"/>
            <w:shd w:val="clear" w:color="auto" w:fill="4834BA"/>
          </w:tcPr>
          <w:p>
            <w:pPr>
              <w:spacing w:after="0"/>
              <w:rPr>
                <w:sz w:val="12"/>
                <w:szCs w:val="12"/>
                <w:color w:val="auto"/>
              </w:rPr>
            </w:pPr>
          </w:p>
        </w:tc>
        <w:tc>
          <w:tcPr>
            <w:tcW w:w="940" w:type="dxa"/>
            <w:vAlign w:val="bottom"/>
            <w:shd w:val="clear" w:color="auto" w:fill="4834BA"/>
          </w:tcPr>
          <w:p>
            <w:pPr>
              <w:spacing w:after="0"/>
              <w:rPr>
                <w:sz w:val="12"/>
                <w:szCs w:val="12"/>
                <w:color w:val="auto"/>
              </w:rPr>
            </w:pPr>
          </w:p>
        </w:tc>
        <w:tc>
          <w:tcPr>
            <w:tcW w:w="1120" w:type="dxa"/>
            <w:vAlign w:val="bottom"/>
            <w:shd w:val="clear" w:color="auto" w:fill="4834BA"/>
          </w:tcPr>
          <w:p>
            <w:pPr>
              <w:spacing w:after="0"/>
              <w:rPr>
                <w:sz w:val="12"/>
                <w:szCs w:val="12"/>
                <w:color w:val="auto"/>
              </w:rPr>
            </w:pPr>
          </w:p>
        </w:tc>
        <w:tc>
          <w:tcPr>
            <w:tcW w:w="1100" w:type="dxa"/>
            <w:vAlign w:val="bottom"/>
            <w:shd w:val="clear" w:color="auto" w:fill="4834BA"/>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0" w:type="dxa"/>
            <w:vAlign w:val="bottom"/>
            <w:shd w:val="clear" w:color="auto" w:fill="4834BA"/>
          </w:tcPr>
          <w:p>
            <w:pPr>
              <w:spacing w:after="0"/>
              <w:rPr>
                <w:sz w:val="14"/>
                <w:szCs w:val="14"/>
                <w:color w:val="auto"/>
              </w:rPr>
            </w:pPr>
          </w:p>
        </w:tc>
        <w:tc>
          <w:tcPr>
            <w:tcW w:w="1460" w:type="dxa"/>
            <w:vAlign w:val="bottom"/>
            <w:shd w:val="clear" w:color="auto" w:fill="4834BA"/>
          </w:tcPr>
          <w:p>
            <w:pPr>
              <w:jc w:val="right"/>
              <w:ind w:right="24"/>
              <w:spacing w:after="0" w:line="168" w:lineRule="exact"/>
              <w:rPr>
                <w:sz w:val="20"/>
                <w:szCs w:val="20"/>
                <w:color w:val="auto"/>
              </w:rPr>
            </w:pPr>
            <w:r>
              <w:rPr>
                <w:rFonts w:ascii="Arial" w:cs="Arial" w:eastAsia="Arial" w:hAnsi="Arial"/>
                <w:sz w:val="15"/>
                <w:szCs w:val="15"/>
                <w:b w:val="1"/>
                <w:bCs w:val="1"/>
                <w:color w:val="FFFFFF"/>
              </w:rPr>
              <w:t>Table Total for</w:t>
            </w:r>
          </w:p>
        </w:tc>
        <w:tc>
          <w:tcPr>
            <w:tcW w:w="1140" w:type="dxa"/>
            <w:vAlign w:val="bottom"/>
            <w:shd w:val="clear" w:color="auto" w:fill="4834BA"/>
          </w:tcPr>
          <w:p>
            <w:pPr>
              <w:jc w:val="right"/>
              <w:ind w:right="8"/>
              <w:spacing w:after="0" w:line="168" w:lineRule="exact"/>
              <w:rPr>
                <w:sz w:val="20"/>
                <w:szCs w:val="20"/>
                <w:color w:val="auto"/>
              </w:rPr>
            </w:pPr>
            <w:r>
              <w:rPr>
                <w:rFonts w:ascii="Arial" w:cs="Arial" w:eastAsia="Arial" w:hAnsi="Arial"/>
                <w:sz w:val="15"/>
                <w:szCs w:val="15"/>
                <w:b w:val="1"/>
                <w:bCs w:val="1"/>
                <w:color w:val="FFFFFF"/>
              </w:rPr>
              <w:t>Actually Paid</w:t>
            </w:r>
          </w:p>
        </w:tc>
        <w:tc>
          <w:tcPr>
            <w:tcW w:w="1140" w:type="dxa"/>
            <w:vAlign w:val="bottom"/>
            <w:shd w:val="clear" w:color="auto" w:fill="4834BA"/>
          </w:tcPr>
          <w:p>
            <w:pPr>
              <w:jc w:val="right"/>
              <w:ind w:right="4"/>
              <w:spacing w:after="0" w:line="168" w:lineRule="exact"/>
              <w:rPr>
                <w:sz w:val="20"/>
                <w:szCs w:val="20"/>
                <w:color w:val="auto"/>
              </w:rPr>
            </w:pPr>
            <w:r>
              <w:rPr>
                <w:rFonts w:ascii="Arial" w:cs="Arial" w:eastAsia="Arial" w:hAnsi="Arial"/>
                <w:sz w:val="15"/>
                <w:szCs w:val="15"/>
                <w:b w:val="1"/>
                <w:bCs w:val="1"/>
                <w:color w:val="FFFFFF"/>
              </w:rPr>
              <w:t>Non-PEO</w:t>
            </w:r>
          </w:p>
        </w:tc>
        <w:tc>
          <w:tcPr>
            <w:tcW w:w="1140" w:type="dxa"/>
            <w:vAlign w:val="bottom"/>
            <w:shd w:val="clear" w:color="auto" w:fill="4834BA"/>
          </w:tcPr>
          <w:p>
            <w:pPr>
              <w:jc w:val="right"/>
              <w:ind w:right="7"/>
              <w:spacing w:after="0" w:line="168" w:lineRule="exact"/>
              <w:rPr>
                <w:sz w:val="20"/>
                <w:szCs w:val="20"/>
                <w:color w:val="auto"/>
              </w:rPr>
            </w:pPr>
            <w:r>
              <w:rPr>
                <w:rFonts w:ascii="Arial" w:cs="Arial" w:eastAsia="Arial" w:hAnsi="Arial"/>
                <w:sz w:val="15"/>
                <w:szCs w:val="15"/>
                <w:b w:val="1"/>
                <w:bCs w:val="1"/>
                <w:color w:val="FFFFFF"/>
              </w:rPr>
              <w:t>to Non-PEO</w:t>
            </w:r>
          </w:p>
        </w:tc>
        <w:tc>
          <w:tcPr>
            <w:tcW w:w="600" w:type="dxa"/>
            <w:vAlign w:val="bottom"/>
            <w:shd w:val="clear" w:color="auto" w:fill="4834BA"/>
          </w:tcPr>
          <w:p>
            <w:pPr>
              <w:spacing w:after="0"/>
              <w:rPr>
                <w:sz w:val="14"/>
                <w:szCs w:val="14"/>
                <w:color w:val="auto"/>
              </w:rPr>
            </w:pPr>
          </w:p>
        </w:tc>
        <w:tc>
          <w:tcPr>
            <w:tcW w:w="940" w:type="dxa"/>
            <w:vAlign w:val="bottom"/>
            <w:shd w:val="clear" w:color="auto" w:fill="4834BA"/>
          </w:tcPr>
          <w:p>
            <w:pPr>
              <w:jc w:val="right"/>
              <w:ind w:right="26"/>
              <w:spacing w:after="0" w:line="168" w:lineRule="exact"/>
              <w:rPr>
                <w:sz w:val="20"/>
                <w:szCs w:val="20"/>
                <w:color w:val="auto"/>
              </w:rPr>
            </w:pPr>
            <w:r>
              <w:rPr>
                <w:rFonts w:ascii="Arial" w:cs="Arial" w:eastAsia="Arial" w:hAnsi="Arial"/>
                <w:sz w:val="15"/>
                <w:szCs w:val="15"/>
                <w:b w:val="1"/>
                <w:bCs w:val="1"/>
                <w:color w:val="FFFFFF"/>
              </w:rPr>
              <w:t>Peer Group</w:t>
            </w:r>
          </w:p>
        </w:tc>
        <w:tc>
          <w:tcPr>
            <w:tcW w:w="1120" w:type="dxa"/>
            <w:vAlign w:val="bottom"/>
            <w:shd w:val="clear" w:color="auto" w:fill="4834BA"/>
          </w:tcPr>
          <w:p>
            <w:pPr>
              <w:spacing w:after="0"/>
              <w:rPr>
                <w:sz w:val="14"/>
                <w:szCs w:val="14"/>
                <w:color w:val="auto"/>
              </w:rPr>
            </w:pPr>
          </w:p>
        </w:tc>
        <w:tc>
          <w:tcPr>
            <w:tcW w:w="1100" w:type="dxa"/>
            <w:vAlign w:val="bottom"/>
            <w:shd w:val="clear" w:color="auto" w:fill="4834BA"/>
          </w:tcPr>
          <w:p>
            <w:pPr>
              <w:jc w:val="right"/>
              <w:ind w:right="24"/>
              <w:spacing w:after="0" w:line="168" w:lineRule="exact"/>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83"/>
        </w:trPr>
        <w:tc>
          <w:tcPr>
            <w:tcW w:w="760" w:type="dxa"/>
            <w:vAlign w:val="bottom"/>
            <w:shd w:val="clear" w:color="auto" w:fill="4834BA"/>
          </w:tcPr>
          <w:p>
            <w:pPr>
              <w:spacing w:after="0"/>
              <w:rPr>
                <w:sz w:val="15"/>
                <w:szCs w:val="15"/>
                <w:color w:val="auto"/>
              </w:rPr>
            </w:pPr>
          </w:p>
        </w:tc>
        <w:tc>
          <w:tcPr>
            <w:tcW w:w="1460" w:type="dxa"/>
            <w:vAlign w:val="bottom"/>
            <w:shd w:val="clear" w:color="auto" w:fill="4834BA"/>
          </w:tcPr>
          <w:p>
            <w:pPr>
              <w:jc w:val="right"/>
              <w:ind w:right="24"/>
              <w:spacing w:after="0" w:line="183" w:lineRule="exact"/>
              <w:rPr>
                <w:sz w:val="20"/>
                <w:szCs w:val="20"/>
                <w:color w:val="auto"/>
              </w:rPr>
            </w:pPr>
            <w:r>
              <w:rPr>
                <w:rFonts w:ascii="Arial" w:cs="Arial" w:eastAsia="Arial" w:hAnsi="Arial"/>
                <w:sz w:val="15"/>
                <w:szCs w:val="15"/>
                <w:b w:val="1"/>
                <w:bCs w:val="1"/>
                <w:color w:val="FFFFFF"/>
              </w:rPr>
              <w:t>PEO</w:t>
            </w:r>
            <w:r>
              <w:rPr>
                <w:rFonts w:ascii="Arial" w:cs="Arial" w:eastAsia="Arial" w:hAnsi="Arial"/>
                <w:sz w:val="19"/>
                <w:szCs w:val="19"/>
                <w:b w:val="1"/>
                <w:bCs w:val="1"/>
                <w:color w:val="FFFFFF"/>
                <w:vertAlign w:val="superscript"/>
              </w:rPr>
              <w:t>(1)</w:t>
            </w:r>
          </w:p>
        </w:tc>
        <w:tc>
          <w:tcPr>
            <w:tcW w:w="1140" w:type="dxa"/>
            <w:vAlign w:val="bottom"/>
            <w:shd w:val="clear" w:color="auto" w:fill="4834BA"/>
          </w:tcPr>
          <w:p>
            <w:pPr>
              <w:jc w:val="right"/>
              <w:ind w:right="28"/>
              <w:spacing w:after="0" w:line="183" w:lineRule="exact"/>
              <w:rPr>
                <w:sz w:val="20"/>
                <w:szCs w:val="20"/>
                <w:color w:val="auto"/>
              </w:rPr>
            </w:pPr>
            <w:r>
              <w:rPr>
                <w:rFonts w:ascii="Arial" w:cs="Arial" w:eastAsia="Arial" w:hAnsi="Arial"/>
                <w:sz w:val="21"/>
                <w:szCs w:val="21"/>
                <w:b w:val="1"/>
                <w:bCs w:val="1"/>
                <w:color w:val="FFFFFF"/>
                <w:vertAlign w:val="subscript"/>
              </w:rPr>
              <w:t>to PEO</w:t>
            </w:r>
            <w:r>
              <w:rPr>
                <w:rFonts w:ascii="Arial" w:cs="Arial" w:eastAsia="Arial" w:hAnsi="Arial"/>
                <w:sz w:val="8"/>
                <w:szCs w:val="8"/>
                <w:b w:val="1"/>
                <w:bCs w:val="1"/>
                <w:color w:val="FFFFFF"/>
              </w:rPr>
              <w:t>(1)(2)(3)</w:t>
            </w:r>
          </w:p>
        </w:tc>
        <w:tc>
          <w:tcPr>
            <w:tcW w:w="1140" w:type="dxa"/>
            <w:vAlign w:val="bottom"/>
            <w:shd w:val="clear" w:color="auto" w:fill="4834BA"/>
          </w:tcPr>
          <w:p>
            <w:pPr>
              <w:jc w:val="right"/>
              <w:ind w:right="4"/>
              <w:spacing w:after="0" w:line="183" w:lineRule="exact"/>
              <w:rPr>
                <w:sz w:val="20"/>
                <w:szCs w:val="20"/>
                <w:color w:val="auto"/>
              </w:rPr>
            </w:pPr>
            <w:r>
              <w:rPr>
                <w:rFonts w:ascii="Arial" w:cs="Arial" w:eastAsia="Arial" w:hAnsi="Arial"/>
                <w:sz w:val="15"/>
                <w:szCs w:val="15"/>
                <w:b w:val="1"/>
                <w:bCs w:val="1"/>
                <w:color w:val="FFFFFF"/>
              </w:rPr>
              <w:t>NEOs</w:t>
            </w:r>
            <w:r>
              <w:rPr>
                <w:rFonts w:ascii="Arial" w:cs="Arial" w:eastAsia="Arial" w:hAnsi="Arial"/>
                <w:sz w:val="19"/>
                <w:szCs w:val="19"/>
                <w:b w:val="1"/>
                <w:bCs w:val="1"/>
                <w:color w:val="FFFFFF"/>
                <w:vertAlign w:val="superscript"/>
              </w:rPr>
              <w:t>(1)</w:t>
            </w:r>
          </w:p>
        </w:tc>
        <w:tc>
          <w:tcPr>
            <w:tcW w:w="1140" w:type="dxa"/>
            <w:vAlign w:val="bottom"/>
            <w:shd w:val="clear" w:color="auto" w:fill="4834BA"/>
          </w:tcPr>
          <w:p>
            <w:pPr>
              <w:jc w:val="right"/>
              <w:ind w:right="7"/>
              <w:spacing w:after="0" w:line="183" w:lineRule="exact"/>
              <w:rPr>
                <w:sz w:val="20"/>
                <w:szCs w:val="20"/>
                <w:color w:val="auto"/>
              </w:rPr>
            </w:pPr>
            <w:r>
              <w:rPr>
                <w:rFonts w:ascii="Arial" w:cs="Arial" w:eastAsia="Arial" w:hAnsi="Arial"/>
                <w:sz w:val="21"/>
                <w:szCs w:val="21"/>
                <w:b w:val="1"/>
                <w:bCs w:val="1"/>
                <w:color w:val="FFFFFF"/>
                <w:vertAlign w:val="subscript"/>
              </w:rPr>
              <w:t>NEOs</w:t>
            </w:r>
            <w:r>
              <w:rPr>
                <w:rFonts w:ascii="Arial" w:cs="Arial" w:eastAsia="Arial" w:hAnsi="Arial"/>
                <w:sz w:val="8"/>
                <w:szCs w:val="8"/>
                <w:b w:val="1"/>
                <w:bCs w:val="1"/>
                <w:color w:val="FFFFFF"/>
              </w:rPr>
              <w:t>(1)(2)(3)</w:t>
            </w:r>
          </w:p>
        </w:tc>
        <w:tc>
          <w:tcPr>
            <w:tcW w:w="600" w:type="dxa"/>
            <w:vAlign w:val="bottom"/>
            <w:shd w:val="clear" w:color="auto" w:fill="4834BA"/>
          </w:tcPr>
          <w:p>
            <w:pPr>
              <w:jc w:val="right"/>
              <w:ind w:right="24"/>
              <w:spacing w:after="0"/>
              <w:rPr>
                <w:sz w:val="20"/>
                <w:szCs w:val="20"/>
                <w:color w:val="auto"/>
              </w:rPr>
            </w:pPr>
            <w:r>
              <w:rPr>
                <w:rFonts w:ascii="Arial" w:cs="Arial" w:eastAsia="Arial" w:hAnsi="Arial"/>
                <w:sz w:val="15"/>
                <w:szCs w:val="15"/>
                <w:b w:val="1"/>
                <w:bCs w:val="1"/>
                <w:color w:val="FFFFFF"/>
              </w:rPr>
              <w:t>TSR</w:t>
            </w:r>
          </w:p>
        </w:tc>
        <w:tc>
          <w:tcPr>
            <w:tcW w:w="940" w:type="dxa"/>
            <w:vAlign w:val="bottom"/>
            <w:shd w:val="clear" w:color="auto" w:fill="4834BA"/>
          </w:tcPr>
          <w:p>
            <w:pPr>
              <w:jc w:val="right"/>
              <w:ind w:right="6"/>
              <w:spacing w:after="0"/>
              <w:rPr>
                <w:sz w:val="20"/>
                <w:szCs w:val="20"/>
                <w:color w:val="auto"/>
              </w:rPr>
            </w:pPr>
            <w:r>
              <w:rPr>
                <w:rFonts w:ascii="Arial" w:cs="Arial" w:eastAsia="Arial" w:hAnsi="Arial"/>
                <w:sz w:val="15"/>
                <w:szCs w:val="15"/>
                <w:b w:val="1"/>
                <w:bCs w:val="1"/>
                <w:color w:val="FFFFFF"/>
              </w:rPr>
              <w:t>TSR</w:t>
            </w:r>
          </w:p>
        </w:tc>
        <w:tc>
          <w:tcPr>
            <w:tcW w:w="1120" w:type="dxa"/>
            <w:vAlign w:val="bottom"/>
            <w:shd w:val="clear" w:color="auto" w:fill="4834BA"/>
          </w:tcPr>
          <w:p>
            <w:pPr>
              <w:jc w:val="right"/>
              <w:ind w:right="24"/>
              <w:spacing w:after="0"/>
              <w:rPr>
                <w:sz w:val="20"/>
                <w:szCs w:val="20"/>
                <w:color w:val="auto"/>
              </w:rPr>
            </w:pPr>
            <w:r>
              <w:rPr>
                <w:rFonts w:ascii="Arial" w:cs="Arial" w:eastAsia="Arial" w:hAnsi="Arial"/>
                <w:sz w:val="15"/>
                <w:szCs w:val="15"/>
                <w:b w:val="1"/>
                <w:bCs w:val="1"/>
                <w:color w:val="FFFFFF"/>
              </w:rPr>
              <w:t>Net Income</w:t>
            </w:r>
          </w:p>
        </w:tc>
        <w:tc>
          <w:tcPr>
            <w:tcW w:w="1100" w:type="dxa"/>
            <w:vAlign w:val="bottom"/>
            <w:shd w:val="clear" w:color="auto" w:fill="4834BA"/>
          </w:tcPr>
          <w:p>
            <w:pPr>
              <w:jc w:val="right"/>
              <w:ind w:right="24"/>
              <w:spacing w:after="0" w:line="183" w:lineRule="exact"/>
              <w:rPr>
                <w:sz w:val="20"/>
                <w:szCs w:val="20"/>
                <w:color w:val="auto"/>
              </w:rPr>
            </w:pPr>
            <w:r>
              <w:rPr>
                <w:rFonts w:ascii="Arial" w:cs="Arial" w:eastAsia="Arial" w:hAnsi="Arial"/>
                <w:sz w:val="15"/>
                <w:szCs w:val="15"/>
                <w:b w:val="1"/>
                <w:bCs w:val="1"/>
                <w:color w:val="FFFFFF"/>
              </w:rPr>
              <w:t>Revenue</w:t>
            </w:r>
            <w:r>
              <w:rPr>
                <w:rFonts w:ascii="Arial" w:cs="Arial" w:eastAsia="Arial" w:hAnsi="Arial"/>
                <w:sz w:val="19"/>
                <w:szCs w:val="19"/>
                <w:b w:val="1"/>
                <w:bCs w:val="1"/>
                <w:color w:val="FFFFFF"/>
                <w:vertAlign w:val="superscript"/>
              </w:rPr>
              <w:t>(5)</w:t>
            </w:r>
          </w:p>
        </w:tc>
        <w:tc>
          <w:tcPr>
            <w:tcW w:w="0" w:type="dxa"/>
            <w:vAlign w:val="bottom"/>
          </w:tcPr>
          <w:p>
            <w:pPr>
              <w:spacing w:after="0"/>
              <w:rPr>
                <w:sz w:val="1"/>
                <w:szCs w:val="1"/>
                <w:color w:val="auto"/>
              </w:rPr>
            </w:pPr>
          </w:p>
        </w:tc>
      </w:tr>
      <w:tr>
        <w:trPr>
          <w:trHeight w:val="195"/>
        </w:trPr>
        <w:tc>
          <w:tcPr>
            <w:tcW w:w="760" w:type="dxa"/>
            <w:vAlign w:val="bottom"/>
            <w:shd w:val="clear" w:color="auto" w:fill="4834BA"/>
          </w:tcPr>
          <w:p>
            <w:pPr>
              <w:ind w:left="80"/>
              <w:spacing w:after="0"/>
              <w:rPr>
                <w:sz w:val="20"/>
                <w:szCs w:val="20"/>
                <w:color w:val="auto"/>
              </w:rPr>
            </w:pPr>
            <w:r>
              <w:rPr>
                <w:rFonts w:ascii="Arial" w:cs="Arial" w:eastAsia="Arial" w:hAnsi="Arial"/>
                <w:sz w:val="15"/>
                <w:szCs w:val="15"/>
                <w:b w:val="1"/>
                <w:bCs w:val="1"/>
                <w:color w:val="FFFFFF"/>
              </w:rPr>
              <w:t>Year</w:t>
            </w:r>
          </w:p>
        </w:tc>
        <w:tc>
          <w:tcPr>
            <w:tcW w:w="1460" w:type="dxa"/>
            <w:vAlign w:val="bottom"/>
            <w:shd w:val="clear" w:color="auto" w:fill="4834BA"/>
          </w:tcPr>
          <w:p>
            <w:pPr>
              <w:jc w:val="right"/>
              <w:spacing w:after="0"/>
              <w:rPr>
                <w:sz w:val="20"/>
                <w:szCs w:val="20"/>
                <w:color w:val="auto"/>
              </w:rPr>
            </w:pPr>
            <w:r>
              <w:rPr>
                <w:rFonts w:ascii="Arial" w:cs="Arial" w:eastAsia="Arial" w:hAnsi="Arial"/>
                <w:sz w:val="15"/>
                <w:szCs w:val="15"/>
                <w:b w:val="1"/>
                <w:bCs w:val="1"/>
                <w:color w:val="FFFFFF"/>
              </w:rPr>
              <w:t>($)</w:t>
            </w:r>
          </w:p>
        </w:tc>
        <w:tc>
          <w:tcPr>
            <w:tcW w:w="1140" w:type="dxa"/>
            <w:vAlign w:val="bottom"/>
            <w:shd w:val="clear" w:color="auto" w:fill="4834BA"/>
          </w:tcPr>
          <w:p>
            <w:pPr>
              <w:jc w:val="right"/>
              <w:spacing w:after="0"/>
              <w:rPr>
                <w:sz w:val="20"/>
                <w:szCs w:val="20"/>
                <w:color w:val="auto"/>
              </w:rPr>
            </w:pPr>
            <w:r>
              <w:rPr>
                <w:rFonts w:ascii="Arial" w:cs="Arial" w:eastAsia="Arial" w:hAnsi="Arial"/>
                <w:sz w:val="15"/>
                <w:szCs w:val="15"/>
                <w:b w:val="1"/>
                <w:bCs w:val="1"/>
                <w:color w:val="FFFFFF"/>
              </w:rPr>
              <w:t>($)</w:t>
            </w:r>
          </w:p>
        </w:tc>
        <w:tc>
          <w:tcPr>
            <w:tcW w:w="1140" w:type="dxa"/>
            <w:vAlign w:val="bottom"/>
            <w:shd w:val="clear" w:color="auto" w:fill="4834BA"/>
          </w:tcPr>
          <w:p>
            <w:pPr>
              <w:jc w:val="right"/>
              <w:spacing w:after="0"/>
              <w:rPr>
                <w:sz w:val="20"/>
                <w:szCs w:val="20"/>
                <w:color w:val="auto"/>
              </w:rPr>
            </w:pPr>
            <w:r>
              <w:rPr>
                <w:rFonts w:ascii="Arial" w:cs="Arial" w:eastAsia="Arial" w:hAnsi="Arial"/>
                <w:sz w:val="15"/>
                <w:szCs w:val="15"/>
                <w:b w:val="1"/>
                <w:bCs w:val="1"/>
                <w:color w:val="FFFFFF"/>
              </w:rPr>
              <w:t>($)</w:t>
            </w:r>
          </w:p>
        </w:tc>
        <w:tc>
          <w:tcPr>
            <w:tcW w:w="1140" w:type="dxa"/>
            <w:vAlign w:val="bottom"/>
            <w:shd w:val="clear" w:color="auto" w:fill="4834BA"/>
          </w:tcPr>
          <w:p>
            <w:pPr>
              <w:jc w:val="right"/>
              <w:spacing w:after="0"/>
              <w:rPr>
                <w:sz w:val="20"/>
                <w:szCs w:val="20"/>
                <w:color w:val="auto"/>
              </w:rPr>
            </w:pPr>
            <w:r>
              <w:rPr>
                <w:rFonts w:ascii="Arial" w:cs="Arial" w:eastAsia="Arial" w:hAnsi="Arial"/>
                <w:sz w:val="15"/>
                <w:szCs w:val="15"/>
                <w:b w:val="1"/>
                <w:bCs w:val="1"/>
                <w:color w:val="FFFFFF"/>
              </w:rPr>
              <w:t>($)</w:t>
            </w:r>
          </w:p>
        </w:tc>
        <w:tc>
          <w:tcPr>
            <w:tcW w:w="600" w:type="dxa"/>
            <w:vAlign w:val="bottom"/>
            <w:shd w:val="clear" w:color="auto" w:fill="4834BA"/>
          </w:tcPr>
          <w:p>
            <w:pPr>
              <w:jc w:val="right"/>
              <w:spacing w:after="0"/>
              <w:rPr>
                <w:sz w:val="20"/>
                <w:szCs w:val="20"/>
                <w:color w:val="auto"/>
              </w:rPr>
            </w:pPr>
            <w:r>
              <w:rPr>
                <w:rFonts w:ascii="Arial" w:cs="Arial" w:eastAsia="Arial" w:hAnsi="Arial"/>
                <w:sz w:val="15"/>
                <w:szCs w:val="15"/>
                <w:b w:val="1"/>
                <w:bCs w:val="1"/>
                <w:color w:val="FFFFFF"/>
              </w:rPr>
              <w:t>($)</w:t>
            </w:r>
          </w:p>
        </w:tc>
        <w:tc>
          <w:tcPr>
            <w:tcW w:w="940" w:type="dxa"/>
            <w:vAlign w:val="bottom"/>
            <w:shd w:val="clear" w:color="auto" w:fill="4834BA"/>
          </w:tcPr>
          <w:p>
            <w:pPr>
              <w:jc w:val="right"/>
              <w:spacing w:after="0"/>
              <w:rPr>
                <w:sz w:val="20"/>
                <w:szCs w:val="20"/>
                <w:color w:val="auto"/>
              </w:rPr>
            </w:pPr>
            <w:r>
              <w:rPr>
                <w:rFonts w:ascii="Arial" w:cs="Arial" w:eastAsia="Arial" w:hAnsi="Arial"/>
                <w:sz w:val="15"/>
                <w:szCs w:val="15"/>
                <w:b w:val="1"/>
                <w:bCs w:val="1"/>
                <w:color w:val="FFFFFF"/>
              </w:rPr>
              <w:t>($)</w:t>
            </w:r>
          </w:p>
        </w:tc>
        <w:tc>
          <w:tcPr>
            <w:tcW w:w="1120" w:type="dxa"/>
            <w:vAlign w:val="bottom"/>
            <w:shd w:val="clear" w:color="auto" w:fill="4834BA"/>
          </w:tcPr>
          <w:p>
            <w:pPr>
              <w:jc w:val="right"/>
              <w:spacing w:after="0"/>
              <w:rPr>
                <w:sz w:val="20"/>
                <w:szCs w:val="20"/>
                <w:color w:val="auto"/>
              </w:rPr>
            </w:pPr>
            <w:r>
              <w:rPr>
                <w:rFonts w:ascii="Arial" w:cs="Arial" w:eastAsia="Arial" w:hAnsi="Arial"/>
                <w:sz w:val="15"/>
                <w:szCs w:val="15"/>
                <w:b w:val="1"/>
                <w:bCs w:val="1"/>
                <w:color w:val="FFFFFF"/>
              </w:rPr>
              <w:t>($ Thousands)</w:t>
            </w:r>
          </w:p>
        </w:tc>
        <w:tc>
          <w:tcPr>
            <w:tcW w:w="1100" w:type="dxa"/>
            <w:vAlign w:val="bottom"/>
            <w:shd w:val="clear" w:color="auto" w:fill="4834BA"/>
          </w:tcPr>
          <w:p>
            <w:pPr>
              <w:jc w:val="right"/>
              <w:spacing w:after="0"/>
              <w:rPr>
                <w:sz w:val="20"/>
                <w:szCs w:val="20"/>
                <w:color w:val="auto"/>
              </w:rPr>
            </w:pPr>
            <w:r>
              <w:rPr>
                <w:rFonts w:ascii="Arial" w:cs="Arial" w:eastAsia="Arial" w:hAnsi="Arial"/>
                <w:sz w:val="15"/>
                <w:szCs w:val="15"/>
                <w:b w:val="1"/>
                <w:bCs w:val="1"/>
                <w:color w:val="FFFFFF"/>
                <w:w w:val="99"/>
              </w:rPr>
              <w:t>($ Thousands)</w:t>
            </w:r>
          </w:p>
        </w:tc>
        <w:tc>
          <w:tcPr>
            <w:tcW w:w="0" w:type="dxa"/>
            <w:vAlign w:val="bottom"/>
          </w:tcPr>
          <w:p>
            <w:pPr>
              <w:spacing w:after="0"/>
              <w:rPr>
                <w:sz w:val="1"/>
                <w:szCs w:val="1"/>
                <w:color w:val="auto"/>
              </w:rPr>
            </w:pPr>
          </w:p>
        </w:tc>
      </w:tr>
      <w:tr>
        <w:trPr>
          <w:trHeight w:val="189"/>
        </w:trPr>
        <w:tc>
          <w:tcPr>
            <w:tcW w:w="7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2025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4,769,014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(3,225,545)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1,668,817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(553,084)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409.64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113.34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(38,228)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455,715</w:t>
            </w:r>
          </w:p>
        </w:tc>
        <w:tc>
          <w:tcPr>
            <w:tcW w:w="0" w:type="dxa"/>
            <w:vAlign w:val="bottom"/>
          </w:tcPr>
          <w:p>
            <w:pPr>
              <w:spacing w:after="0"/>
              <w:rPr>
                <w:sz w:val="1"/>
                <w:szCs w:val="1"/>
                <w:color w:val="auto"/>
              </w:rPr>
            </w:pPr>
          </w:p>
        </w:tc>
      </w:tr>
      <w:tr>
        <w:trPr>
          <w:trHeight w:val="217"/>
        </w:trPr>
        <w:tc>
          <w:tcPr>
            <w:tcW w:w="7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5"/>
                <w:szCs w:val="15"/>
                <w:b w:val="1"/>
                <w:bCs w:val="1"/>
                <w:color w:val="auto"/>
              </w:rPr>
              <w:t>2024</w:t>
            </w:r>
          </w:p>
        </w:tc>
        <w:tc>
          <w:tcPr>
            <w:tcW w:w="1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3,695,421</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33,286,022</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1,160,525</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9,517,874</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433.14</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91.51</w:t>
            </w: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(186,733)</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249,365</w:t>
            </w:r>
          </w:p>
        </w:tc>
        <w:tc>
          <w:tcPr>
            <w:tcW w:w="0" w:type="dxa"/>
            <w:vAlign w:val="bottom"/>
          </w:tcPr>
          <w:p>
            <w:pPr>
              <w:spacing w:after="0"/>
              <w:rPr>
                <w:sz w:val="1"/>
                <w:szCs w:val="1"/>
                <w:color w:val="auto"/>
              </w:rPr>
            </w:pPr>
          </w:p>
        </w:tc>
      </w:tr>
      <w:tr>
        <w:trPr>
          <w:trHeight w:val="223"/>
        </w:trPr>
        <w:tc>
          <w:tcPr>
            <w:tcW w:w="7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6,049,470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38,409,964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1,923,067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11,430,710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227.03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88.86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(56,048)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217,646</w:t>
            </w:r>
          </w:p>
        </w:tc>
        <w:tc>
          <w:tcPr>
            <w:tcW w:w="0" w:type="dxa"/>
            <w:vAlign w:val="bottom"/>
          </w:tcPr>
          <w:p>
            <w:pPr>
              <w:spacing w:after="0"/>
              <w:rPr>
                <w:sz w:val="1"/>
                <w:szCs w:val="1"/>
                <w:color w:val="auto"/>
              </w:rPr>
            </w:pPr>
          </w:p>
        </w:tc>
      </w:tr>
      <w:tr>
        <w:trPr>
          <w:trHeight w:val="223"/>
        </w:trPr>
        <w:tc>
          <w:tcPr>
            <w:tcW w:w="7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5"/>
                <w:szCs w:val="15"/>
                <w:b w:val="1"/>
                <w:bCs w:val="1"/>
                <w:color w:val="auto"/>
              </w:rPr>
              <w:t>2022</w:t>
            </w:r>
          </w:p>
        </w:tc>
        <w:tc>
          <w:tcPr>
            <w:tcW w:w="1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2,157,067</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456,994</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811,490</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311,906</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22.21</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94.64</w:t>
            </w: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(66,397)</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rPr>
              <w:t>222,818</w:t>
            </w:r>
          </w:p>
        </w:tc>
        <w:tc>
          <w:tcPr>
            <w:tcW w:w="0" w:type="dxa"/>
            <w:vAlign w:val="bottom"/>
          </w:tcPr>
          <w:p>
            <w:pPr>
              <w:spacing w:after="0"/>
              <w:rPr>
                <w:sz w:val="1"/>
                <w:szCs w:val="1"/>
                <w:color w:val="auto"/>
              </w:rPr>
            </w:pPr>
          </w:p>
        </w:tc>
      </w:tr>
      <w:tr>
        <w:trPr>
          <w:trHeight w:val="215"/>
        </w:trPr>
        <w:tc>
          <w:tcPr>
            <w:tcW w:w="7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3,659,008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2,725,556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1,251,466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988,822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60.40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138.17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(54,162)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211,565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-1096645</wp:posOffset>
            </wp:positionV>
            <wp:extent cx="9772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4" w:lineRule="exact"/>
        <w:rPr>
          <w:sz w:val="20"/>
          <w:szCs w:val="20"/>
          <w:color w:val="auto"/>
        </w:rPr>
      </w:pPr>
    </w:p>
    <w:p>
      <w:pPr>
        <w:ind w:left="1020" w:right="1040" w:hanging="354"/>
        <w:spacing w:after="0" w:line="301" w:lineRule="auto"/>
        <w:tabs>
          <w:tab w:leader="none" w:pos="10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Chih-Hsiang (Thompson) Lin was our PEO for each year presented. The individuals comprising the Non-PEO NEOs for each year presented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53340</wp:posOffset>
            </wp:positionV>
            <wp:extent cx="257175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3420" w:type="dxa"/>
            <w:vAlign w:val="bottom"/>
          </w:tcPr>
          <w:p>
            <w:pPr>
              <w:jc w:val="center"/>
              <w:ind w:left="564"/>
              <w:spacing w:after="0"/>
              <w:rPr>
                <w:sz w:val="20"/>
                <w:szCs w:val="20"/>
                <w:color w:val="auto"/>
              </w:rPr>
            </w:pPr>
            <w:r>
              <w:rPr>
                <w:rFonts w:ascii="Arial" w:cs="Arial" w:eastAsia="Arial" w:hAnsi="Arial"/>
                <w:sz w:val="15"/>
                <w:szCs w:val="15"/>
                <w:color w:val="auto"/>
              </w:rPr>
              <w:t>2021-2025</w:t>
            </w:r>
          </w:p>
        </w:tc>
        <w:tc>
          <w:tcPr>
            <w:tcW w:w="3960" w:type="dxa"/>
            <w:vAlign w:val="bottom"/>
            <w:gridSpan w:val="2"/>
          </w:tcPr>
          <w:p>
            <w:pPr>
              <w:ind w:left="600"/>
              <w:spacing w:after="0"/>
              <w:rPr>
                <w:sz w:val="20"/>
                <w:szCs w:val="20"/>
                <w:color w:val="auto"/>
              </w:rPr>
            </w:pPr>
            <w:r>
              <w:rPr>
                <w:rFonts w:ascii="Arial" w:cs="Arial" w:eastAsia="Arial" w:hAnsi="Arial"/>
                <w:sz w:val="15"/>
                <w:szCs w:val="15"/>
                <w:color w:val="auto"/>
              </w:rPr>
              <w:t>​</w:t>
            </w:r>
          </w:p>
        </w:tc>
      </w:tr>
      <w:tr>
        <w:trPr>
          <w:trHeight w:val="46"/>
        </w:trPr>
        <w:tc>
          <w:tcPr>
            <w:tcW w:w="33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960" w:type="dxa"/>
            <w:vAlign w:val="bottom"/>
            <w:gridSpan w:val="2"/>
          </w:tcPr>
          <w:p>
            <w:pPr>
              <w:spacing w:after="0"/>
              <w:rPr>
                <w:sz w:val="4"/>
                <w:szCs w:val="4"/>
                <w:color w:val="auto"/>
              </w:rPr>
            </w:pPr>
          </w:p>
        </w:tc>
      </w:tr>
      <w:tr>
        <w:trPr>
          <w:trHeight w:val="270"/>
        </w:trPr>
        <w:tc>
          <w:tcPr>
            <w:tcW w:w="3340" w:type="dxa"/>
            <w:vAlign w:val="bottom"/>
          </w:tcPr>
          <w:p>
            <w:pPr>
              <w:spacing w:after="0"/>
              <w:rPr>
                <w:sz w:val="23"/>
                <w:szCs w:val="23"/>
                <w:color w:val="auto"/>
              </w:rPr>
            </w:pPr>
          </w:p>
        </w:tc>
        <w:tc>
          <w:tcPr>
            <w:tcW w:w="3420" w:type="dxa"/>
            <w:vAlign w:val="bottom"/>
            <w:tcBorders>
              <w:top w:val="single" w:sz="8" w:color="auto"/>
              <w:bottom w:val="single" w:sz="8" w:color="auto"/>
            </w:tcBorders>
            <w:shd w:val="clear" w:color="auto" w:fill="E5E5E5"/>
          </w:tcPr>
          <w:p>
            <w:pPr>
              <w:jc w:val="center"/>
              <w:ind w:left="564"/>
              <w:spacing w:after="0"/>
              <w:rPr>
                <w:sz w:val="20"/>
                <w:szCs w:val="20"/>
                <w:color w:val="auto"/>
              </w:rPr>
            </w:pPr>
            <w:r>
              <w:rPr>
                <w:rFonts w:ascii="Arial" w:cs="Arial" w:eastAsia="Arial" w:hAnsi="Arial"/>
                <w:sz w:val="15"/>
                <w:szCs w:val="15"/>
                <w:color w:val="auto"/>
              </w:rPr>
              <w:t>Stefan J. Murry</w:t>
            </w:r>
          </w:p>
        </w:tc>
        <w:tc>
          <w:tcPr>
            <w:tcW w:w="620" w:type="dxa"/>
            <w:vAlign w:val="bottom"/>
            <w:tcBorders>
              <w:top w:val="single" w:sz="8" w:color="auto"/>
              <w:bottom w:val="single" w:sz="8" w:color="auto"/>
            </w:tcBorders>
            <w:shd w:val="clear" w:color="auto" w:fill="E5E5E5"/>
          </w:tcPr>
          <w:p>
            <w:pPr>
              <w:ind w:left="600"/>
              <w:spacing w:after="0"/>
              <w:rPr>
                <w:sz w:val="20"/>
                <w:szCs w:val="20"/>
                <w:color w:val="auto"/>
              </w:rPr>
            </w:pPr>
            <w:r>
              <w:rPr>
                <w:rFonts w:ascii="Arial" w:cs="Arial" w:eastAsia="Arial" w:hAnsi="Arial"/>
                <w:sz w:val="1"/>
                <w:szCs w:val="1"/>
                <w:color w:val="auto"/>
                <w:w w:val="4294942296"/>
              </w:rPr>
              <w:t>​</w:t>
            </w:r>
          </w:p>
        </w:tc>
        <w:tc>
          <w:tcPr>
            <w:tcW w:w="3340" w:type="dxa"/>
            <w:vAlign w:val="bottom"/>
          </w:tcPr>
          <w:p>
            <w:pPr>
              <w:spacing w:after="0"/>
              <w:rPr>
                <w:sz w:val="23"/>
                <w:szCs w:val="23"/>
                <w:color w:val="auto"/>
              </w:rPr>
            </w:pPr>
          </w:p>
        </w:tc>
      </w:tr>
      <w:tr>
        <w:trPr>
          <w:trHeight w:val="277"/>
        </w:trPr>
        <w:tc>
          <w:tcPr>
            <w:tcW w:w="3340" w:type="dxa"/>
            <w:vAlign w:val="bottom"/>
          </w:tcPr>
          <w:p>
            <w:pPr>
              <w:spacing w:after="0"/>
              <w:rPr>
                <w:sz w:val="24"/>
                <w:szCs w:val="24"/>
                <w:color w:val="auto"/>
              </w:rPr>
            </w:pPr>
          </w:p>
        </w:tc>
        <w:tc>
          <w:tcPr>
            <w:tcW w:w="3420" w:type="dxa"/>
            <w:vAlign w:val="bottom"/>
          </w:tcPr>
          <w:p>
            <w:pPr>
              <w:jc w:val="center"/>
              <w:ind w:left="564"/>
              <w:spacing w:after="0"/>
              <w:rPr>
                <w:sz w:val="20"/>
                <w:szCs w:val="20"/>
                <w:color w:val="auto"/>
              </w:rPr>
            </w:pPr>
            <w:r>
              <w:rPr>
                <w:rFonts w:ascii="Arial" w:cs="Arial" w:eastAsia="Arial" w:hAnsi="Arial"/>
                <w:sz w:val="15"/>
                <w:szCs w:val="15"/>
                <w:color w:val="auto"/>
              </w:rPr>
              <w:t>Hung-Lun (Fred) Chang</w:t>
            </w:r>
          </w:p>
        </w:tc>
        <w:tc>
          <w:tcPr>
            <w:tcW w:w="3960" w:type="dxa"/>
            <w:vAlign w:val="bottom"/>
            <w:gridSpan w:val="2"/>
          </w:tcPr>
          <w:p>
            <w:pPr>
              <w:ind w:left="600"/>
              <w:spacing w:after="0"/>
              <w:rPr>
                <w:sz w:val="20"/>
                <w:szCs w:val="20"/>
                <w:color w:val="auto"/>
              </w:rPr>
            </w:pPr>
            <w:r>
              <w:rPr>
                <w:rFonts w:ascii="Arial" w:cs="Arial" w:eastAsia="Arial" w:hAnsi="Arial"/>
                <w:sz w:val="15"/>
                <w:szCs w:val="15"/>
                <w:color w:val="auto"/>
              </w:rPr>
              <w:t>​</w:t>
            </w:r>
          </w:p>
        </w:tc>
      </w:tr>
      <w:tr>
        <w:trPr>
          <w:trHeight w:val="277"/>
        </w:trPr>
        <w:tc>
          <w:tcPr>
            <w:tcW w:w="3340" w:type="dxa"/>
            <w:vAlign w:val="bottom"/>
          </w:tcPr>
          <w:p>
            <w:pPr>
              <w:spacing w:after="0"/>
              <w:rPr>
                <w:sz w:val="24"/>
                <w:szCs w:val="24"/>
                <w:color w:val="auto"/>
              </w:rPr>
            </w:pPr>
          </w:p>
        </w:tc>
        <w:tc>
          <w:tcPr>
            <w:tcW w:w="3420" w:type="dxa"/>
            <w:vAlign w:val="bottom"/>
            <w:tcBorders>
              <w:top w:val="single" w:sz="8" w:color="auto"/>
              <w:bottom w:val="single" w:sz="8" w:color="auto"/>
            </w:tcBorders>
            <w:shd w:val="clear" w:color="auto" w:fill="E5E5E5"/>
          </w:tcPr>
          <w:p>
            <w:pPr>
              <w:jc w:val="center"/>
              <w:ind w:left="584"/>
              <w:spacing w:after="0"/>
              <w:rPr>
                <w:sz w:val="20"/>
                <w:szCs w:val="20"/>
                <w:color w:val="auto"/>
              </w:rPr>
            </w:pPr>
            <w:r>
              <w:rPr>
                <w:rFonts w:ascii="Arial" w:cs="Arial" w:eastAsia="Arial" w:hAnsi="Arial"/>
                <w:sz w:val="15"/>
                <w:szCs w:val="15"/>
                <w:color w:val="auto"/>
                <w:w w:val="99"/>
              </w:rPr>
              <w:t>Shu-Hua (Joshua) Yeh</w:t>
            </w:r>
          </w:p>
        </w:tc>
        <w:tc>
          <w:tcPr>
            <w:tcW w:w="620" w:type="dxa"/>
            <w:vAlign w:val="bottom"/>
            <w:tcBorders>
              <w:top w:val="single" w:sz="8" w:color="auto"/>
              <w:bottom w:val="single" w:sz="8" w:color="auto"/>
            </w:tcBorders>
            <w:shd w:val="clear" w:color="auto" w:fill="E5E5E5"/>
          </w:tcPr>
          <w:p>
            <w:pPr>
              <w:ind w:left="600"/>
              <w:spacing w:after="0"/>
              <w:rPr>
                <w:sz w:val="20"/>
                <w:szCs w:val="20"/>
                <w:color w:val="auto"/>
              </w:rPr>
            </w:pPr>
            <w:r>
              <w:rPr>
                <w:rFonts w:ascii="Arial" w:cs="Arial" w:eastAsia="Arial" w:hAnsi="Arial"/>
                <w:sz w:val="1"/>
                <w:szCs w:val="1"/>
                <w:color w:val="auto"/>
                <w:w w:val="4294942296"/>
              </w:rPr>
              <w:t>​</w:t>
            </w:r>
          </w:p>
        </w:tc>
        <w:tc>
          <w:tcPr>
            <w:tcW w:w="3340" w:type="dxa"/>
            <w:vAlign w:val="bottom"/>
          </w:tcPr>
          <w:p>
            <w:pPr>
              <w:spacing w:after="0"/>
              <w:rPr>
                <w:sz w:val="24"/>
                <w:szCs w:val="24"/>
                <w:color w:val="auto"/>
              </w:rPr>
            </w:pPr>
          </w:p>
        </w:tc>
      </w:tr>
      <w:tr>
        <w:trPr>
          <w:trHeight w:val="277"/>
        </w:trPr>
        <w:tc>
          <w:tcPr>
            <w:tcW w:w="3340" w:type="dxa"/>
            <w:vAlign w:val="bottom"/>
          </w:tcPr>
          <w:p>
            <w:pPr>
              <w:spacing w:after="0"/>
              <w:rPr>
                <w:sz w:val="24"/>
                <w:szCs w:val="24"/>
                <w:color w:val="auto"/>
              </w:rPr>
            </w:pPr>
          </w:p>
        </w:tc>
        <w:tc>
          <w:tcPr>
            <w:tcW w:w="3420" w:type="dxa"/>
            <w:vAlign w:val="bottom"/>
          </w:tcPr>
          <w:p>
            <w:pPr>
              <w:jc w:val="center"/>
              <w:ind w:left="564"/>
              <w:spacing w:after="0"/>
              <w:rPr>
                <w:sz w:val="20"/>
                <w:szCs w:val="20"/>
                <w:color w:val="auto"/>
              </w:rPr>
            </w:pPr>
            <w:r>
              <w:rPr>
                <w:rFonts w:ascii="Arial" w:cs="Arial" w:eastAsia="Arial" w:hAnsi="Arial"/>
                <w:sz w:val="15"/>
                <w:szCs w:val="15"/>
                <w:color w:val="auto"/>
              </w:rPr>
              <w:t>David C. Kuo</w:t>
            </w:r>
          </w:p>
        </w:tc>
        <w:tc>
          <w:tcPr>
            <w:tcW w:w="3960" w:type="dxa"/>
            <w:vAlign w:val="bottom"/>
            <w:gridSpan w:val="2"/>
          </w:tcPr>
          <w:p>
            <w:pPr>
              <w:ind w:left="600"/>
              <w:spacing w:after="0"/>
              <w:rPr>
                <w:sz w:val="20"/>
                <w:szCs w:val="20"/>
                <w:color w:val="auto"/>
              </w:rPr>
            </w:pPr>
            <w:r>
              <w:rPr>
                <w:rFonts w:ascii="Arial" w:cs="Arial" w:eastAsia="Arial" w:hAnsi="Arial"/>
                <w:sz w:val="15"/>
                <w:szCs w:val="15"/>
                <w:color w:val="auto"/>
              </w:rPr>
              <w:t>​</w:t>
            </w:r>
          </w:p>
        </w:tc>
      </w:tr>
      <w:tr>
        <w:trPr>
          <w:trHeight w:val="559"/>
        </w:trPr>
        <w:tc>
          <w:tcPr>
            <w:tcW w:w="3340" w:type="dxa"/>
            <w:vAlign w:val="bottom"/>
          </w:tcPr>
          <w:p>
            <w:pPr>
              <w:spacing w:after="0"/>
              <w:rPr>
                <w:sz w:val="24"/>
                <w:szCs w:val="24"/>
                <w:color w:val="auto"/>
              </w:rPr>
            </w:pPr>
          </w:p>
        </w:tc>
        <w:tc>
          <w:tcPr>
            <w:tcW w:w="3420" w:type="dxa"/>
            <w:vAlign w:val="bottom"/>
            <w:tcBorders>
              <w:top w:val="single" w:sz="8" w:color="auto"/>
            </w:tcBorders>
          </w:tcPr>
          <w:p>
            <w:pPr>
              <w:jc w:val="right"/>
              <w:ind w:right="1504"/>
              <w:spacing w:after="0"/>
              <w:rPr>
                <w:sz w:val="20"/>
                <w:szCs w:val="20"/>
                <w:color w:val="auto"/>
              </w:rPr>
            </w:pPr>
            <w:r>
              <w:rPr>
                <w:rFonts w:ascii="Arial" w:cs="Arial" w:eastAsia="Arial" w:hAnsi="Arial"/>
                <w:sz w:val="14"/>
                <w:szCs w:val="14"/>
                <w:color w:val="auto"/>
              </w:rPr>
              <w:t>»  45  «</w:t>
            </w:r>
          </w:p>
        </w:tc>
        <w:tc>
          <w:tcPr>
            <w:tcW w:w="620" w:type="dxa"/>
            <w:vAlign w:val="bottom"/>
            <w:tcBorders>
              <w:top w:val="single" w:sz="8" w:color="auto"/>
            </w:tcBorders>
          </w:tcPr>
          <w:p>
            <w:pPr>
              <w:spacing w:after="0"/>
              <w:rPr>
                <w:sz w:val="24"/>
                <w:szCs w:val="24"/>
                <w:color w:val="auto"/>
              </w:rPr>
            </w:pPr>
          </w:p>
        </w:tc>
        <w:tc>
          <w:tcPr>
            <w:tcW w:w="3340" w:type="dxa"/>
            <w:vAlign w:val="bottom"/>
          </w:tcPr>
          <w:p>
            <w:pPr>
              <w:ind w:left="1260"/>
              <w:spacing w:after="0"/>
              <w:rPr>
                <w:sz w:val="20"/>
                <w:szCs w:val="20"/>
                <w:color w:val="auto"/>
              </w:rPr>
            </w:pPr>
            <w:r>
              <w:rPr>
                <w:rFonts w:ascii="Arial" w:cs="Arial" w:eastAsia="Arial" w:hAnsi="Arial"/>
                <w:sz w:val="14"/>
                <w:szCs w:val="14"/>
                <w:color w:val="7F7F7F"/>
              </w:rPr>
              <w:t>2026 Proxy Statement</w:t>
            </w:r>
          </w:p>
        </w:tc>
      </w:tr>
      <w:tr>
        <w:trPr>
          <w:trHeight w:val="379"/>
        </w:trPr>
        <w:tc>
          <w:tcPr>
            <w:tcW w:w="33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-393700</wp:posOffset>
            </wp:positionV>
            <wp:extent cx="334010" cy="162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020" w:right="300" w:hanging="354"/>
        <w:spacing w:after="0" w:line="275"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56" w:lineRule="exact"/>
        <w:rPr>
          <w:rFonts w:ascii="Arial" w:cs="Arial" w:eastAsia="Arial" w:hAnsi="Arial"/>
          <w:sz w:val="16"/>
          <w:szCs w:val="16"/>
          <w:color w:val="auto"/>
        </w:rPr>
      </w:pPr>
    </w:p>
    <w:p>
      <w:pPr>
        <w:ind w:left="1020" w:right="140" w:hanging="354"/>
        <w:spacing w:after="0" w:line="271"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15" w:lineRule="exact"/>
        <w:rPr>
          <w:sz w:val="20"/>
          <w:szCs w:val="20"/>
          <w:color w:val="auto"/>
        </w:rPr>
      </w:pPr>
    </w:p>
    <w:tbl>
      <w:tblPr>
        <w:tblLayout w:type="fixed"/>
        <w:tblInd w:w="1040" w:type="dxa"/>
        <w:tblCellMar>
          <w:top w:w="0" w:type="dxa"/>
          <w:left w:w="0" w:type="dxa"/>
          <w:bottom w:w="0" w:type="dxa"/>
          <w:right w:w="0" w:type="dxa"/>
        </w:tblCellMar>
      </w:tblPr>
      <w:tr>
        <w:trPr>
          <w:trHeight w:val="242"/>
        </w:trPr>
        <w:tc>
          <w:tcPr>
            <w:tcW w:w="1340" w:type="dxa"/>
            <w:vAlign w:val="bottom"/>
            <w:shd w:val="clear" w:color="auto" w:fill="4834BA"/>
          </w:tcPr>
          <w:p>
            <w:pPr>
              <w:spacing w:after="0"/>
              <w:rPr>
                <w:sz w:val="21"/>
                <w:szCs w:val="21"/>
                <w:color w:val="auto"/>
              </w:rPr>
            </w:pPr>
          </w:p>
        </w:tc>
        <w:tc>
          <w:tcPr>
            <w:tcW w:w="1080" w:type="dxa"/>
            <w:vAlign w:val="bottom"/>
            <w:shd w:val="clear" w:color="auto" w:fill="4834BA"/>
          </w:tcPr>
          <w:p>
            <w:pPr>
              <w:spacing w:after="0"/>
              <w:rPr>
                <w:sz w:val="21"/>
                <w:szCs w:val="21"/>
                <w:color w:val="auto"/>
              </w:rPr>
            </w:pPr>
          </w:p>
        </w:tc>
        <w:tc>
          <w:tcPr>
            <w:tcW w:w="200" w:type="dxa"/>
            <w:vAlign w:val="bottom"/>
            <w:shd w:val="clear" w:color="auto" w:fill="4834BA"/>
          </w:tcPr>
          <w:p>
            <w:pPr>
              <w:spacing w:after="0"/>
              <w:rPr>
                <w:sz w:val="21"/>
                <w:szCs w:val="21"/>
                <w:color w:val="auto"/>
              </w:rPr>
            </w:pPr>
          </w:p>
        </w:tc>
        <w:tc>
          <w:tcPr>
            <w:tcW w:w="140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Summary</w:t>
            </w:r>
          </w:p>
        </w:tc>
        <w:tc>
          <w:tcPr>
            <w:tcW w:w="140" w:type="dxa"/>
            <w:vAlign w:val="bottom"/>
            <w:shd w:val="clear" w:color="auto" w:fill="4834BA"/>
          </w:tcPr>
          <w:p>
            <w:pPr>
              <w:spacing w:after="0"/>
              <w:rPr>
                <w:sz w:val="21"/>
                <w:szCs w:val="21"/>
                <w:color w:val="auto"/>
              </w:rPr>
            </w:pPr>
          </w:p>
        </w:tc>
        <w:tc>
          <w:tcPr>
            <w:tcW w:w="180" w:type="dxa"/>
            <w:vAlign w:val="bottom"/>
            <w:shd w:val="clear" w:color="auto" w:fill="4834BA"/>
          </w:tcPr>
          <w:p>
            <w:pPr>
              <w:spacing w:after="0"/>
              <w:rPr>
                <w:sz w:val="21"/>
                <w:szCs w:val="21"/>
                <w:color w:val="auto"/>
              </w:rPr>
            </w:pPr>
          </w:p>
        </w:tc>
        <w:tc>
          <w:tcPr>
            <w:tcW w:w="120" w:type="dxa"/>
            <w:vAlign w:val="bottom"/>
            <w:shd w:val="clear" w:color="auto" w:fill="4834BA"/>
          </w:tcPr>
          <w:p>
            <w:pPr>
              <w:spacing w:after="0"/>
              <w:rPr>
                <w:sz w:val="21"/>
                <w:szCs w:val="21"/>
                <w:color w:val="auto"/>
              </w:rPr>
            </w:pPr>
          </w:p>
        </w:tc>
        <w:tc>
          <w:tcPr>
            <w:tcW w:w="146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w w:val="93"/>
              </w:rPr>
              <w:t>Exclusion of Stock</w:t>
            </w:r>
          </w:p>
        </w:tc>
        <w:tc>
          <w:tcPr>
            <w:tcW w:w="220" w:type="dxa"/>
            <w:vAlign w:val="bottom"/>
            <w:shd w:val="clear" w:color="auto" w:fill="4834BA"/>
          </w:tcPr>
          <w:p>
            <w:pPr>
              <w:spacing w:after="0"/>
              <w:rPr>
                <w:sz w:val="21"/>
                <w:szCs w:val="21"/>
                <w:color w:val="auto"/>
              </w:rPr>
            </w:pPr>
          </w:p>
        </w:tc>
        <w:tc>
          <w:tcPr>
            <w:tcW w:w="60" w:type="dxa"/>
            <w:vAlign w:val="bottom"/>
            <w:shd w:val="clear" w:color="auto" w:fill="4834BA"/>
          </w:tcPr>
          <w:p>
            <w:pPr>
              <w:spacing w:after="0"/>
              <w:rPr>
                <w:sz w:val="21"/>
                <w:szCs w:val="21"/>
                <w:color w:val="auto"/>
              </w:rPr>
            </w:pPr>
          </w:p>
        </w:tc>
        <w:tc>
          <w:tcPr>
            <w:tcW w:w="220" w:type="dxa"/>
            <w:vAlign w:val="bottom"/>
            <w:shd w:val="clear" w:color="auto" w:fill="4834BA"/>
          </w:tcPr>
          <w:p>
            <w:pPr>
              <w:spacing w:after="0"/>
              <w:rPr>
                <w:sz w:val="21"/>
                <w:szCs w:val="21"/>
                <w:color w:val="auto"/>
              </w:rPr>
            </w:pPr>
          </w:p>
        </w:tc>
        <w:tc>
          <w:tcPr>
            <w:tcW w:w="1080" w:type="dxa"/>
            <w:vAlign w:val="bottom"/>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Inclusion</w:t>
            </w:r>
          </w:p>
        </w:tc>
        <w:tc>
          <w:tcPr>
            <w:tcW w:w="220" w:type="dxa"/>
            <w:vAlign w:val="bottom"/>
            <w:shd w:val="clear" w:color="auto" w:fill="4834BA"/>
          </w:tcPr>
          <w:p>
            <w:pPr>
              <w:spacing w:after="0"/>
              <w:rPr>
                <w:sz w:val="21"/>
                <w:szCs w:val="21"/>
                <w:color w:val="auto"/>
              </w:rPr>
            </w:pPr>
          </w:p>
        </w:tc>
        <w:tc>
          <w:tcPr>
            <w:tcW w:w="100" w:type="dxa"/>
            <w:vAlign w:val="bottom"/>
            <w:shd w:val="clear" w:color="auto" w:fill="4834BA"/>
          </w:tcPr>
          <w:p>
            <w:pPr>
              <w:spacing w:after="0"/>
              <w:rPr>
                <w:sz w:val="21"/>
                <w:szCs w:val="21"/>
                <w:color w:val="auto"/>
              </w:rPr>
            </w:pPr>
          </w:p>
        </w:tc>
        <w:tc>
          <w:tcPr>
            <w:tcW w:w="1200" w:type="dxa"/>
            <w:vAlign w:val="bottom"/>
            <w:tcBorders>
              <w:right w:val="single" w:sz="8" w:color="4834BA"/>
            </w:tcBorders>
            <w:gridSpan w:val="2"/>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w w:val="95"/>
              </w:rPr>
              <w:t>Compensation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340" w:type="dxa"/>
            <w:vAlign w:val="bottom"/>
            <w:shd w:val="clear" w:color="auto" w:fill="4834BA"/>
          </w:tcPr>
          <w:p>
            <w:pPr>
              <w:spacing w:after="0"/>
              <w:rPr>
                <w:sz w:val="15"/>
                <w:szCs w:val="15"/>
                <w:color w:val="auto"/>
              </w:rPr>
            </w:pPr>
          </w:p>
        </w:tc>
        <w:tc>
          <w:tcPr>
            <w:tcW w:w="1080" w:type="dxa"/>
            <w:vAlign w:val="bottom"/>
            <w:shd w:val="clear" w:color="auto" w:fill="4834BA"/>
          </w:tcPr>
          <w:p>
            <w:pPr>
              <w:spacing w:after="0"/>
              <w:rPr>
                <w:sz w:val="15"/>
                <w:szCs w:val="15"/>
                <w:color w:val="auto"/>
              </w:rPr>
            </w:pPr>
          </w:p>
        </w:tc>
        <w:tc>
          <w:tcPr>
            <w:tcW w:w="1600" w:type="dxa"/>
            <w:vAlign w:val="bottom"/>
            <w:gridSpan w:val="2"/>
            <w:shd w:val="clear" w:color="auto" w:fill="4834BA"/>
          </w:tcPr>
          <w:p>
            <w:pPr>
              <w:ind w:left="40"/>
              <w:spacing w:after="0" w:line="175" w:lineRule="exact"/>
              <w:rPr>
                <w:sz w:val="20"/>
                <w:szCs w:val="20"/>
                <w:color w:val="auto"/>
              </w:rPr>
            </w:pPr>
            <w:r>
              <w:rPr>
                <w:rFonts w:ascii="Arial" w:cs="Arial" w:eastAsia="Arial" w:hAnsi="Arial"/>
                <w:sz w:val="16"/>
                <w:szCs w:val="16"/>
                <w:b w:val="1"/>
                <w:bCs w:val="1"/>
                <w:color w:val="FFFFFF"/>
                <w:w w:val="97"/>
              </w:rPr>
              <w:t>Compensation Table</w:t>
            </w:r>
          </w:p>
        </w:tc>
        <w:tc>
          <w:tcPr>
            <w:tcW w:w="140" w:type="dxa"/>
            <w:vAlign w:val="bottom"/>
            <w:shd w:val="clear" w:color="auto" w:fill="4834BA"/>
          </w:tcPr>
          <w:p>
            <w:pPr>
              <w:spacing w:after="0"/>
              <w:rPr>
                <w:sz w:val="15"/>
                <w:szCs w:val="15"/>
                <w:color w:val="auto"/>
              </w:rPr>
            </w:pPr>
          </w:p>
        </w:tc>
        <w:tc>
          <w:tcPr>
            <w:tcW w:w="180" w:type="dxa"/>
            <w:vAlign w:val="bottom"/>
            <w:shd w:val="clear" w:color="auto" w:fill="4834BA"/>
          </w:tcPr>
          <w:p>
            <w:pPr>
              <w:spacing w:after="0"/>
              <w:rPr>
                <w:sz w:val="15"/>
                <w:szCs w:val="15"/>
                <w:color w:val="auto"/>
              </w:rPr>
            </w:pPr>
          </w:p>
        </w:tc>
        <w:tc>
          <w:tcPr>
            <w:tcW w:w="1580" w:type="dxa"/>
            <w:vAlign w:val="bottom"/>
            <w:gridSpan w:val="2"/>
            <w:shd w:val="clear" w:color="auto" w:fill="4834BA"/>
          </w:tcPr>
          <w:p>
            <w:pPr>
              <w:ind w:left="80"/>
              <w:spacing w:after="0" w:line="175" w:lineRule="exact"/>
              <w:rPr>
                <w:sz w:val="20"/>
                <w:szCs w:val="20"/>
                <w:color w:val="auto"/>
              </w:rPr>
            </w:pPr>
            <w:r>
              <w:rPr>
                <w:rFonts w:ascii="Arial" w:cs="Arial" w:eastAsia="Arial" w:hAnsi="Arial"/>
                <w:sz w:val="16"/>
                <w:szCs w:val="16"/>
                <w:b w:val="1"/>
                <w:bCs w:val="1"/>
                <w:color w:val="FFFFFF"/>
              </w:rPr>
              <w:t>Awards and Option</w:t>
            </w:r>
          </w:p>
        </w:tc>
        <w:tc>
          <w:tcPr>
            <w:tcW w:w="22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220" w:type="dxa"/>
            <w:vAlign w:val="bottom"/>
            <w:shd w:val="clear" w:color="auto" w:fill="4834BA"/>
          </w:tcPr>
          <w:p>
            <w:pPr>
              <w:spacing w:after="0"/>
              <w:rPr>
                <w:sz w:val="15"/>
                <w:szCs w:val="15"/>
                <w:color w:val="auto"/>
              </w:rPr>
            </w:pPr>
          </w:p>
        </w:tc>
        <w:tc>
          <w:tcPr>
            <w:tcW w:w="1080" w:type="dxa"/>
            <w:vAlign w:val="bottom"/>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rPr>
              <w:t>of Equity</w:t>
            </w:r>
          </w:p>
        </w:tc>
        <w:tc>
          <w:tcPr>
            <w:tcW w:w="220" w:type="dxa"/>
            <w:vAlign w:val="bottom"/>
            <w:shd w:val="clear" w:color="auto" w:fill="4834BA"/>
          </w:tcPr>
          <w:p>
            <w:pPr>
              <w:spacing w:after="0"/>
              <w:rPr>
                <w:sz w:val="15"/>
                <w:szCs w:val="15"/>
                <w:color w:val="auto"/>
              </w:rPr>
            </w:pPr>
          </w:p>
        </w:tc>
        <w:tc>
          <w:tcPr>
            <w:tcW w:w="100" w:type="dxa"/>
            <w:vAlign w:val="bottom"/>
            <w:shd w:val="clear" w:color="auto" w:fill="4834BA"/>
          </w:tcPr>
          <w:p>
            <w:pPr>
              <w:spacing w:after="0"/>
              <w:rPr>
                <w:sz w:val="15"/>
                <w:szCs w:val="15"/>
                <w:color w:val="auto"/>
              </w:rPr>
            </w:pPr>
          </w:p>
        </w:tc>
        <w:tc>
          <w:tcPr>
            <w:tcW w:w="120" w:type="dxa"/>
            <w:vAlign w:val="bottom"/>
            <w:shd w:val="clear" w:color="auto" w:fill="4834BA"/>
          </w:tcPr>
          <w:p>
            <w:pPr>
              <w:spacing w:after="0"/>
              <w:rPr>
                <w:sz w:val="15"/>
                <w:szCs w:val="15"/>
                <w:color w:val="auto"/>
              </w:rPr>
            </w:pPr>
          </w:p>
        </w:tc>
        <w:tc>
          <w:tcPr>
            <w:tcW w:w="1080" w:type="dxa"/>
            <w:vAlign w:val="bottom"/>
            <w:tcBorders>
              <w:right w:val="single" w:sz="8" w:color="4834BA"/>
            </w:tcBorders>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rPr>
              <w:t>Actually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4834BA"/>
          </w:tcPr>
          <w:p>
            <w:pPr>
              <w:spacing w:after="0"/>
              <w:rPr>
                <w:sz w:val="16"/>
                <w:szCs w:val="16"/>
                <w:color w:val="auto"/>
              </w:rPr>
            </w:pPr>
          </w:p>
        </w:tc>
        <w:tc>
          <w:tcPr>
            <w:tcW w:w="1080" w:type="dxa"/>
            <w:vAlign w:val="bottom"/>
            <w:shd w:val="clear" w:color="auto" w:fill="4834BA"/>
          </w:tcPr>
          <w:p>
            <w:pPr>
              <w:spacing w:after="0"/>
              <w:rPr>
                <w:sz w:val="16"/>
                <w:szCs w:val="16"/>
                <w:color w:val="auto"/>
              </w:rPr>
            </w:pPr>
          </w:p>
        </w:tc>
        <w:tc>
          <w:tcPr>
            <w:tcW w:w="200" w:type="dxa"/>
            <w:vAlign w:val="bottom"/>
            <w:shd w:val="clear" w:color="auto" w:fill="4834BA"/>
          </w:tcPr>
          <w:p>
            <w:pPr>
              <w:spacing w:after="0"/>
              <w:rPr>
                <w:sz w:val="16"/>
                <w:szCs w:val="16"/>
                <w:color w:val="auto"/>
              </w:rPr>
            </w:pPr>
          </w:p>
        </w:tc>
        <w:tc>
          <w:tcPr>
            <w:tcW w:w="140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Total for PEO</w:t>
            </w:r>
          </w:p>
        </w:tc>
        <w:tc>
          <w:tcPr>
            <w:tcW w:w="140" w:type="dxa"/>
            <w:vAlign w:val="bottom"/>
            <w:shd w:val="clear" w:color="auto" w:fill="4834BA"/>
          </w:tcPr>
          <w:p>
            <w:pPr>
              <w:spacing w:after="0"/>
              <w:rPr>
                <w:sz w:val="16"/>
                <w:szCs w:val="16"/>
                <w:color w:val="auto"/>
              </w:rPr>
            </w:pPr>
          </w:p>
        </w:tc>
        <w:tc>
          <w:tcPr>
            <w:tcW w:w="180" w:type="dxa"/>
            <w:vAlign w:val="bottom"/>
            <w:shd w:val="clear" w:color="auto" w:fill="4834BA"/>
          </w:tcPr>
          <w:p>
            <w:pPr>
              <w:spacing w:after="0"/>
              <w:rPr>
                <w:sz w:val="16"/>
                <w:szCs w:val="16"/>
                <w:color w:val="auto"/>
              </w:rPr>
            </w:pPr>
          </w:p>
        </w:tc>
        <w:tc>
          <w:tcPr>
            <w:tcW w:w="120" w:type="dxa"/>
            <w:vAlign w:val="bottom"/>
            <w:shd w:val="clear" w:color="auto" w:fill="4834BA"/>
          </w:tcPr>
          <w:p>
            <w:pPr>
              <w:spacing w:after="0"/>
              <w:rPr>
                <w:sz w:val="16"/>
                <w:szCs w:val="16"/>
                <w:color w:val="auto"/>
              </w:rPr>
            </w:pPr>
          </w:p>
        </w:tc>
        <w:tc>
          <w:tcPr>
            <w:tcW w:w="146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Awards for PEO</w:t>
            </w:r>
          </w:p>
        </w:tc>
        <w:tc>
          <w:tcPr>
            <w:tcW w:w="220" w:type="dxa"/>
            <w:vAlign w:val="bottom"/>
            <w:shd w:val="clear" w:color="auto" w:fill="4834BA"/>
          </w:tcPr>
          <w:p>
            <w:pPr>
              <w:spacing w:after="0"/>
              <w:rPr>
                <w:sz w:val="16"/>
                <w:szCs w:val="16"/>
                <w:color w:val="auto"/>
              </w:rPr>
            </w:pPr>
          </w:p>
        </w:tc>
        <w:tc>
          <w:tcPr>
            <w:tcW w:w="60" w:type="dxa"/>
            <w:vAlign w:val="bottom"/>
            <w:shd w:val="clear" w:color="auto" w:fill="4834BA"/>
          </w:tcPr>
          <w:p>
            <w:pPr>
              <w:spacing w:after="0"/>
              <w:rPr>
                <w:sz w:val="16"/>
                <w:szCs w:val="16"/>
                <w:color w:val="auto"/>
              </w:rPr>
            </w:pPr>
          </w:p>
        </w:tc>
        <w:tc>
          <w:tcPr>
            <w:tcW w:w="1300" w:type="dxa"/>
            <w:vAlign w:val="bottom"/>
            <w:gridSpan w:val="2"/>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Values for PEO</w:t>
            </w:r>
          </w:p>
        </w:tc>
        <w:tc>
          <w:tcPr>
            <w:tcW w:w="220" w:type="dxa"/>
            <w:vAlign w:val="bottom"/>
            <w:shd w:val="clear" w:color="auto" w:fill="4834BA"/>
          </w:tcPr>
          <w:p>
            <w:pPr>
              <w:spacing w:after="0"/>
              <w:rPr>
                <w:sz w:val="16"/>
                <w:szCs w:val="16"/>
                <w:color w:val="auto"/>
              </w:rPr>
            </w:pPr>
          </w:p>
        </w:tc>
        <w:tc>
          <w:tcPr>
            <w:tcW w:w="100" w:type="dxa"/>
            <w:vAlign w:val="bottom"/>
            <w:shd w:val="clear" w:color="auto" w:fill="4834BA"/>
          </w:tcPr>
          <w:p>
            <w:pPr>
              <w:spacing w:after="0"/>
              <w:rPr>
                <w:sz w:val="16"/>
                <w:szCs w:val="16"/>
                <w:color w:val="auto"/>
              </w:rPr>
            </w:pPr>
          </w:p>
        </w:tc>
        <w:tc>
          <w:tcPr>
            <w:tcW w:w="120" w:type="dxa"/>
            <w:vAlign w:val="bottom"/>
            <w:shd w:val="clear" w:color="auto" w:fill="4834BA"/>
          </w:tcPr>
          <w:p>
            <w:pPr>
              <w:spacing w:after="0"/>
              <w:rPr>
                <w:sz w:val="16"/>
                <w:szCs w:val="16"/>
                <w:color w:val="auto"/>
              </w:rPr>
            </w:pPr>
          </w:p>
        </w:tc>
        <w:tc>
          <w:tcPr>
            <w:tcW w:w="1080" w:type="dxa"/>
            <w:vAlign w:val="bottom"/>
            <w:tcBorders>
              <w:right w:val="single" w:sz="8" w:color="4834BA"/>
            </w:tcBorders>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Paid to PEO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340" w:type="dxa"/>
            <w:vAlign w:val="bottom"/>
            <w:shd w:val="clear" w:color="auto" w:fill="4834BA"/>
          </w:tcPr>
          <w:p>
            <w:pPr>
              <w:ind w:left="60"/>
              <w:spacing w:after="0" w:line="163" w:lineRule="exact"/>
              <w:rPr>
                <w:sz w:val="20"/>
                <w:szCs w:val="20"/>
                <w:color w:val="auto"/>
              </w:rPr>
            </w:pPr>
            <w:r>
              <w:rPr>
                <w:rFonts w:ascii="Arial" w:cs="Arial" w:eastAsia="Arial" w:hAnsi="Arial"/>
                <w:sz w:val="16"/>
                <w:szCs w:val="16"/>
                <w:b w:val="1"/>
                <w:bCs w:val="1"/>
                <w:color w:val="FFFFFF"/>
              </w:rPr>
              <w:t>Year</w:t>
            </w:r>
          </w:p>
        </w:tc>
        <w:tc>
          <w:tcPr>
            <w:tcW w:w="1080" w:type="dxa"/>
            <w:vAlign w:val="bottom"/>
            <w:vMerge w:val="restart"/>
            <w:shd w:val="clear" w:color="auto" w:fill="4834BA"/>
          </w:tcPr>
          <w:p>
            <w:pPr>
              <w:ind w:left="920"/>
              <w:spacing w:after="0"/>
              <w:rPr>
                <w:sz w:val="20"/>
                <w:szCs w:val="20"/>
                <w:color w:val="auto"/>
              </w:rPr>
            </w:pPr>
            <w:r>
              <w:rPr>
                <w:rFonts w:ascii="Arial" w:cs="Arial" w:eastAsia="Arial" w:hAnsi="Arial"/>
                <w:sz w:val="16"/>
                <w:szCs w:val="16"/>
                <w:b w:val="1"/>
                <w:bCs w:val="1"/>
                <w:color w:val="FFFFFF"/>
              </w:rPr>
              <w:t>​</w:t>
            </w:r>
          </w:p>
        </w:tc>
        <w:tc>
          <w:tcPr>
            <w:tcW w:w="200" w:type="dxa"/>
            <w:vAlign w:val="bottom"/>
            <w:vMerge w:val="restart"/>
            <w:shd w:val="clear" w:color="auto" w:fill="4834BA"/>
          </w:tcPr>
          <w:p>
            <w:pPr>
              <w:ind w:left="40"/>
              <w:spacing w:after="0"/>
              <w:rPr>
                <w:sz w:val="20"/>
                <w:szCs w:val="20"/>
                <w:color w:val="auto"/>
              </w:rPr>
            </w:pPr>
            <w:r>
              <w:rPr>
                <w:rFonts w:ascii="Arial" w:cs="Arial" w:eastAsia="Arial" w:hAnsi="Arial"/>
                <w:sz w:val="16"/>
                <w:szCs w:val="16"/>
                <w:b w:val="1"/>
                <w:bCs w:val="1"/>
                <w:color w:val="FFFFFF"/>
              </w:rPr>
              <w:t>​</w:t>
            </w:r>
          </w:p>
        </w:tc>
        <w:tc>
          <w:tcPr>
            <w:tcW w:w="1400" w:type="dxa"/>
            <w:vAlign w:val="bottom"/>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140" w:type="dxa"/>
            <w:vAlign w:val="bottom"/>
            <w:shd w:val="clear" w:color="auto" w:fill="4834BA"/>
          </w:tcPr>
          <w:p>
            <w:pPr>
              <w:spacing w:after="0"/>
              <w:rPr>
                <w:sz w:val="14"/>
                <w:szCs w:val="14"/>
                <w:color w:val="auto"/>
              </w:rPr>
            </w:pPr>
          </w:p>
        </w:tc>
        <w:tc>
          <w:tcPr>
            <w:tcW w:w="180" w:type="dxa"/>
            <w:vAlign w:val="bottom"/>
            <w:vMerge w:val="restart"/>
            <w:shd w:val="clear" w:color="auto" w:fill="4834BA"/>
          </w:tcPr>
          <w:p>
            <w:pPr>
              <w:ind w:left="60"/>
              <w:spacing w:after="0"/>
              <w:rPr>
                <w:sz w:val="20"/>
                <w:szCs w:val="20"/>
                <w:color w:val="auto"/>
              </w:rPr>
            </w:pPr>
            <w:r>
              <w:rPr>
                <w:rFonts w:ascii="Arial" w:cs="Arial" w:eastAsia="Arial" w:hAnsi="Arial"/>
                <w:sz w:val="16"/>
                <w:szCs w:val="16"/>
                <w:b w:val="1"/>
                <w:bCs w:val="1"/>
                <w:color w:val="FFFFFF"/>
              </w:rPr>
              <w:t>​</w:t>
            </w:r>
          </w:p>
        </w:tc>
        <w:tc>
          <w:tcPr>
            <w:tcW w:w="120" w:type="dxa"/>
            <w:vAlign w:val="bottom"/>
            <w:vMerge w:val="restart"/>
            <w:shd w:val="clear" w:color="auto" w:fill="4834BA"/>
          </w:tcPr>
          <w:p>
            <w:pPr>
              <w:ind w:left="80"/>
              <w:spacing w:after="0"/>
              <w:rPr>
                <w:sz w:val="20"/>
                <w:szCs w:val="20"/>
                <w:color w:val="auto"/>
              </w:rPr>
            </w:pPr>
            <w:r>
              <w:rPr>
                <w:rFonts w:ascii="Arial" w:cs="Arial" w:eastAsia="Arial" w:hAnsi="Arial"/>
                <w:sz w:val="16"/>
                <w:szCs w:val="16"/>
                <w:b w:val="1"/>
                <w:bCs w:val="1"/>
                <w:color w:val="FFFFFF"/>
              </w:rPr>
              <w:t>​</w:t>
            </w:r>
          </w:p>
        </w:tc>
        <w:tc>
          <w:tcPr>
            <w:tcW w:w="1460" w:type="dxa"/>
            <w:vAlign w:val="bottom"/>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220" w:type="dxa"/>
            <w:vAlign w:val="bottom"/>
            <w:vMerge w:val="restart"/>
            <w:shd w:val="clear" w:color="auto" w:fill="4834BA"/>
          </w:tcPr>
          <w:p>
            <w:pPr>
              <w:ind w:left="160"/>
              <w:spacing w:after="0"/>
              <w:rPr>
                <w:sz w:val="20"/>
                <w:szCs w:val="20"/>
                <w:color w:val="auto"/>
              </w:rPr>
            </w:pPr>
            <w:r>
              <w:rPr>
                <w:rFonts w:ascii="Arial" w:cs="Arial" w:eastAsia="Arial" w:hAnsi="Arial"/>
                <w:sz w:val="16"/>
                <w:szCs w:val="16"/>
                <w:b w:val="1"/>
                <w:bCs w:val="1"/>
                <w:color w:val="FFFFFF"/>
              </w:rPr>
              <w:t>​</w:t>
            </w:r>
          </w:p>
        </w:tc>
        <w:tc>
          <w:tcPr>
            <w:tcW w:w="60" w:type="dxa"/>
            <w:vAlign w:val="bottom"/>
            <w:shd w:val="clear" w:color="auto" w:fill="4834BA"/>
          </w:tcPr>
          <w:p>
            <w:pPr>
              <w:spacing w:after="0"/>
              <w:rPr>
                <w:sz w:val="14"/>
                <w:szCs w:val="14"/>
                <w:color w:val="auto"/>
              </w:rPr>
            </w:pPr>
          </w:p>
        </w:tc>
        <w:tc>
          <w:tcPr>
            <w:tcW w:w="220" w:type="dxa"/>
            <w:vAlign w:val="bottom"/>
            <w:vMerge w:val="restart"/>
            <w:shd w:val="clear" w:color="auto" w:fill="4834BA"/>
          </w:tcPr>
          <w:p>
            <w:pPr>
              <w:ind w:left="80"/>
              <w:spacing w:after="0"/>
              <w:rPr>
                <w:sz w:val="20"/>
                <w:szCs w:val="20"/>
                <w:color w:val="auto"/>
              </w:rPr>
            </w:pPr>
            <w:r>
              <w:rPr>
                <w:rFonts w:ascii="Arial" w:cs="Arial" w:eastAsia="Arial" w:hAnsi="Arial"/>
                <w:sz w:val="16"/>
                <w:szCs w:val="16"/>
                <w:b w:val="1"/>
                <w:bCs w:val="1"/>
                <w:color w:val="FFFFFF"/>
              </w:rPr>
              <w:t>​</w:t>
            </w:r>
          </w:p>
        </w:tc>
        <w:tc>
          <w:tcPr>
            <w:tcW w:w="1080" w:type="dxa"/>
            <w:vAlign w:val="bottom"/>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220" w:type="dxa"/>
            <w:vAlign w:val="bottom"/>
            <w:vMerge w:val="restart"/>
            <w:shd w:val="clear" w:color="auto" w:fill="4834BA"/>
          </w:tcPr>
          <w:p>
            <w:pPr>
              <w:ind w:left="120"/>
              <w:spacing w:after="0"/>
              <w:rPr>
                <w:sz w:val="20"/>
                <w:szCs w:val="20"/>
                <w:color w:val="auto"/>
              </w:rPr>
            </w:pPr>
            <w:r>
              <w:rPr>
                <w:rFonts w:ascii="Arial" w:cs="Arial" w:eastAsia="Arial" w:hAnsi="Arial"/>
                <w:sz w:val="16"/>
                <w:szCs w:val="16"/>
                <w:b w:val="1"/>
                <w:bCs w:val="1"/>
                <w:color w:val="FFFFFF"/>
              </w:rPr>
              <w:t>​</w:t>
            </w:r>
          </w:p>
        </w:tc>
        <w:tc>
          <w:tcPr>
            <w:tcW w:w="100" w:type="dxa"/>
            <w:vAlign w:val="bottom"/>
            <w:shd w:val="clear" w:color="auto" w:fill="4834BA"/>
          </w:tcPr>
          <w:p>
            <w:pPr>
              <w:spacing w:after="0"/>
              <w:rPr>
                <w:sz w:val="14"/>
                <w:szCs w:val="14"/>
                <w:color w:val="auto"/>
              </w:rPr>
            </w:pPr>
          </w:p>
        </w:tc>
        <w:tc>
          <w:tcPr>
            <w:tcW w:w="120" w:type="dxa"/>
            <w:vAlign w:val="bottom"/>
            <w:vMerge w:val="restart"/>
            <w:shd w:val="clear" w:color="auto" w:fill="4834BA"/>
          </w:tcPr>
          <w:p>
            <w:pPr>
              <w:spacing w:after="0"/>
              <w:rPr>
                <w:sz w:val="20"/>
                <w:szCs w:val="20"/>
                <w:color w:val="auto"/>
              </w:rPr>
            </w:pPr>
            <w:r>
              <w:rPr>
                <w:rFonts w:ascii="Arial" w:cs="Arial" w:eastAsia="Arial" w:hAnsi="Arial"/>
                <w:sz w:val="16"/>
                <w:szCs w:val="16"/>
                <w:b w:val="1"/>
                <w:bCs w:val="1"/>
                <w:color w:val="FFFFFF"/>
              </w:rPr>
              <w:t>​</w:t>
            </w:r>
          </w:p>
        </w:tc>
        <w:tc>
          <w:tcPr>
            <w:tcW w:w="1080" w:type="dxa"/>
            <w:vAlign w:val="bottom"/>
            <w:tcBorders>
              <w:right w:val="single" w:sz="8" w:color="4834BA"/>
            </w:tcBorders>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48"/>
        </w:trPr>
        <w:tc>
          <w:tcPr>
            <w:tcW w:w="1340" w:type="dxa"/>
            <w:vAlign w:val="bottom"/>
            <w:tcBorders>
              <w:bottom w:val="single" w:sz="8" w:color="4834BA"/>
            </w:tcBorders>
            <w:shd w:val="clear" w:color="auto" w:fill="4834BA"/>
          </w:tcPr>
          <w:p>
            <w:pPr>
              <w:ind w:left="60"/>
              <w:spacing w:after="0" w:line="27" w:lineRule="exact"/>
              <w:rPr>
                <w:sz w:val="20"/>
                <w:szCs w:val="20"/>
                <w:color w:val="auto"/>
              </w:rPr>
            </w:pPr>
            <w:r>
              <w:rPr>
                <w:rFonts w:ascii="Arial" w:cs="Arial" w:eastAsia="Arial" w:hAnsi="Arial"/>
                <w:sz w:val="3"/>
                <w:szCs w:val="3"/>
                <w:b w:val="1"/>
                <w:bCs w:val="1"/>
                <w:color w:val="FFFFFF"/>
              </w:rPr>
              <w:t>​</w:t>
            </w:r>
          </w:p>
        </w:tc>
        <w:tc>
          <w:tcPr>
            <w:tcW w:w="1080" w:type="dxa"/>
            <w:vAlign w:val="bottom"/>
            <w:tcBorders>
              <w:bottom w:val="single" w:sz="8" w:color="4834BA"/>
            </w:tcBorders>
            <w:vMerge w:val="continue"/>
            <w:shd w:val="clear" w:color="auto" w:fill="4834BA"/>
          </w:tcPr>
          <w:p>
            <w:pPr>
              <w:spacing w:after="0"/>
              <w:rPr>
                <w:sz w:val="4"/>
                <w:szCs w:val="4"/>
                <w:color w:val="auto"/>
              </w:rPr>
            </w:pPr>
          </w:p>
        </w:tc>
        <w:tc>
          <w:tcPr>
            <w:tcW w:w="200" w:type="dxa"/>
            <w:vAlign w:val="bottom"/>
            <w:tcBorders>
              <w:bottom w:val="single" w:sz="8" w:color="4834BA"/>
            </w:tcBorders>
            <w:vMerge w:val="continue"/>
            <w:shd w:val="clear" w:color="auto" w:fill="4834BA"/>
          </w:tcPr>
          <w:p>
            <w:pPr>
              <w:spacing w:after="0"/>
              <w:rPr>
                <w:sz w:val="4"/>
                <w:szCs w:val="4"/>
                <w:color w:val="auto"/>
              </w:rPr>
            </w:pPr>
          </w:p>
        </w:tc>
        <w:tc>
          <w:tcPr>
            <w:tcW w:w="1400" w:type="dxa"/>
            <w:vAlign w:val="bottom"/>
            <w:tcBorders>
              <w:bottom w:val="single" w:sz="8" w:color="4834BA"/>
            </w:tcBorders>
            <w:shd w:val="clear" w:color="auto" w:fill="4834BA"/>
          </w:tcPr>
          <w:p>
            <w:pPr>
              <w:spacing w:after="0"/>
              <w:rPr>
                <w:sz w:val="4"/>
                <w:szCs w:val="4"/>
                <w:color w:val="auto"/>
              </w:rPr>
            </w:pPr>
          </w:p>
        </w:tc>
        <w:tc>
          <w:tcPr>
            <w:tcW w:w="140" w:type="dxa"/>
            <w:vAlign w:val="bottom"/>
            <w:tcBorders>
              <w:bottom w:val="single" w:sz="8" w:color="4834BA"/>
            </w:tcBorders>
            <w:shd w:val="clear" w:color="auto" w:fill="4834BA"/>
          </w:tcPr>
          <w:p>
            <w:pPr>
              <w:spacing w:after="0"/>
              <w:rPr>
                <w:sz w:val="4"/>
                <w:szCs w:val="4"/>
                <w:color w:val="auto"/>
              </w:rPr>
            </w:pPr>
          </w:p>
        </w:tc>
        <w:tc>
          <w:tcPr>
            <w:tcW w:w="180" w:type="dxa"/>
            <w:vAlign w:val="bottom"/>
            <w:tcBorders>
              <w:bottom w:val="single" w:sz="8" w:color="4834BA"/>
            </w:tcBorders>
            <w:vMerge w:val="continue"/>
            <w:shd w:val="clear" w:color="auto" w:fill="4834BA"/>
          </w:tcPr>
          <w:p>
            <w:pPr>
              <w:spacing w:after="0"/>
              <w:rPr>
                <w:sz w:val="4"/>
                <w:szCs w:val="4"/>
                <w:color w:val="auto"/>
              </w:rPr>
            </w:pPr>
          </w:p>
        </w:tc>
        <w:tc>
          <w:tcPr>
            <w:tcW w:w="120" w:type="dxa"/>
            <w:vAlign w:val="bottom"/>
            <w:tcBorders>
              <w:bottom w:val="single" w:sz="8" w:color="4834BA"/>
            </w:tcBorders>
            <w:vMerge w:val="continue"/>
            <w:shd w:val="clear" w:color="auto" w:fill="4834BA"/>
          </w:tcPr>
          <w:p>
            <w:pPr>
              <w:spacing w:after="0"/>
              <w:rPr>
                <w:sz w:val="4"/>
                <w:szCs w:val="4"/>
                <w:color w:val="auto"/>
              </w:rPr>
            </w:pPr>
          </w:p>
        </w:tc>
        <w:tc>
          <w:tcPr>
            <w:tcW w:w="1460" w:type="dxa"/>
            <w:vAlign w:val="bottom"/>
            <w:tcBorders>
              <w:bottom w:val="single" w:sz="8" w:color="4834BA"/>
            </w:tcBorders>
            <w:shd w:val="clear" w:color="auto" w:fill="4834BA"/>
          </w:tcPr>
          <w:p>
            <w:pPr>
              <w:spacing w:after="0"/>
              <w:rPr>
                <w:sz w:val="4"/>
                <w:szCs w:val="4"/>
                <w:color w:val="auto"/>
              </w:rPr>
            </w:pPr>
          </w:p>
        </w:tc>
        <w:tc>
          <w:tcPr>
            <w:tcW w:w="220" w:type="dxa"/>
            <w:vAlign w:val="bottom"/>
            <w:tcBorders>
              <w:bottom w:val="single" w:sz="8" w:color="4834BA"/>
            </w:tcBorders>
            <w:vMerge w:val="continue"/>
            <w:shd w:val="clear" w:color="auto" w:fill="4834BA"/>
          </w:tcPr>
          <w:p>
            <w:pPr>
              <w:spacing w:after="0"/>
              <w:rPr>
                <w:sz w:val="4"/>
                <w:szCs w:val="4"/>
                <w:color w:val="auto"/>
              </w:rPr>
            </w:pPr>
          </w:p>
        </w:tc>
        <w:tc>
          <w:tcPr>
            <w:tcW w:w="60" w:type="dxa"/>
            <w:vAlign w:val="bottom"/>
            <w:tcBorders>
              <w:bottom w:val="single" w:sz="8" w:color="4834BA"/>
            </w:tcBorders>
            <w:shd w:val="clear" w:color="auto" w:fill="4834BA"/>
          </w:tcPr>
          <w:p>
            <w:pPr>
              <w:spacing w:after="0"/>
              <w:rPr>
                <w:sz w:val="4"/>
                <w:szCs w:val="4"/>
                <w:color w:val="auto"/>
              </w:rPr>
            </w:pPr>
          </w:p>
        </w:tc>
        <w:tc>
          <w:tcPr>
            <w:tcW w:w="220" w:type="dxa"/>
            <w:vAlign w:val="bottom"/>
            <w:tcBorders>
              <w:bottom w:val="single" w:sz="8" w:color="4834BA"/>
            </w:tcBorders>
            <w:vMerge w:val="continue"/>
            <w:shd w:val="clear" w:color="auto" w:fill="4834BA"/>
          </w:tcPr>
          <w:p>
            <w:pPr>
              <w:spacing w:after="0"/>
              <w:rPr>
                <w:sz w:val="4"/>
                <w:szCs w:val="4"/>
                <w:color w:val="auto"/>
              </w:rPr>
            </w:pPr>
          </w:p>
        </w:tc>
        <w:tc>
          <w:tcPr>
            <w:tcW w:w="1080" w:type="dxa"/>
            <w:vAlign w:val="bottom"/>
            <w:tcBorders>
              <w:bottom w:val="single" w:sz="8" w:color="4834BA"/>
            </w:tcBorders>
            <w:shd w:val="clear" w:color="auto" w:fill="4834BA"/>
          </w:tcPr>
          <w:p>
            <w:pPr>
              <w:spacing w:after="0"/>
              <w:rPr>
                <w:sz w:val="4"/>
                <w:szCs w:val="4"/>
                <w:color w:val="auto"/>
              </w:rPr>
            </w:pPr>
          </w:p>
        </w:tc>
        <w:tc>
          <w:tcPr>
            <w:tcW w:w="220" w:type="dxa"/>
            <w:vAlign w:val="bottom"/>
            <w:tcBorders>
              <w:bottom w:val="single" w:sz="8" w:color="4834BA"/>
            </w:tcBorders>
            <w:vMerge w:val="continue"/>
            <w:shd w:val="clear" w:color="auto" w:fill="4834BA"/>
          </w:tcPr>
          <w:p>
            <w:pPr>
              <w:spacing w:after="0"/>
              <w:rPr>
                <w:sz w:val="4"/>
                <w:szCs w:val="4"/>
                <w:color w:val="auto"/>
              </w:rPr>
            </w:pPr>
          </w:p>
        </w:tc>
        <w:tc>
          <w:tcPr>
            <w:tcW w:w="100" w:type="dxa"/>
            <w:vAlign w:val="bottom"/>
            <w:tcBorders>
              <w:bottom w:val="single" w:sz="8" w:color="4834BA"/>
            </w:tcBorders>
            <w:shd w:val="clear" w:color="auto" w:fill="4834BA"/>
          </w:tcPr>
          <w:p>
            <w:pPr>
              <w:spacing w:after="0"/>
              <w:rPr>
                <w:sz w:val="4"/>
                <w:szCs w:val="4"/>
                <w:color w:val="auto"/>
              </w:rPr>
            </w:pPr>
          </w:p>
        </w:tc>
        <w:tc>
          <w:tcPr>
            <w:tcW w:w="120" w:type="dxa"/>
            <w:vAlign w:val="bottom"/>
            <w:tcBorders>
              <w:bottom w:val="single" w:sz="8" w:color="4834BA"/>
            </w:tcBorders>
            <w:vMerge w:val="continue"/>
            <w:shd w:val="clear" w:color="auto" w:fill="4834BA"/>
          </w:tcPr>
          <w:p>
            <w:pPr>
              <w:spacing w:after="0"/>
              <w:rPr>
                <w:sz w:val="4"/>
                <w:szCs w:val="4"/>
                <w:color w:val="auto"/>
              </w:rPr>
            </w:pPr>
          </w:p>
        </w:tc>
        <w:tc>
          <w:tcPr>
            <w:tcW w:w="1080" w:type="dxa"/>
            <w:vAlign w:val="bottom"/>
            <w:tcBorders>
              <w:bottom w:val="single" w:sz="8" w:color="4834BA"/>
              <w:right w:val="single" w:sz="8" w:color="4834BA"/>
            </w:tcBorders>
            <w:shd w:val="clear" w:color="auto" w:fill="4834BA"/>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080" w:type="dxa"/>
            <w:vAlign w:val="bottom"/>
          </w:tcPr>
          <w:p>
            <w:pPr>
              <w:ind w:left="920"/>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22" w:lineRule="exact"/>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4,769,014</w:t>
            </w:r>
          </w:p>
        </w:tc>
        <w:tc>
          <w:tcPr>
            <w:tcW w:w="140" w:type="dxa"/>
            <w:vAlign w:val="bottom"/>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(2,837,667)</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22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(5,156,892)</w:t>
            </w:r>
          </w:p>
        </w:tc>
        <w:tc>
          <w:tcPr>
            <w:tcW w:w="22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(3,225,545)</w:t>
            </w: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4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6"/>
                <w:szCs w:val="16"/>
                <w:color w:val="auto"/>
              </w:rPr>
              <w:t>2025</w:t>
            </w: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40" w:type="dxa"/>
            <w:vAlign w:val="bottom"/>
            <w:shd w:val="clear" w:color="auto" w:fill="4834BA"/>
          </w:tcPr>
          <w:p>
            <w:pPr>
              <w:spacing w:after="0"/>
              <w:rPr>
                <w:sz w:val="21"/>
                <w:szCs w:val="21"/>
                <w:color w:val="auto"/>
              </w:rPr>
            </w:pPr>
          </w:p>
        </w:tc>
        <w:tc>
          <w:tcPr>
            <w:tcW w:w="1080" w:type="dxa"/>
            <w:vAlign w:val="bottom"/>
            <w:shd w:val="clear" w:color="auto" w:fill="4834BA"/>
          </w:tcPr>
          <w:p>
            <w:pPr>
              <w:spacing w:after="0"/>
              <w:rPr>
                <w:sz w:val="21"/>
                <w:szCs w:val="21"/>
                <w:color w:val="auto"/>
              </w:rPr>
            </w:pPr>
          </w:p>
        </w:tc>
        <w:tc>
          <w:tcPr>
            <w:tcW w:w="1600" w:type="dxa"/>
            <w:vAlign w:val="bottom"/>
            <w:gridSpan w:val="2"/>
            <w:shd w:val="clear" w:color="auto" w:fill="4834BA"/>
          </w:tcPr>
          <w:p>
            <w:pPr>
              <w:jc w:val="right"/>
              <w:ind w:right="99"/>
              <w:spacing w:after="0"/>
              <w:rPr>
                <w:sz w:val="20"/>
                <w:szCs w:val="20"/>
                <w:color w:val="auto"/>
              </w:rPr>
            </w:pPr>
            <w:r>
              <w:rPr>
                <w:rFonts w:ascii="Arial" w:cs="Arial" w:eastAsia="Arial" w:hAnsi="Arial"/>
                <w:sz w:val="16"/>
                <w:szCs w:val="16"/>
                <w:b w:val="1"/>
                <w:bCs w:val="1"/>
                <w:color w:val="FFFFFF"/>
                <w:w w:val="99"/>
              </w:rPr>
              <w:t>Average Summary</w:t>
            </w:r>
          </w:p>
        </w:tc>
        <w:tc>
          <w:tcPr>
            <w:tcW w:w="140" w:type="dxa"/>
            <w:vAlign w:val="bottom"/>
            <w:shd w:val="clear" w:color="auto" w:fill="4834BA"/>
          </w:tcPr>
          <w:p>
            <w:pPr>
              <w:spacing w:after="0"/>
              <w:rPr>
                <w:sz w:val="21"/>
                <w:szCs w:val="21"/>
                <w:color w:val="auto"/>
              </w:rPr>
            </w:pPr>
          </w:p>
        </w:tc>
        <w:tc>
          <w:tcPr>
            <w:tcW w:w="1760" w:type="dxa"/>
            <w:vAlign w:val="bottom"/>
            <w:gridSpan w:val="3"/>
            <w:shd w:val="clear" w:color="auto" w:fill="4834BA"/>
          </w:tcPr>
          <w:p>
            <w:pPr>
              <w:ind w:left="60"/>
              <w:spacing w:after="0"/>
              <w:rPr>
                <w:sz w:val="20"/>
                <w:szCs w:val="20"/>
                <w:color w:val="auto"/>
              </w:rPr>
            </w:pPr>
            <w:r>
              <w:rPr>
                <w:rFonts w:ascii="Arial" w:cs="Arial" w:eastAsia="Arial" w:hAnsi="Arial"/>
                <w:sz w:val="16"/>
                <w:szCs w:val="16"/>
                <w:b w:val="1"/>
                <w:bCs w:val="1"/>
                <w:color w:val="FFFFFF"/>
              </w:rPr>
              <w:t>Average Exclusion of</w:t>
            </w:r>
          </w:p>
        </w:tc>
        <w:tc>
          <w:tcPr>
            <w:tcW w:w="220" w:type="dxa"/>
            <w:vAlign w:val="bottom"/>
            <w:shd w:val="clear" w:color="auto" w:fill="4834BA"/>
          </w:tcPr>
          <w:p>
            <w:pPr>
              <w:spacing w:after="0"/>
              <w:rPr>
                <w:sz w:val="21"/>
                <w:szCs w:val="21"/>
                <w:color w:val="auto"/>
              </w:rPr>
            </w:pPr>
          </w:p>
        </w:tc>
        <w:tc>
          <w:tcPr>
            <w:tcW w:w="60" w:type="dxa"/>
            <w:vAlign w:val="bottom"/>
            <w:shd w:val="clear" w:color="auto" w:fill="4834BA"/>
          </w:tcPr>
          <w:p>
            <w:pPr>
              <w:spacing w:after="0"/>
              <w:rPr>
                <w:sz w:val="21"/>
                <w:szCs w:val="21"/>
                <w:color w:val="auto"/>
              </w:rPr>
            </w:pPr>
          </w:p>
        </w:tc>
        <w:tc>
          <w:tcPr>
            <w:tcW w:w="220" w:type="dxa"/>
            <w:vAlign w:val="bottom"/>
            <w:shd w:val="clear" w:color="auto" w:fill="4834BA"/>
          </w:tcPr>
          <w:p>
            <w:pPr>
              <w:spacing w:after="0"/>
              <w:rPr>
                <w:sz w:val="21"/>
                <w:szCs w:val="21"/>
                <w:color w:val="auto"/>
              </w:rPr>
            </w:pPr>
          </w:p>
        </w:tc>
        <w:tc>
          <w:tcPr>
            <w:tcW w:w="1080" w:type="dxa"/>
            <w:vAlign w:val="bottom"/>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Average</w:t>
            </w:r>
          </w:p>
        </w:tc>
        <w:tc>
          <w:tcPr>
            <w:tcW w:w="220" w:type="dxa"/>
            <w:vAlign w:val="bottom"/>
            <w:shd w:val="clear" w:color="auto" w:fill="4834BA"/>
          </w:tcPr>
          <w:p>
            <w:pPr>
              <w:spacing w:after="0"/>
              <w:rPr>
                <w:sz w:val="21"/>
                <w:szCs w:val="21"/>
                <w:color w:val="auto"/>
              </w:rPr>
            </w:pPr>
          </w:p>
        </w:tc>
        <w:tc>
          <w:tcPr>
            <w:tcW w:w="100" w:type="dxa"/>
            <w:vAlign w:val="bottom"/>
            <w:shd w:val="clear" w:color="auto" w:fill="4834BA"/>
          </w:tcPr>
          <w:p>
            <w:pPr>
              <w:spacing w:after="0"/>
              <w:rPr>
                <w:sz w:val="21"/>
                <w:szCs w:val="21"/>
                <w:color w:val="auto"/>
              </w:rPr>
            </w:pPr>
          </w:p>
        </w:tc>
        <w:tc>
          <w:tcPr>
            <w:tcW w:w="120" w:type="dxa"/>
            <w:vAlign w:val="bottom"/>
            <w:shd w:val="clear" w:color="auto" w:fill="4834BA"/>
          </w:tcPr>
          <w:p>
            <w:pPr>
              <w:spacing w:after="0"/>
              <w:rPr>
                <w:sz w:val="21"/>
                <w:szCs w:val="21"/>
                <w:color w:val="auto"/>
              </w:rPr>
            </w:pPr>
          </w:p>
        </w:tc>
        <w:tc>
          <w:tcPr>
            <w:tcW w:w="1080" w:type="dxa"/>
            <w:vAlign w:val="bottom"/>
            <w:tcBorders>
              <w:right w:val="single" w:sz="8" w:color="4834BA"/>
            </w:tcBorders>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Average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4834BA"/>
          </w:tcPr>
          <w:p>
            <w:pPr>
              <w:spacing w:after="0"/>
              <w:rPr>
                <w:sz w:val="15"/>
                <w:szCs w:val="15"/>
                <w:color w:val="auto"/>
              </w:rPr>
            </w:pPr>
          </w:p>
        </w:tc>
        <w:tc>
          <w:tcPr>
            <w:tcW w:w="1080" w:type="dxa"/>
            <w:vAlign w:val="bottom"/>
            <w:shd w:val="clear" w:color="auto" w:fill="4834BA"/>
          </w:tcPr>
          <w:p>
            <w:pPr>
              <w:spacing w:after="0"/>
              <w:rPr>
                <w:sz w:val="15"/>
                <w:szCs w:val="15"/>
                <w:color w:val="auto"/>
              </w:rPr>
            </w:pPr>
          </w:p>
        </w:tc>
        <w:tc>
          <w:tcPr>
            <w:tcW w:w="200" w:type="dxa"/>
            <w:vAlign w:val="bottom"/>
            <w:shd w:val="clear" w:color="auto" w:fill="4834BA"/>
          </w:tcPr>
          <w:p>
            <w:pPr>
              <w:spacing w:after="0"/>
              <w:rPr>
                <w:sz w:val="15"/>
                <w:szCs w:val="15"/>
                <w:color w:val="auto"/>
              </w:rPr>
            </w:pPr>
          </w:p>
        </w:tc>
        <w:tc>
          <w:tcPr>
            <w:tcW w:w="1400" w:type="dxa"/>
            <w:vAlign w:val="bottom"/>
            <w:shd w:val="clear" w:color="auto" w:fill="4834BA"/>
          </w:tcPr>
          <w:p>
            <w:pPr>
              <w:jc w:val="right"/>
              <w:ind w:right="99"/>
              <w:spacing w:after="0" w:line="175" w:lineRule="exact"/>
              <w:rPr>
                <w:sz w:val="20"/>
                <w:szCs w:val="20"/>
                <w:color w:val="auto"/>
              </w:rPr>
            </w:pPr>
            <w:r>
              <w:rPr>
                <w:rFonts w:ascii="Arial" w:cs="Arial" w:eastAsia="Arial" w:hAnsi="Arial"/>
                <w:sz w:val="16"/>
                <w:szCs w:val="16"/>
                <w:b w:val="1"/>
                <w:bCs w:val="1"/>
                <w:color w:val="FFFFFF"/>
              </w:rPr>
              <w:t>Compensation</w:t>
            </w:r>
          </w:p>
        </w:tc>
        <w:tc>
          <w:tcPr>
            <w:tcW w:w="140" w:type="dxa"/>
            <w:vAlign w:val="bottom"/>
            <w:shd w:val="clear" w:color="auto" w:fill="4834BA"/>
          </w:tcPr>
          <w:p>
            <w:pPr>
              <w:spacing w:after="0"/>
              <w:rPr>
                <w:sz w:val="15"/>
                <w:szCs w:val="15"/>
                <w:color w:val="auto"/>
              </w:rPr>
            </w:pPr>
          </w:p>
        </w:tc>
        <w:tc>
          <w:tcPr>
            <w:tcW w:w="180" w:type="dxa"/>
            <w:vAlign w:val="bottom"/>
            <w:shd w:val="clear" w:color="auto" w:fill="4834BA"/>
          </w:tcPr>
          <w:p>
            <w:pPr>
              <w:spacing w:after="0"/>
              <w:rPr>
                <w:sz w:val="15"/>
                <w:szCs w:val="15"/>
                <w:color w:val="auto"/>
              </w:rPr>
            </w:pPr>
          </w:p>
        </w:tc>
        <w:tc>
          <w:tcPr>
            <w:tcW w:w="1580" w:type="dxa"/>
            <w:vAlign w:val="bottom"/>
            <w:gridSpan w:val="2"/>
            <w:shd w:val="clear" w:color="auto" w:fill="4834BA"/>
          </w:tcPr>
          <w:p>
            <w:pPr>
              <w:ind w:left="100"/>
              <w:spacing w:after="0" w:line="175" w:lineRule="exact"/>
              <w:rPr>
                <w:sz w:val="20"/>
                <w:szCs w:val="20"/>
                <w:color w:val="auto"/>
              </w:rPr>
            </w:pPr>
            <w:r>
              <w:rPr>
                <w:rFonts w:ascii="Arial" w:cs="Arial" w:eastAsia="Arial" w:hAnsi="Arial"/>
                <w:sz w:val="16"/>
                <w:szCs w:val="16"/>
                <w:b w:val="1"/>
                <w:bCs w:val="1"/>
                <w:color w:val="FFFFFF"/>
              </w:rPr>
              <w:t>Stock Awards and</w:t>
            </w:r>
          </w:p>
        </w:tc>
        <w:tc>
          <w:tcPr>
            <w:tcW w:w="22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220" w:type="dxa"/>
            <w:vAlign w:val="bottom"/>
            <w:shd w:val="clear" w:color="auto" w:fill="4834BA"/>
          </w:tcPr>
          <w:p>
            <w:pPr>
              <w:spacing w:after="0"/>
              <w:rPr>
                <w:sz w:val="15"/>
                <w:szCs w:val="15"/>
                <w:color w:val="auto"/>
              </w:rPr>
            </w:pPr>
          </w:p>
        </w:tc>
        <w:tc>
          <w:tcPr>
            <w:tcW w:w="1080" w:type="dxa"/>
            <w:vAlign w:val="bottom"/>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rPr>
              <w:t>Inclusion of</w:t>
            </w:r>
          </w:p>
        </w:tc>
        <w:tc>
          <w:tcPr>
            <w:tcW w:w="220" w:type="dxa"/>
            <w:vAlign w:val="bottom"/>
            <w:shd w:val="clear" w:color="auto" w:fill="4834BA"/>
          </w:tcPr>
          <w:p>
            <w:pPr>
              <w:spacing w:after="0"/>
              <w:rPr>
                <w:sz w:val="15"/>
                <w:szCs w:val="15"/>
                <w:color w:val="auto"/>
              </w:rPr>
            </w:pPr>
          </w:p>
        </w:tc>
        <w:tc>
          <w:tcPr>
            <w:tcW w:w="100" w:type="dxa"/>
            <w:vAlign w:val="bottom"/>
            <w:shd w:val="clear" w:color="auto" w:fill="4834BA"/>
          </w:tcPr>
          <w:p>
            <w:pPr>
              <w:spacing w:after="0"/>
              <w:rPr>
                <w:sz w:val="15"/>
                <w:szCs w:val="15"/>
                <w:color w:val="auto"/>
              </w:rPr>
            </w:pPr>
          </w:p>
        </w:tc>
        <w:tc>
          <w:tcPr>
            <w:tcW w:w="1200" w:type="dxa"/>
            <w:vAlign w:val="bottom"/>
            <w:tcBorders>
              <w:right w:val="single" w:sz="8" w:color="4834BA"/>
            </w:tcBorders>
            <w:gridSpan w:val="2"/>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w w:val="95"/>
              </w:rPr>
              <w:t>Compensation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4834BA"/>
          </w:tcPr>
          <w:p>
            <w:pPr>
              <w:spacing w:after="0"/>
              <w:rPr>
                <w:sz w:val="16"/>
                <w:szCs w:val="16"/>
                <w:color w:val="auto"/>
              </w:rPr>
            </w:pPr>
          </w:p>
        </w:tc>
        <w:tc>
          <w:tcPr>
            <w:tcW w:w="1080" w:type="dxa"/>
            <w:vAlign w:val="bottom"/>
            <w:shd w:val="clear" w:color="auto" w:fill="4834BA"/>
          </w:tcPr>
          <w:p>
            <w:pPr>
              <w:spacing w:after="0"/>
              <w:rPr>
                <w:sz w:val="16"/>
                <w:szCs w:val="16"/>
                <w:color w:val="auto"/>
              </w:rPr>
            </w:pPr>
          </w:p>
        </w:tc>
        <w:tc>
          <w:tcPr>
            <w:tcW w:w="200" w:type="dxa"/>
            <w:vAlign w:val="bottom"/>
            <w:shd w:val="clear" w:color="auto" w:fill="4834BA"/>
          </w:tcPr>
          <w:p>
            <w:pPr>
              <w:spacing w:after="0"/>
              <w:rPr>
                <w:sz w:val="16"/>
                <w:szCs w:val="16"/>
                <w:color w:val="auto"/>
              </w:rPr>
            </w:pPr>
          </w:p>
        </w:tc>
        <w:tc>
          <w:tcPr>
            <w:tcW w:w="1400" w:type="dxa"/>
            <w:vAlign w:val="bottom"/>
            <w:shd w:val="clear" w:color="auto" w:fill="4834BA"/>
          </w:tcPr>
          <w:p>
            <w:pPr>
              <w:jc w:val="right"/>
              <w:ind w:right="99"/>
              <w:spacing w:after="0"/>
              <w:rPr>
                <w:sz w:val="20"/>
                <w:szCs w:val="20"/>
                <w:color w:val="auto"/>
              </w:rPr>
            </w:pPr>
            <w:r>
              <w:rPr>
                <w:rFonts w:ascii="Arial" w:cs="Arial" w:eastAsia="Arial" w:hAnsi="Arial"/>
                <w:sz w:val="16"/>
                <w:szCs w:val="16"/>
                <w:b w:val="1"/>
                <w:bCs w:val="1"/>
                <w:color w:val="FFFFFF"/>
              </w:rPr>
              <w:t>Table Total for</w:t>
            </w:r>
          </w:p>
        </w:tc>
        <w:tc>
          <w:tcPr>
            <w:tcW w:w="140" w:type="dxa"/>
            <w:vAlign w:val="bottom"/>
            <w:shd w:val="clear" w:color="auto" w:fill="4834BA"/>
          </w:tcPr>
          <w:p>
            <w:pPr>
              <w:spacing w:after="0"/>
              <w:rPr>
                <w:sz w:val="16"/>
                <w:szCs w:val="16"/>
                <w:color w:val="auto"/>
              </w:rPr>
            </w:pPr>
          </w:p>
        </w:tc>
        <w:tc>
          <w:tcPr>
            <w:tcW w:w="180" w:type="dxa"/>
            <w:vAlign w:val="bottom"/>
            <w:shd w:val="clear" w:color="auto" w:fill="4834BA"/>
          </w:tcPr>
          <w:p>
            <w:pPr>
              <w:spacing w:after="0"/>
              <w:rPr>
                <w:sz w:val="16"/>
                <w:szCs w:val="16"/>
                <w:color w:val="auto"/>
              </w:rPr>
            </w:pPr>
          </w:p>
        </w:tc>
        <w:tc>
          <w:tcPr>
            <w:tcW w:w="1580" w:type="dxa"/>
            <w:vAlign w:val="bottom"/>
            <w:gridSpan w:val="2"/>
            <w:shd w:val="clear" w:color="auto" w:fill="4834BA"/>
          </w:tcPr>
          <w:p>
            <w:pPr>
              <w:ind w:left="100"/>
              <w:spacing w:after="0"/>
              <w:rPr>
                <w:sz w:val="20"/>
                <w:szCs w:val="20"/>
                <w:color w:val="auto"/>
              </w:rPr>
            </w:pPr>
            <w:r>
              <w:rPr>
                <w:rFonts w:ascii="Arial" w:cs="Arial" w:eastAsia="Arial" w:hAnsi="Arial"/>
                <w:sz w:val="16"/>
                <w:szCs w:val="16"/>
                <w:b w:val="1"/>
                <w:bCs w:val="1"/>
                <w:color w:val="FFFFFF"/>
              </w:rPr>
              <w:t>Option Awards for</w:t>
            </w:r>
          </w:p>
        </w:tc>
        <w:tc>
          <w:tcPr>
            <w:tcW w:w="220" w:type="dxa"/>
            <w:vAlign w:val="bottom"/>
            <w:shd w:val="clear" w:color="auto" w:fill="4834BA"/>
          </w:tcPr>
          <w:p>
            <w:pPr>
              <w:spacing w:after="0"/>
              <w:rPr>
                <w:sz w:val="16"/>
                <w:szCs w:val="16"/>
                <w:color w:val="auto"/>
              </w:rPr>
            </w:pPr>
          </w:p>
        </w:tc>
        <w:tc>
          <w:tcPr>
            <w:tcW w:w="1360" w:type="dxa"/>
            <w:vAlign w:val="bottom"/>
            <w:gridSpan w:val="3"/>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w w:val="93"/>
              </w:rPr>
              <w:t>Equity Values for</w:t>
            </w:r>
          </w:p>
        </w:tc>
        <w:tc>
          <w:tcPr>
            <w:tcW w:w="220" w:type="dxa"/>
            <w:vAlign w:val="bottom"/>
            <w:shd w:val="clear" w:color="auto" w:fill="4834BA"/>
          </w:tcPr>
          <w:p>
            <w:pPr>
              <w:spacing w:after="0"/>
              <w:rPr>
                <w:sz w:val="16"/>
                <w:szCs w:val="16"/>
                <w:color w:val="auto"/>
              </w:rPr>
            </w:pPr>
          </w:p>
        </w:tc>
        <w:tc>
          <w:tcPr>
            <w:tcW w:w="1300" w:type="dxa"/>
            <w:vAlign w:val="bottom"/>
            <w:tcBorders>
              <w:right w:val="single" w:sz="8" w:color="4834BA"/>
            </w:tcBorders>
            <w:gridSpan w:val="3"/>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w w:val="96"/>
              </w:rPr>
              <w:t>Actually Paid to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40" w:type="dxa"/>
            <w:vAlign w:val="bottom"/>
            <w:vMerge w:val="restart"/>
            <w:shd w:val="clear" w:color="auto" w:fill="4834BA"/>
          </w:tcPr>
          <w:p>
            <w:pPr>
              <w:ind w:left="60"/>
              <w:spacing w:after="0"/>
              <w:rPr>
                <w:sz w:val="20"/>
                <w:szCs w:val="20"/>
                <w:color w:val="auto"/>
              </w:rPr>
            </w:pPr>
            <w:r>
              <w:rPr>
                <w:rFonts w:ascii="Arial" w:cs="Arial" w:eastAsia="Arial" w:hAnsi="Arial"/>
                <w:sz w:val="16"/>
                <w:szCs w:val="16"/>
                <w:b w:val="1"/>
                <w:bCs w:val="1"/>
                <w:color w:val="FFFFFF"/>
              </w:rPr>
              <w:t>Year</w:t>
            </w:r>
          </w:p>
        </w:tc>
        <w:tc>
          <w:tcPr>
            <w:tcW w:w="1080" w:type="dxa"/>
            <w:vAlign w:val="bottom"/>
            <w:shd w:val="clear" w:color="auto" w:fill="4834BA"/>
          </w:tcPr>
          <w:p>
            <w:pPr>
              <w:spacing w:after="0"/>
              <w:rPr>
                <w:sz w:val="15"/>
                <w:szCs w:val="15"/>
                <w:color w:val="auto"/>
              </w:rPr>
            </w:pPr>
          </w:p>
        </w:tc>
        <w:tc>
          <w:tcPr>
            <w:tcW w:w="200" w:type="dxa"/>
            <w:vAlign w:val="bottom"/>
            <w:shd w:val="clear" w:color="auto" w:fill="4834BA"/>
          </w:tcPr>
          <w:p>
            <w:pPr>
              <w:spacing w:after="0"/>
              <w:rPr>
                <w:sz w:val="15"/>
                <w:szCs w:val="15"/>
                <w:color w:val="auto"/>
              </w:rPr>
            </w:pPr>
          </w:p>
        </w:tc>
        <w:tc>
          <w:tcPr>
            <w:tcW w:w="1400" w:type="dxa"/>
            <w:vAlign w:val="bottom"/>
            <w:shd w:val="clear" w:color="auto" w:fill="4834BA"/>
          </w:tcPr>
          <w:p>
            <w:pPr>
              <w:jc w:val="right"/>
              <w:ind w:right="99"/>
              <w:spacing w:after="0" w:line="175" w:lineRule="exact"/>
              <w:rPr>
                <w:sz w:val="20"/>
                <w:szCs w:val="20"/>
                <w:color w:val="auto"/>
              </w:rPr>
            </w:pPr>
            <w:r>
              <w:rPr>
                <w:rFonts w:ascii="Arial" w:cs="Arial" w:eastAsia="Arial" w:hAnsi="Arial"/>
                <w:sz w:val="16"/>
                <w:szCs w:val="16"/>
                <w:b w:val="1"/>
                <w:bCs w:val="1"/>
                <w:color w:val="FFFFFF"/>
              </w:rPr>
              <w:t>Non-PEO NEOs</w:t>
            </w:r>
          </w:p>
        </w:tc>
        <w:tc>
          <w:tcPr>
            <w:tcW w:w="140" w:type="dxa"/>
            <w:vAlign w:val="bottom"/>
            <w:shd w:val="clear" w:color="auto" w:fill="4834BA"/>
          </w:tcPr>
          <w:p>
            <w:pPr>
              <w:spacing w:after="0"/>
              <w:rPr>
                <w:sz w:val="15"/>
                <w:szCs w:val="15"/>
                <w:color w:val="auto"/>
              </w:rPr>
            </w:pPr>
          </w:p>
        </w:tc>
        <w:tc>
          <w:tcPr>
            <w:tcW w:w="180" w:type="dxa"/>
            <w:vAlign w:val="bottom"/>
            <w:shd w:val="clear" w:color="auto" w:fill="4834BA"/>
          </w:tcPr>
          <w:p>
            <w:pPr>
              <w:spacing w:after="0"/>
              <w:rPr>
                <w:sz w:val="15"/>
                <w:szCs w:val="15"/>
                <w:color w:val="auto"/>
              </w:rPr>
            </w:pPr>
          </w:p>
        </w:tc>
        <w:tc>
          <w:tcPr>
            <w:tcW w:w="120" w:type="dxa"/>
            <w:vAlign w:val="bottom"/>
            <w:shd w:val="clear" w:color="auto" w:fill="4834BA"/>
          </w:tcPr>
          <w:p>
            <w:pPr>
              <w:spacing w:after="0"/>
              <w:rPr>
                <w:sz w:val="15"/>
                <w:szCs w:val="15"/>
                <w:color w:val="auto"/>
              </w:rPr>
            </w:pPr>
          </w:p>
        </w:tc>
        <w:tc>
          <w:tcPr>
            <w:tcW w:w="1460" w:type="dxa"/>
            <w:vAlign w:val="bottom"/>
            <w:shd w:val="clear" w:color="auto" w:fill="4834BA"/>
          </w:tcPr>
          <w:p>
            <w:pPr>
              <w:jc w:val="right"/>
              <w:ind w:right="79"/>
              <w:spacing w:after="0" w:line="175" w:lineRule="exact"/>
              <w:rPr>
                <w:sz w:val="20"/>
                <w:szCs w:val="20"/>
                <w:color w:val="auto"/>
              </w:rPr>
            </w:pPr>
            <w:r>
              <w:rPr>
                <w:rFonts w:ascii="Arial" w:cs="Arial" w:eastAsia="Arial" w:hAnsi="Arial"/>
                <w:sz w:val="16"/>
                <w:szCs w:val="16"/>
                <w:b w:val="1"/>
                <w:bCs w:val="1"/>
                <w:color w:val="FFFFFF"/>
              </w:rPr>
              <w:t>Non-PEO NEOs</w:t>
            </w:r>
          </w:p>
        </w:tc>
        <w:tc>
          <w:tcPr>
            <w:tcW w:w="22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300" w:type="dxa"/>
            <w:vAlign w:val="bottom"/>
            <w:gridSpan w:val="2"/>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w w:val="98"/>
              </w:rPr>
              <w:t>Non-PEO NEOs</w:t>
            </w:r>
          </w:p>
        </w:tc>
        <w:tc>
          <w:tcPr>
            <w:tcW w:w="220" w:type="dxa"/>
            <w:vAlign w:val="bottom"/>
            <w:shd w:val="clear" w:color="auto" w:fill="4834BA"/>
          </w:tcPr>
          <w:p>
            <w:pPr>
              <w:spacing w:after="0"/>
              <w:rPr>
                <w:sz w:val="15"/>
                <w:szCs w:val="15"/>
                <w:color w:val="auto"/>
              </w:rPr>
            </w:pPr>
          </w:p>
        </w:tc>
        <w:tc>
          <w:tcPr>
            <w:tcW w:w="1300" w:type="dxa"/>
            <w:vAlign w:val="bottom"/>
            <w:tcBorders>
              <w:right w:val="single" w:sz="8" w:color="4834BA"/>
            </w:tcBorders>
            <w:gridSpan w:val="3"/>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w w:val="98"/>
              </w:rPr>
              <w:t>Non-PEO NEOs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40" w:type="dxa"/>
            <w:vAlign w:val="bottom"/>
            <w:vMerge w:val="continue"/>
            <w:shd w:val="clear" w:color="auto" w:fill="4834BA"/>
          </w:tcPr>
          <w:p>
            <w:pPr>
              <w:spacing w:after="0"/>
              <w:rPr>
                <w:sz w:val="14"/>
                <w:szCs w:val="14"/>
                <w:color w:val="auto"/>
              </w:rPr>
            </w:pPr>
          </w:p>
        </w:tc>
        <w:tc>
          <w:tcPr>
            <w:tcW w:w="1080" w:type="dxa"/>
            <w:vAlign w:val="bottom"/>
            <w:vMerge w:val="restart"/>
            <w:shd w:val="clear" w:color="auto" w:fill="4834BA"/>
          </w:tcPr>
          <w:p>
            <w:pPr>
              <w:ind w:left="980"/>
              <w:spacing w:after="0"/>
              <w:rPr>
                <w:sz w:val="20"/>
                <w:szCs w:val="20"/>
                <w:color w:val="auto"/>
              </w:rPr>
            </w:pPr>
            <w:r>
              <w:rPr>
                <w:rFonts w:ascii="Arial" w:cs="Arial" w:eastAsia="Arial" w:hAnsi="Arial"/>
                <w:sz w:val="16"/>
                <w:szCs w:val="16"/>
                <w:b w:val="1"/>
                <w:bCs w:val="1"/>
                <w:color w:val="FFFFFF"/>
              </w:rPr>
              <w:t>​</w:t>
            </w:r>
          </w:p>
        </w:tc>
        <w:tc>
          <w:tcPr>
            <w:tcW w:w="200" w:type="dxa"/>
            <w:vAlign w:val="bottom"/>
            <w:vMerge w:val="restart"/>
            <w:shd w:val="clear" w:color="auto" w:fill="4834BA"/>
          </w:tcPr>
          <w:p>
            <w:pPr>
              <w:ind w:left="60"/>
              <w:spacing w:after="0"/>
              <w:rPr>
                <w:sz w:val="20"/>
                <w:szCs w:val="20"/>
                <w:color w:val="auto"/>
              </w:rPr>
            </w:pPr>
            <w:r>
              <w:rPr>
                <w:rFonts w:ascii="Arial" w:cs="Arial" w:eastAsia="Arial" w:hAnsi="Arial"/>
                <w:sz w:val="16"/>
                <w:szCs w:val="16"/>
                <w:b w:val="1"/>
                <w:bCs w:val="1"/>
                <w:color w:val="FFFFFF"/>
              </w:rPr>
              <w:t>​</w:t>
            </w:r>
          </w:p>
        </w:tc>
        <w:tc>
          <w:tcPr>
            <w:tcW w:w="1400" w:type="dxa"/>
            <w:vAlign w:val="bottom"/>
            <w:shd w:val="clear" w:color="auto" w:fill="4834BA"/>
          </w:tcPr>
          <w:p>
            <w:pPr>
              <w:jc w:val="right"/>
              <w:ind w:right="59"/>
              <w:spacing w:after="0" w:line="163" w:lineRule="exact"/>
              <w:rPr>
                <w:sz w:val="20"/>
                <w:szCs w:val="20"/>
                <w:color w:val="auto"/>
              </w:rPr>
            </w:pPr>
            <w:r>
              <w:rPr>
                <w:rFonts w:ascii="Arial" w:cs="Arial" w:eastAsia="Arial" w:hAnsi="Arial"/>
                <w:sz w:val="16"/>
                <w:szCs w:val="16"/>
                <w:b w:val="1"/>
                <w:bCs w:val="1"/>
                <w:color w:val="FFFFFF"/>
              </w:rPr>
              <w:t>($)</w:t>
            </w:r>
          </w:p>
        </w:tc>
        <w:tc>
          <w:tcPr>
            <w:tcW w:w="140" w:type="dxa"/>
            <w:vAlign w:val="bottom"/>
            <w:vMerge w:val="restart"/>
            <w:shd w:val="clear" w:color="auto" w:fill="4834BA"/>
          </w:tcPr>
          <w:p>
            <w:pPr>
              <w:ind w:left="20"/>
              <w:spacing w:after="0"/>
              <w:rPr>
                <w:sz w:val="20"/>
                <w:szCs w:val="20"/>
                <w:color w:val="auto"/>
              </w:rPr>
            </w:pPr>
            <w:r>
              <w:rPr>
                <w:rFonts w:ascii="Arial" w:cs="Arial" w:eastAsia="Arial" w:hAnsi="Arial"/>
                <w:sz w:val="16"/>
                <w:szCs w:val="16"/>
                <w:b w:val="1"/>
                <w:bCs w:val="1"/>
                <w:color w:val="FFFFFF"/>
              </w:rPr>
              <w:t>​</w:t>
            </w:r>
          </w:p>
        </w:tc>
        <w:tc>
          <w:tcPr>
            <w:tcW w:w="180" w:type="dxa"/>
            <w:vAlign w:val="bottom"/>
            <w:vMerge w:val="restart"/>
            <w:shd w:val="clear" w:color="auto" w:fill="4834BA"/>
          </w:tcPr>
          <w:p>
            <w:pPr>
              <w:ind w:left="60"/>
              <w:spacing w:after="0"/>
              <w:rPr>
                <w:sz w:val="20"/>
                <w:szCs w:val="20"/>
                <w:color w:val="auto"/>
              </w:rPr>
            </w:pPr>
            <w:r>
              <w:rPr>
                <w:rFonts w:ascii="Arial" w:cs="Arial" w:eastAsia="Arial" w:hAnsi="Arial"/>
                <w:sz w:val="16"/>
                <w:szCs w:val="16"/>
                <w:b w:val="1"/>
                <w:bCs w:val="1"/>
                <w:color w:val="FFFFFF"/>
              </w:rPr>
              <w:t>​</w:t>
            </w:r>
          </w:p>
        </w:tc>
        <w:tc>
          <w:tcPr>
            <w:tcW w:w="120" w:type="dxa"/>
            <w:vAlign w:val="bottom"/>
            <w:shd w:val="clear" w:color="auto" w:fill="4834BA"/>
          </w:tcPr>
          <w:p>
            <w:pPr>
              <w:spacing w:after="0"/>
              <w:rPr>
                <w:sz w:val="14"/>
                <w:szCs w:val="14"/>
                <w:color w:val="auto"/>
              </w:rPr>
            </w:pPr>
          </w:p>
        </w:tc>
        <w:tc>
          <w:tcPr>
            <w:tcW w:w="1460" w:type="dxa"/>
            <w:vAlign w:val="bottom"/>
            <w:shd w:val="clear" w:color="auto" w:fill="4834BA"/>
          </w:tcPr>
          <w:p>
            <w:pPr>
              <w:jc w:val="right"/>
              <w:ind w:right="19"/>
              <w:spacing w:after="0" w:line="163" w:lineRule="exact"/>
              <w:rPr>
                <w:sz w:val="20"/>
                <w:szCs w:val="20"/>
                <w:color w:val="auto"/>
              </w:rPr>
            </w:pPr>
            <w:r>
              <w:rPr>
                <w:rFonts w:ascii="Arial" w:cs="Arial" w:eastAsia="Arial" w:hAnsi="Arial"/>
                <w:sz w:val="16"/>
                <w:szCs w:val="16"/>
                <w:b w:val="1"/>
                <w:bCs w:val="1"/>
                <w:color w:val="FFFFFF"/>
              </w:rPr>
              <w:t>($)</w:t>
            </w:r>
          </w:p>
        </w:tc>
        <w:tc>
          <w:tcPr>
            <w:tcW w:w="220" w:type="dxa"/>
            <w:vAlign w:val="bottom"/>
            <w:vMerge w:val="restart"/>
            <w:shd w:val="clear" w:color="auto" w:fill="4834BA"/>
          </w:tcPr>
          <w:p>
            <w:pPr>
              <w:ind w:left="60"/>
              <w:spacing w:after="0"/>
              <w:rPr>
                <w:sz w:val="20"/>
                <w:szCs w:val="20"/>
                <w:color w:val="auto"/>
              </w:rPr>
            </w:pPr>
            <w:r>
              <w:rPr>
                <w:rFonts w:ascii="Arial" w:cs="Arial" w:eastAsia="Arial" w:hAnsi="Arial"/>
                <w:sz w:val="16"/>
                <w:szCs w:val="16"/>
                <w:b w:val="1"/>
                <w:bCs w:val="1"/>
                <w:color w:val="FFFFFF"/>
              </w:rPr>
              <w:t>​</w:t>
            </w:r>
          </w:p>
        </w:tc>
        <w:tc>
          <w:tcPr>
            <w:tcW w:w="60" w:type="dxa"/>
            <w:vAlign w:val="bottom"/>
            <w:vMerge w:val="restart"/>
            <w:shd w:val="clear" w:color="auto" w:fill="4834BA"/>
          </w:tcPr>
          <w:p>
            <w:pPr>
              <w:spacing w:after="0"/>
              <w:rPr>
                <w:sz w:val="20"/>
                <w:szCs w:val="20"/>
                <w:color w:val="auto"/>
              </w:rPr>
            </w:pPr>
            <w:r>
              <w:rPr>
                <w:rFonts w:ascii="Arial" w:cs="Arial" w:eastAsia="Arial" w:hAnsi="Arial"/>
                <w:sz w:val="16"/>
                <w:szCs w:val="16"/>
                <w:b w:val="1"/>
                <w:bCs w:val="1"/>
                <w:color w:val="FFFFFF"/>
              </w:rPr>
              <w:t>​</w:t>
            </w:r>
          </w:p>
        </w:tc>
        <w:tc>
          <w:tcPr>
            <w:tcW w:w="220" w:type="dxa"/>
            <w:vAlign w:val="bottom"/>
            <w:shd w:val="clear" w:color="auto" w:fill="4834BA"/>
          </w:tcPr>
          <w:p>
            <w:pPr>
              <w:spacing w:after="0"/>
              <w:rPr>
                <w:sz w:val="14"/>
                <w:szCs w:val="14"/>
                <w:color w:val="auto"/>
              </w:rPr>
            </w:pPr>
          </w:p>
        </w:tc>
        <w:tc>
          <w:tcPr>
            <w:tcW w:w="1080" w:type="dxa"/>
            <w:vAlign w:val="bottom"/>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220" w:type="dxa"/>
            <w:vAlign w:val="bottom"/>
            <w:vMerge w:val="restart"/>
            <w:shd w:val="clear" w:color="auto" w:fill="4834BA"/>
          </w:tcPr>
          <w:p>
            <w:pPr>
              <w:ind w:left="80"/>
              <w:spacing w:after="0"/>
              <w:rPr>
                <w:sz w:val="20"/>
                <w:szCs w:val="20"/>
                <w:color w:val="auto"/>
              </w:rPr>
            </w:pPr>
            <w:r>
              <w:rPr>
                <w:rFonts w:ascii="Arial" w:cs="Arial" w:eastAsia="Arial" w:hAnsi="Arial"/>
                <w:sz w:val="16"/>
                <w:szCs w:val="16"/>
                <w:b w:val="1"/>
                <w:bCs w:val="1"/>
                <w:color w:val="FFFFFF"/>
              </w:rPr>
              <w:t>​</w:t>
            </w:r>
          </w:p>
        </w:tc>
        <w:tc>
          <w:tcPr>
            <w:tcW w:w="100" w:type="dxa"/>
            <w:vAlign w:val="bottom"/>
            <w:vMerge w:val="restart"/>
            <w:shd w:val="clear" w:color="auto" w:fill="4834BA"/>
          </w:tcPr>
          <w:p>
            <w:pPr>
              <w:ind w:left="20"/>
              <w:spacing w:after="0"/>
              <w:rPr>
                <w:sz w:val="20"/>
                <w:szCs w:val="20"/>
                <w:color w:val="auto"/>
              </w:rPr>
            </w:pPr>
            <w:r>
              <w:rPr>
                <w:rFonts w:ascii="Arial" w:cs="Arial" w:eastAsia="Arial" w:hAnsi="Arial"/>
                <w:sz w:val="16"/>
                <w:szCs w:val="16"/>
                <w:b w:val="1"/>
                <w:bCs w:val="1"/>
                <w:color w:val="FFFFFF"/>
              </w:rPr>
              <w:t>​</w:t>
            </w:r>
          </w:p>
        </w:tc>
        <w:tc>
          <w:tcPr>
            <w:tcW w:w="120" w:type="dxa"/>
            <w:vAlign w:val="bottom"/>
            <w:shd w:val="clear" w:color="auto" w:fill="4834BA"/>
          </w:tcPr>
          <w:p>
            <w:pPr>
              <w:spacing w:after="0"/>
              <w:rPr>
                <w:sz w:val="14"/>
                <w:szCs w:val="14"/>
                <w:color w:val="auto"/>
              </w:rPr>
            </w:pPr>
          </w:p>
        </w:tc>
        <w:tc>
          <w:tcPr>
            <w:tcW w:w="1080" w:type="dxa"/>
            <w:vAlign w:val="bottom"/>
            <w:tcBorders>
              <w:right w:val="single" w:sz="8" w:color="4834BA"/>
            </w:tcBorders>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48"/>
        </w:trPr>
        <w:tc>
          <w:tcPr>
            <w:tcW w:w="1340" w:type="dxa"/>
            <w:vAlign w:val="bottom"/>
            <w:tcBorders>
              <w:bottom w:val="single" w:sz="8" w:color="4834BA"/>
            </w:tcBorders>
            <w:shd w:val="clear" w:color="auto" w:fill="4834BA"/>
          </w:tcPr>
          <w:p>
            <w:pPr>
              <w:ind w:left="60"/>
              <w:spacing w:after="0" w:line="27" w:lineRule="exact"/>
              <w:rPr>
                <w:sz w:val="20"/>
                <w:szCs w:val="20"/>
                <w:color w:val="auto"/>
              </w:rPr>
            </w:pPr>
            <w:r>
              <w:rPr>
                <w:rFonts w:ascii="Arial" w:cs="Arial" w:eastAsia="Arial" w:hAnsi="Arial"/>
                <w:sz w:val="3"/>
                <w:szCs w:val="3"/>
                <w:b w:val="1"/>
                <w:bCs w:val="1"/>
                <w:color w:val="FFFFFF"/>
              </w:rPr>
              <w:t>​</w:t>
            </w:r>
          </w:p>
        </w:tc>
        <w:tc>
          <w:tcPr>
            <w:tcW w:w="1080" w:type="dxa"/>
            <w:vAlign w:val="bottom"/>
            <w:tcBorders>
              <w:bottom w:val="single" w:sz="8" w:color="4834BA"/>
            </w:tcBorders>
            <w:vMerge w:val="continue"/>
            <w:shd w:val="clear" w:color="auto" w:fill="4834BA"/>
          </w:tcPr>
          <w:p>
            <w:pPr>
              <w:spacing w:after="0"/>
              <w:rPr>
                <w:sz w:val="4"/>
                <w:szCs w:val="4"/>
                <w:color w:val="auto"/>
              </w:rPr>
            </w:pPr>
          </w:p>
        </w:tc>
        <w:tc>
          <w:tcPr>
            <w:tcW w:w="200" w:type="dxa"/>
            <w:vAlign w:val="bottom"/>
            <w:tcBorders>
              <w:bottom w:val="single" w:sz="8" w:color="4834BA"/>
            </w:tcBorders>
            <w:vMerge w:val="continue"/>
            <w:shd w:val="clear" w:color="auto" w:fill="4834BA"/>
          </w:tcPr>
          <w:p>
            <w:pPr>
              <w:spacing w:after="0"/>
              <w:rPr>
                <w:sz w:val="4"/>
                <w:szCs w:val="4"/>
                <w:color w:val="auto"/>
              </w:rPr>
            </w:pPr>
          </w:p>
        </w:tc>
        <w:tc>
          <w:tcPr>
            <w:tcW w:w="1400" w:type="dxa"/>
            <w:vAlign w:val="bottom"/>
            <w:tcBorders>
              <w:bottom w:val="single" w:sz="8" w:color="4834BA"/>
            </w:tcBorders>
            <w:shd w:val="clear" w:color="auto" w:fill="4834BA"/>
          </w:tcPr>
          <w:p>
            <w:pPr>
              <w:spacing w:after="0"/>
              <w:rPr>
                <w:sz w:val="4"/>
                <w:szCs w:val="4"/>
                <w:color w:val="auto"/>
              </w:rPr>
            </w:pPr>
          </w:p>
        </w:tc>
        <w:tc>
          <w:tcPr>
            <w:tcW w:w="140" w:type="dxa"/>
            <w:vAlign w:val="bottom"/>
            <w:tcBorders>
              <w:bottom w:val="single" w:sz="8" w:color="4834BA"/>
            </w:tcBorders>
            <w:vMerge w:val="continue"/>
            <w:shd w:val="clear" w:color="auto" w:fill="4834BA"/>
          </w:tcPr>
          <w:p>
            <w:pPr>
              <w:spacing w:after="0"/>
              <w:rPr>
                <w:sz w:val="4"/>
                <w:szCs w:val="4"/>
                <w:color w:val="auto"/>
              </w:rPr>
            </w:pPr>
          </w:p>
        </w:tc>
        <w:tc>
          <w:tcPr>
            <w:tcW w:w="180" w:type="dxa"/>
            <w:vAlign w:val="bottom"/>
            <w:tcBorders>
              <w:bottom w:val="single" w:sz="8" w:color="4834BA"/>
            </w:tcBorders>
            <w:vMerge w:val="continue"/>
            <w:shd w:val="clear" w:color="auto" w:fill="4834BA"/>
          </w:tcPr>
          <w:p>
            <w:pPr>
              <w:spacing w:after="0"/>
              <w:rPr>
                <w:sz w:val="4"/>
                <w:szCs w:val="4"/>
                <w:color w:val="auto"/>
              </w:rPr>
            </w:pPr>
          </w:p>
        </w:tc>
        <w:tc>
          <w:tcPr>
            <w:tcW w:w="120" w:type="dxa"/>
            <w:vAlign w:val="bottom"/>
            <w:tcBorders>
              <w:bottom w:val="single" w:sz="8" w:color="4834BA"/>
            </w:tcBorders>
            <w:shd w:val="clear" w:color="auto" w:fill="4834BA"/>
          </w:tcPr>
          <w:p>
            <w:pPr>
              <w:spacing w:after="0"/>
              <w:rPr>
                <w:sz w:val="4"/>
                <w:szCs w:val="4"/>
                <w:color w:val="auto"/>
              </w:rPr>
            </w:pPr>
          </w:p>
        </w:tc>
        <w:tc>
          <w:tcPr>
            <w:tcW w:w="1460" w:type="dxa"/>
            <w:vAlign w:val="bottom"/>
            <w:tcBorders>
              <w:bottom w:val="single" w:sz="8" w:color="4834BA"/>
            </w:tcBorders>
            <w:shd w:val="clear" w:color="auto" w:fill="4834BA"/>
          </w:tcPr>
          <w:p>
            <w:pPr>
              <w:spacing w:after="0"/>
              <w:rPr>
                <w:sz w:val="4"/>
                <w:szCs w:val="4"/>
                <w:color w:val="auto"/>
              </w:rPr>
            </w:pPr>
          </w:p>
        </w:tc>
        <w:tc>
          <w:tcPr>
            <w:tcW w:w="220" w:type="dxa"/>
            <w:vAlign w:val="bottom"/>
            <w:tcBorders>
              <w:bottom w:val="single" w:sz="8" w:color="4834BA"/>
            </w:tcBorders>
            <w:vMerge w:val="continue"/>
            <w:shd w:val="clear" w:color="auto" w:fill="4834BA"/>
          </w:tcPr>
          <w:p>
            <w:pPr>
              <w:spacing w:after="0"/>
              <w:rPr>
                <w:sz w:val="4"/>
                <w:szCs w:val="4"/>
                <w:color w:val="auto"/>
              </w:rPr>
            </w:pPr>
          </w:p>
        </w:tc>
        <w:tc>
          <w:tcPr>
            <w:tcW w:w="60" w:type="dxa"/>
            <w:vAlign w:val="bottom"/>
            <w:tcBorders>
              <w:bottom w:val="single" w:sz="8" w:color="4834BA"/>
            </w:tcBorders>
            <w:vMerge w:val="continue"/>
            <w:shd w:val="clear" w:color="auto" w:fill="4834BA"/>
          </w:tcPr>
          <w:p>
            <w:pPr>
              <w:spacing w:after="0"/>
              <w:rPr>
                <w:sz w:val="4"/>
                <w:szCs w:val="4"/>
                <w:color w:val="auto"/>
              </w:rPr>
            </w:pPr>
          </w:p>
        </w:tc>
        <w:tc>
          <w:tcPr>
            <w:tcW w:w="220" w:type="dxa"/>
            <w:vAlign w:val="bottom"/>
            <w:tcBorders>
              <w:bottom w:val="single" w:sz="8" w:color="4834BA"/>
            </w:tcBorders>
            <w:shd w:val="clear" w:color="auto" w:fill="4834BA"/>
          </w:tcPr>
          <w:p>
            <w:pPr>
              <w:spacing w:after="0"/>
              <w:rPr>
                <w:sz w:val="4"/>
                <w:szCs w:val="4"/>
                <w:color w:val="auto"/>
              </w:rPr>
            </w:pPr>
          </w:p>
        </w:tc>
        <w:tc>
          <w:tcPr>
            <w:tcW w:w="1080" w:type="dxa"/>
            <w:vAlign w:val="bottom"/>
            <w:tcBorders>
              <w:bottom w:val="single" w:sz="8" w:color="4834BA"/>
            </w:tcBorders>
            <w:shd w:val="clear" w:color="auto" w:fill="4834BA"/>
          </w:tcPr>
          <w:p>
            <w:pPr>
              <w:spacing w:after="0"/>
              <w:rPr>
                <w:sz w:val="4"/>
                <w:szCs w:val="4"/>
                <w:color w:val="auto"/>
              </w:rPr>
            </w:pPr>
          </w:p>
        </w:tc>
        <w:tc>
          <w:tcPr>
            <w:tcW w:w="220" w:type="dxa"/>
            <w:vAlign w:val="bottom"/>
            <w:tcBorders>
              <w:bottom w:val="single" w:sz="8" w:color="4834BA"/>
            </w:tcBorders>
            <w:vMerge w:val="continue"/>
            <w:shd w:val="clear" w:color="auto" w:fill="4834BA"/>
          </w:tcPr>
          <w:p>
            <w:pPr>
              <w:spacing w:after="0"/>
              <w:rPr>
                <w:sz w:val="4"/>
                <w:szCs w:val="4"/>
                <w:color w:val="auto"/>
              </w:rPr>
            </w:pPr>
          </w:p>
        </w:tc>
        <w:tc>
          <w:tcPr>
            <w:tcW w:w="100" w:type="dxa"/>
            <w:vAlign w:val="bottom"/>
            <w:tcBorders>
              <w:bottom w:val="single" w:sz="8" w:color="4834BA"/>
            </w:tcBorders>
            <w:vMerge w:val="continue"/>
            <w:shd w:val="clear" w:color="auto" w:fill="4834BA"/>
          </w:tcPr>
          <w:p>
            <w:pPr>
              <w:spacing w:after="0"/>
              <w:rPr>
                <w:sz w:val="4"/>
                <w:szCs w:val="4"/>
                <w:color w:val="auto"/>
              </w:rPr>
            </w:pPr>
          </w:p>
        </w:tc>
        <w:tc>
          <w:tcPr>
            <w:tcW w:w="120" w:type="dxa"/>
            <w:vAlign w:val="bottom"/>
            <w:tcBorders>
              <w:bottom w:val="single" w:sz="8" w:color="4834BA"/>
            </w:tcBorders>
            <w:shd w:val="clear" w:color="auto" w:fill="4834BA"/>
          </w:tcPr>
          <w:p>
            <w:pPr>
              <w:spacing w:after="0"/>
              <w:rPr>
                <w:sz w:val="4"/>
                <w:szCs w:val="4"/>
                <w:color w:val="auto"/>
              </w:rPr>
            </w:pPr>
          </w:p>
        </w:tc>
        <w:tc>
          <w:tcPr>
            <w:tcW w:w="1080" w:type="dxa"/>
            <w:vAlign w:val="bottom"/>
            <w:tcBorders>
              <w:bottom w:val="single" w:sz="8" w:color="4834BA"/>
              <w:right w:val="single" w:sz="8" w:color="4834BA"/>
            </w:tcBorders>
            <w:shd w:val="clear" w:color="auto" w:fill="4834BA"/>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080" w:type="dxa"/>
            <w:vAlign w:val="bottom"/>
          </w:tcPr>
          <w:p>
            <w:pPr>
              <w:ind w:left="980"/>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1,668,817</w:t>
            </w:r>
          </w:p>
        </w:tc>
        <w:tc>
          <w:tcPr>
            <w:tcW w:w="14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18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(883,654)</w:t>
            </w:r>
          </w:p>
        </w:tc>
        <w:tc>
          <w:tcPr>
            <w:tcW w:w="22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(1,338,247)</w:t>
            </w:r>
          </w:p>
        </w:tc>
        <w:tc>
          <w:tcPr>
            <w:tcW w:w="22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(553,084)</w:t>
            </w: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4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6"/>
                <w:szCs w:val="16"/>
                <w:color w:val="auto"/>
              </w:rPr>
              <w:t>2025</w:t>
            </w: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amounts in the Inclusion of Equity Values in the tables above are derived from the amounts set forth in the following tables:</w:t>
      </w:r>
    </w:p>
    <w:p>
      <w:pPr>
        <w:spacing w:after="0" w:line="114" w:lineRule="exact"/>
        <w:rPr>
          <w:sz w:val="20"/>
          <w:szCs w:val="20"/>
          <w:color w:val="auto"/>
        </w:rPr>
      </w:pPr>
    </w:p>
    <w:tbl>
      <w:tblPr>
        <w:tblLayout w:type="fixed"/>
        <w:tblInd w:w="1040" w:type="dxa"/>
        <w:tblCellMar>
          <w:top w:w="0" w:type="dxa"/>
          <w:left w:w="0" w:type="dxa"/>
          <w:bottom w:w="0" w:type="dxa"/>
          <w:right w:w="0" w:type="dxa"/>
        </w:tblCellMar>
      </w:tblPr>
      <w:tr>
        <w:trPr>
          <w:trHeight w:val="242"/>
        </w:trPr>
        <w:tc>
          <w:tcPr>
            <w:tcW w:w="600" w:type="dxa"/>
            <w:vAlign w:val="bottom"/>
            <w:shd w:val="clear" w:color="auto" w:fill="4834BA"/>
          </w:tcPr>
          <w:p>
            <w:pPr>
              <w:spacing w:after="0"/>
              <w:rPr>
                <w:sz w:val="21"/>
                <w:szCs w:val="21"/>
                <w:color w:val="auto"/>
              </w:rPr>
            </w:pPr>
          </w:p>
        </w:tc>
        <w:tc>
          <w:tcPr>
            <w:tcW w:w="420" w:type="dxa"/>
            <w:vAlign w:val="bottom"/>
            <w:shd w:val="clear" w:color="auto" w:fill="4834BA"/>
          </w:tcPr>
          <w:p>
            <w:pPr>
              <w:spacing w:after="0"/>
              <w:rPr>
                <w:sz w:val="21"/>
                <w:szCs w:val="21"/>
                <w:color w:val="auto"/>
              </w:rPr>
            </w:pPr>
          </w:p>
        </w:tc>
        <w:tc>
          <w:tcPr>
            <w:tcW w:w="200" w:type="dxa"/>
            <w:vAlign w:val="bottom"/>
            <w:shd w:val="clear" w:color="auto" w:fill="4834BA"/>
          </w:tcPr>
          <w:p>
            <w:pPr>
              <w:spacing w:after="0"/>
              <w:rPr>
                <w:sz w:val="21"/>
                <w:szCs w:val="21"/>
                <w:color w:val="auto"/>
              </w:rPr>
            </w:pPr>
          </w:p>
        </w:tc>
        <w:tc>
          <w:tcPr>
            <w:tcW w:w="1280" w:type="dxa"/>
            <w:vAlign w:val="bottom"/>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Year-End Fair</w:t>
            </w:r>
          </w:p>
        </w:tc>
        <w:tc>
          <w:tcPr>
            <w:tcW w:w="280" w:type="dxa"/>
            <w:vAlign w:val="bottom"/>
            <w:shd w:val="clear" w:color="auto" w:fill="4834BA"/>
          </w:tcPr>
          <w:p>
            <w:pPr>
              <w:spacing w:after="0"/>
              <w:rPr>
                <w:sz w:val="21"/>
                <w:szCs w:val="21"/>
                <w:color w:val="auto"/>
              </w:rPr>
            </w:pPr>
          </w:p>
        </w:tc>
        <w:tc>
          <w:tcPr>
            <w:tcW w:w="20" w:type="dxa"/>
            <w:vAlign w:val="bottom"/>
            <w:shd w:val="clear" w:color="auto" w:fill="4834BA"/>
          </w:tcPr>
          <w:p>
            <w:pPr>
              <w:spacing w:after="0"/>
              <w:rPr>
                <w:sz w:val="21"/>
                <w:szCs w:val="21"/>
                <w:color w:val="auto"/>
              </w:rPr>
            </w:pPr>
          </w:p>
        </w:tc>
        <w:tc>
          <w:tcPr>
            <w:tcW w:w="1360" w:type="dxa"/>
            <w:vAlign w:val="bottom"/>
            <w:vMerge w:val="restart"/>
            <w:shd w:val="clear" w:color="auto" w:fill="4834BA"/>
          </w:tcPr>
          <w:p>
            <w:pPr>
              <w:jc w:val="right"/>
              <w:spacing w:after="0"/>
              <w:rPr>
                <w:sz w:val="20"/>
                <w:szCs w:val="20"/>
                <w:color w:val="auto"/>
              </w:rPr>
            </w:pPr>
            <w:r>
              <w:rPr>
                <w:rFonts w:ascii="Arial" w:cs="Arial" w:eastAsia="Arial" w:hAnsi="Arial"/>
                <w:sz w:val="16"/>
                <w:szCs w:val="16"/>
                <w:b w:val="1"/>
                <w:bCs w:val="1"/>
                <w:color w:val="FFFFFF"/>
              </w:rPr>
              <w:t>Change in Fair</w:t>
            </w:r>
          </w:p>
        </w:tc>
        <w:tc>
          <w:tcPr>
            <w:tcW w:w="260" w:type="dxa"/>
            <w:vAlign w:val="bottom"/>
            <w:shd w:val="clear" w:color="auto" w:fill="4834BA"/>
          </w:tcPr>
          <w:p>
            <w:pPr>
              <w:spacing w:after="0"/>
              <w:rPr>
                <w:sz w:val="21"/>
                <w:szCs w:val="21"/>
                <w:color w:val="auto"/>
              </w:rPr>
            </w:pPr>
          </w:p>
        </w:tc>
        <w:tc>
          <w:tcPr>
            <w:tcW w:w="80" w:type="dxa"/>
            <w:vAlign w:val="bottom"/>
            <w:shd w:val="clear" w:color="auto" w:fill="4834BA"/>
          </w:tcPr>
          <w:p>
            <w:pPr>
              <w:spacing w:after="0"/>
              <w:rPr>
                <w:sz w:val="21"/>
                <w:szCs w:val="21"/>
                <w:color w:val="auto"/>
              </w:rPr>
            </w:pPr>
          </w:p>
        </w:tc>
        <w:tc>
          <w:tcPr>
            <w:tcW w:w="1300" w:type="dxa"/>
            <w:vAlign w:val="bottom"/>
            <w:shd w:val="clear" w:color="auto" w:fill="4834BA"/>
          </w:tcPr>
          <w:p>
            <w:pPr>
              <w:spacing w:after="0"/>
              <w:rPr>
                <w:sz w:val="21"/>
                <w:szCs w:val="21"/>
                <w:color w:val="auto"/>
              </w:rPr>
            </w:pPr>
          </w:p>
        </w:tc>
        <w:tc>
          <w:tcPr>
            <w:tcW w:w="260" w:type="dxa"/>
            <w:vAlign w:val="bottom"/>
            <w:shd w:val="clear" w:color="auto" w:fill="4834BA"/>
          </w:tcPr>
          <w:p>
            <w:pPr>
              <w:spacing w:after="0"/>
              <w:rPr>
                <w:sz w:val="21"/>
                <w:szCs w:val="21"/>
                <w:color w:val="auto"/>
              </w:rPr>
            </w:pPr>
          </w:p>
        </w:tc>
        <w:tc>
          <w:tcPr>
            <w:tcW w:w="60" w:type="dxa"/>
            <w:vAlign w:val="bottom"/>
            <w:shd w:val="clear" w:color="auto" w:fill="4834BA"/>
          </w:tcPr>
          <w:p>
            <w:pPr>
              <w:spacing w:after="0"/>
              <w:rPr>
                <w:sz w:val="21"/>
                <w:szCs w:val="21"/>
                <w:color w:val="auto"/>
              </w:rPr>
            </w:pPr>
          </w:p>
        </w:tc>
        <w:tc>
          <w:tcPr>
            <w:tcW w:w="134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Change in Fair</w:t>
            </w:r>
          </w:p>
        </w:tc>
        <w:tc>
          <w:tcPr>
            <w:tcW w:w="280" w:type="dxa"/>
            <w:vAlign w:val="bottom"/>
            <w:shd w:val="clear" w:color="auto" w:fill="4834BA"/>
          </w:tcPr>
          <w:p>
            <w:pPr>
              <w:spacing w:after="0"/>
              <w:rPr>
                <w:sz w:val="21"/>
                <w:szCs w:val="21"/>
                <w:color w:val="auto"/>
              </w:rPr>
            </w:pPr>
          </w:p>
        </w:tc>
        <w:tc>
          <w:tcPr>
            <w:tcW w:w="60" w:type="dxa"/>
            <w:vAlign w:val="bottom"/>
            <w:shd w:val="clear" w:color="auto" w:fill="4834BA"/>
          </w:tcPr>
          <w:p>
            <w:pPr>
              <w:spacing w:after="0"/>
              <w:rPr>
                <w:sz w:val="21"/>
                <w:szCs w:val="21"/>
                <w:color w:val="auto"/>
              </w:rPr>
            </w:pPr>
          </w:p>
        </w:tc>
        <w:tc>
          <w:tcPr>
            <w:tcW w:w="1220" w:type="dxa"/>
            <w:vAlign w:val="bottom"/>
            <w:tcBorders>
              <w:right w:val="single" w:sz="8" w:color="4834BA"/>
            </w:tcBorders>
            <w:shd w:val="clear" w:color="auto" w:fill="4834BA"/>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00" w:type="dxa"/>
            <w:vAlign w:val="bottom"/>
            <w:shd w:val="clear" w:color="auto" w:fill="4834BA"/>
          </w:tcPr>
          <w:p>
            <w:pPr>
              <w:spacing w:after="0"/>
              <w:rPr>
                <w:sz w:val="15"/>
                <w:szCs w:val="15"/>
                <w:color w:val="auto"/>
              </w:rPr>
            </w:pPr>
          </w:p>
        </w:tc>
        <w:tc>
          <w:tcPr>
            <w:tcW w:w="420" w:type="dxa"/>
            <w:vAlign w:val="bottom"/>
            <w:shd w:val="clear" w:color="auto" w:fill="4834BA"/>
          </w:tcPr>
          <w:p>
            <w:pPr>
              <w:spacing w:after="0"/>
              <w:rPr>
                <w:sz w:val="15"/>
                <w:szCs w:val="15"/>
                <w:color w:val="auto"/>
              </w:rPr>
            </w:pPr>
          </w:p>
        </w:tc>
        <w:tc>
          <w:tcPr>
            <w:tcW w:w="200" w:type="dxa"/>
            <w:vAlign w:val="bottom"/>
            <w:shd w:val="clear" w:color="auto" w:fill="4834BA"/>
          </w:tcPr>
          <w:p>
            <w:pPr>
              <w:spacing w:after="0"/>
              <w:rPr>
                <w:sz w:val="15"/>
                <w:szCs w:val="15"/>
                <w:color w:val="auto"/>
              </w:rPr>
            </w:pPr>
          </w:p>
        </w:tc>
        <w:tc>
          <w:tcPr>
            <w:tcW w:w="1280" w:type="dxa"/>
            <w:vAlign w:val="bottom"/>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w w:val="98"/>
              </w:rPr>
              <w:t>Value of Equity</w:t>
            </w:r>
          </w:p>
        </w:tc>
        <w:tc>
          <w:tcPr>
            <w:tcW w:w="280" w:type="dxa"/>
            <w:vAlign w:val="bottom"/>
            <w:shd w:val="clear" w:color="auto" w:fill="4834BA"/>
          </w:tcPr>
          <w:p>
            <w:pPr>
              <w:spacing w:after="0"/>
              <w:rPr>
                <w:sz w:val="15"/>
                <w:szCs w:val="15"/>
                <w:color w:val="auto"/>
              </w:rPr>
            </w:pPr>
          </w:p>
        </w:tc>
        <w:tc>
          <w:tcPr>
            <w:tcW w:w="20" w:type="dxa"/>
            <w:vAlign w:val="bottom"/>
            <w:shd w:val="clear" w:color="auto" w:fill="4834BA"/>
          </w:tcPr>
          <w:p>
            <w:pPr>
              <w:spacing w:after="0"/>
              <w:rPr>
                <w:sz w:val="15"/>
                <w:szCs w:val="15"/>
                <w:color w:val="auto"/>
              </w:rPr>
            </w:pPr>
          </w:p>
        </w:tc>
        <w:tc>
          <w:tcPr>
            <w:tcW w:w="1360" w:type="dxa"/>
            <w:vAlign w:val="bottom"/>
            <w:vMerge w:val="continue"/>
            <w:shd w:val="clear" w:color="auto" w:fill="4834BA"/>
          </w:tcPr>
          <w:p>
            <w:pPr>
              <w:spacing w:after="0"/>
              <w:rPr>
                <w:sz w:val="15"/>
                <w:szCs w:val="15"/>
                <w:color w:val="auto"/>
              </w:rPr>
            </w:pPr>
          </w:p>
        </w:tc>
        <w:tc>
          <w:tcPr>
            <w:tcW w:w="260" w:type="dxa"/>
            <w:vAlign w:val="bottom"/>
            <w:shd w:val="clear" w:color="auto" w:fill="4834BA"/>
          </w:tcPr>
          <w:p>
            <w:pPr>
              <w:spacing w:after="0"/>
              <w:rPr>
                <w:sz w:val="15"/>
                <w:szCs w:val="15"/>
                <w:color w:val="auto"/>
              </w:rPr>
            </w:pPr>
          </w:p>
        </w:tc>
        <w:tc>
          <w:tcPr>
            <w:tcW w:w="1380" w:type="dxa"/>
            <w:vAlign w:val="bottom"/>
            <w:gridSpan w:val="2"/>
            <w:vMerge w:val="restart"/>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w w:val="95"/>
              </w:rPr>
              <w:t>Vesting-Date Fair</w:t>
            </w:r>
          </w:p>
        </w:tc>
        <w:tc>
          <w:tcPr>
            <w:tcW w:w="26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340" w:type="dxa"/>
            <w:vAlign w:val="bottom"/>
            <w:shd w:val="clear" w:color="auto" w:fill="4834BA"/>
          </w:tcPr>
          <w:p>
            <w:pPr>
              <w:jc w:val="right"/>
              <w:ind w:right="19"/>
              <w:spacing w:after="0" w:line="175" w:lineRule="exact"/>
              <w:rPr>
                <w:sz w:val="20"/>
                <w:szCs w:val="20"/>
                <w:color w:val="auto"/>
              </w:rPr>
            </w:pPr>
            <w:r>
              <w:rPr>
                <w:rFonts w:ascii="Arial" w:cs="Arial" w:eastAsia="Arial" w:hAnsi="Arial"/>
                <w:sz w:val="16"/>
                <w:szCs w:val="16"/>
                <w:b w:val="1"/>
                <w:bCs w:val="1"/>
                <w:color w:val="FFFFFF"/>
              </w:rPr>
              <w:t>Value from Last</w:t>
            </w:r>
          </w:p>
        </w:tc>
        <w:tc>
          <w:tcPr>
            <w:tcW w:w="28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220" w:type="dxa"/>
            <w:vAlign w:val="bottom"/>
            <w:tcBorders>
              <w:right w:val="single" w:sz="8" w:color="4834BA"/>
            </w:tcBorders>
            <w:shd w:val="clear" w:color="auto" w:fill="4834BA"/>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 w:type="dxa"/>
            <w:vAlign w:val="bottom"/>
            <w:shd w:val="clear" w:color="auto" w:fill="4834BA"/>
          </w:tcPr>
          <w:p>
            <w:pPr>
              <w:spacing w:after="0"/>
              <w:rPr>
                <w:sz w:val="15"/>
                <w:szCs w:val="15"/>
                <w:color w:val="auto"/>
              </w:rPr>
            </w:pPr>
          </w:p>
        </w:tc>
        <w:tc>
          <w:tcPr>
            <w:tcW w:w="420" w:type="dxa"/>
            <w:vAlign w:val="bottom"/>
            <w:shd w:val="clear" w:color="auto" w:fill="4834BA"/>
          </w:tcPr>
          <w:p>
            <w:pPr>
              <w:spacing w:after="0"/>
              <w:rPr>
                <w:sz w:val="15"/>
                <w:szCs w:val="15"/>
                <w:color w:val="auto"/>
              </w:rPr>
            </w:pPr>
          </w:p>
        </w:tc>
        <w:tc>
          <w:tcPr>
            <w:tcW w:w="1480" w:type="dxa"/>
            <w:vAlign w:val="bottom"/>
            <w:gridSpan w:val="2"/>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rPr>
              <w:t>Awards Granted</w:t>
            </w:r>
          </w:p>
        </w:tc>
        <w:tc>
          <w:tcPr>
            <w:tcW w:w="280" w:type="dxa"/>
            <w:vAlign w:val="bottom"/>
            <w:shd w:val="clear" w:color="auto" w:fill="4834BA"/>
          </w:tcPr>
          <w:p>
            <w:pPr>
              <w:spacing w:after="0"/>
              <w:rPr>
                <w:sz w:val="15"/>
                <w:szCs w:val="15"/>
                <w:color w:val="auto"/>
              </w:rPr>
            </w:pPr>
          </w:p>
        </w:tc>
        <w:tc>
          <w:tcPr>
            <w:tcW w:w="20" w:type="dxa"/>
            <w:vAlign w:val="bottom"/>
            <w:shd w:val="clear" w:color="auto" w:fill="4834BA"/>
          </w:tcPr>
          <w:p>
            <w:pPr>
              <w:spacing w:after="0"/>
              <w:rPr>
                <w:sz w:val="15"/>
                <w:szCs w:val="15"/>
                <w:color w:val="auto"/>
              </w:rPr>
            </w:pPr>
          </w:p>
        </w:tc>
        <w:tc>
          <w:tcPr>
            <w:tcW w:w="1360" w:type="dxa"/>
            <w:vAlign w:val="bottom"/>
            <w:shd w:val="clear" w:color="auto" w:fill="4834BA"/>
          </w:tcPr>
          <w:p>
            <w:pPr>
              <w:jc w:val="right"/>
              <w:spacing w:after="0" w:line="175" w:lineRule="exact"/>
              <w:rPr>
                <w:sz w:val="20"/>
                <w:szCs w:val="20"/>
                <w:color w:val="auto"/>
              </w:rPr>
            </w:pPr>
            <w:r>
              <w:rPr>
                <w:rFonts w:ascii="Arial" w:cs="Arial" w:eastAsia="Arial" w:hAnsi="Arial"/>
                <w:sz w:val="16"/>
                <w:szCs w:val="16"/>
                <w:b w:val="1"/>
                <w:bCs w:val="1"/>
                <w:color w:val="FFFFFF"/>
              </w:rPr>
              <w:t>Value from Last</w:t>
            </w:r>
          </w:p>
        </w:tc>
        <w:tc>
          <w:tcPr>
            <w:tcW w:w="260" w:type="dxa"/>
            <w:vAlign w:val="bottom"/>
            <w:shd w:val="clear" w:color="auto" w:fill="4834BA"/>
          </w:tcPr>
          <w:p>
            <w:pPr>
              <w:spacing w:after="0"/>
              <w:rPr>
                <w:sz w:val="15"/>
                <w:szCs w:val="15"/>
                <w:color w:val="auto"/>
              </w:rPr>
            </w:pPr>
          </w:p>
        </w:tc>
        <w:tc>
          <w:tcPr>
            <w:tcW w:w="1380" w:type="dxa"/>
            <w:vAlign w:val="bottom"/>
            <w:gridSpan w:val="2"/>
            <w:vMerge w:val="continue"/>
            <w:shd w:val="clear" w:color="auto" w:fill="4834BA"/>
          </w:tcPr>
          <w:p>
            <w:pPr>
              <w:spacing w:after="0"/>
              <w:rPr>
                <w:sz w:val="15"/>
                <w:szCs w:val="15"/>
                <w:color w:val="auto"/>
              </w:rPr>
            </w:pPr>
          </w:p>
        </w:tc>
        <w:tc>
          <w:tcPr>
            <w:tcW w:w="26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340" w:type="dxa"/>
            <w:vAlign w:val="bottom"/>
            <w:shd w:val="clear" w:color="auto" w:fill="4834BA"/>
          </w:tcPr>
          <w:p>
            <w:pPr>
              <w:jc w:val="right"/>
              <w:ind w:right="19"/>
              <w:spacing w:after="0" w:line="175" w:lineRule="exact"/>
              <w:rPr>
                <w:sz w:val="20"/>
                <w:szCs w:val="20"/>
                <w:color w:val="auto"/>
              </w:rPr>
            </w:pPr>
            <w:r>
              <w:rPr>
                <w:rFonts w:ascii="Arial" w:cs="Arial" w:eastAsia="Arial" w:hAnsi="Arial"/>
                <w:sz w:val="16"/>
                <w:szCs w:val="16"/>
                <w:b w:val="1"/>
                <w:bCs w:val="1"/>
                <w:color w:val="FFFFFF"/>
                <w:w w:val="93"/>
              </w:rPr>
              <w:t>Day of Prior Year</w:t>
            </w:r>
          </w:p>
        </w:tc>
        <w:tc>
          <w:tcPr>
            <w:tcW w:w="28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220" w:type="dxa"/>
            <w:vAlign w:val="bottom"/>
            <w:tcBorders>
              <w:right w:val="single" w:sz="8" w:color="4834BA"/>
            </w:tcBorders>
            <w:shd w:val="clear" w:color="auto" w:fill="4834BA"/>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4834BA"/>
          </w:tcPr>
          <w:p>
            <w:pPr>
              <w:spacing w:after="0"/>
              <w:rPr>
                <w:sz w:val="16"/>
                <w:szCs w:val="16"/>
                <w:color w:val="auto"/>
              </w:rPr>
            </w:pPr>
          </w:p>
        </w:tc>
        <w:tc>
          <w:tcPr>
            <w:tcW w:w="420" w:type="dxa"/>
            <w:vAlign w:val="bottom"/>
            <w:shd w:val="clear" w:color="auto" w:fill="4834BA"/>
          </w:tcPr>
          <w:p>
            <w:pPr>
              <w:spacing w:after="0"/>
              <w:rPr>
                <w:sz w:val="16"/>
                <w:szCs w:val="16"/>
                <w:color w:val="auto"/>
              </w:rPr>
            </w:pPr>
          </w:p>
        </w:tc>
        <w:tc>
          <w:tcPr>
            <w:tcW w:w="1480" w:type="dxa"/>
            <w:vAlign w:val="bottom"/>
            <w:gridSpan w:val="2"/>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During Year That</w:t>
            </w:r>
          </w:p>
        </w:tc>
        <w:tc>
          <w:tcPr>
            <w:tcW w:w="280" w:type="dxa"/>
            <w:vAlign w:val="bottom"/>
            <w:shd w:val="clear" w:color="auto" w:fill="4834BA"/>
          </w:tcPr>
          <w:p>
            <w:pPr>
              <w:spacing w:after="0"/>
              <w:rPr>
                <w:sz w:val="16"/>
                <w:szCs w:val="16"/>
                <w:color w:val="auto"/>
              </w:rPr>
            </w:pPr>
          </w:p>
        </w:tc>
        <w:tc>
          <w:tcPr>
            <w:tcW w:w="20" w:type="dxa"/>
            <w:vAlign w:val="bottom"/>
            <w:shd w:val="clear" w:color="auto" w:fill="4834BA"/>
          </w:tcPr>
          <w:p>
            <w:pPr>
              <w:spacing w:after="0"/>
              <w:rPr>
                <w:sz w:val="16"/>
                <w:szCs w:val="16"/>
                <w:color w:val="auto"/>
              </w:rPr>
            </w:pPr>
          </w:p>
        </w:tc>
        <w:tc>
          <w:tcPr>
            <w:tcW w:w="136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w w:val="97"/>
              </w:rPr>
              <w:t>Day of Prior Year</w:t>
            </w:r>
          </w:p>
        </w:tc>
        <w:tc>
          <w:tcPr>
            <w:tcW w:w="260" w:type="dxa"/>
            <w:vAlign w:val="bottom"/>
            <w:shd w:val="clear" w:color="auto" w:fill="4834BA"/>
          </w:tcPr>
          <w:p>
            <w:pPr>
              <w:spacing w:after="0"/>
              <w:rPr>
                <w:sz w:val="16"/>
                <w:szCs w:val="16"/>
                <w:color w:val="auto"/>
              </w:rPr>
            </w:pPr>
          </w:p>
        </w:tc>
        <w:tc>
          <w:tcPr>
            <w:tcW w:w="80" w:type="dxa"/>
            <w:vAlign w:val="bottom"/>
            <w:shd w:val="clear" w:color="auto" w:fill="4834BA"/>
          </w:tcPr>
          <w:p>
            <w:pPr>
              <w:spacing w:after="0"/>
              <w:rPr>
                <w:sz w:val="16"/>
                <w:szCs w:val="16"/>
                <w:color w:val="auto"/>
              </w:rPr>
            </w:pPr>
          </w:p>
        </w:tc>
        <w:tc>
          <w:tcPr>
            <w:tcW w:w="130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Value of Equity</w:t>
            </w:r>
          </w:p>
        </w:tc>
        <w:tc>
          <w:tcPr>
            <w:tcW w:w="260" w:type="dxa"/>
            <w:vAlign w:val="bottom"/>
            <w:shd w:val="clear" w:color="auto" w:fill="4834BA"/>
          </w:tcPr>
          <w:p>
            <w:pPr>
              <w:spacing w:after="0"/>
              <w:rPr>
                <w:sz w:val="16"/>
                <w:szCs w:val="16"/>
                <w:color w:val="auto"/>
              </w:rPr>
            </w:pPr>
          </w:p>
        </w:tc>
        <w:tc>
          <w:tcPr>
            <w:tcW w:w="1400" w:type="dxa"/>
            <w:vAlign w:val="bottom"/>
            <w:gridSpan w:val="2"/>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w w:val="94"/>
              </w:rPr>
              <w:t>to Vesting Date of</w:t>
            </w:r>
          </w:p>
        </w:tc>
        <w:tc>
          <w:tcPr>
            <w:tcW w:w="280" w:type="dxa"/>
            <w:vAlign w:val="bottom"/>
            <w:shd w:val="clear" w:color="auto" w:fill="4834BA"/>
          </w:tcPr>
          <w:p>
            <w:pPr>
              <w:spacing w:after="0"/>
              <w:rPr>
                <w:sz w:val="16"/>
                <w:szCs w:val="16"/>
                <w:color w:val="auto"/>
              </w:rPr>
            </w:pPr>
          </w:p>
        </w:tc>
        <w:tc>
          <w:tcPr>
            <w:tcW w:w="1280" w:type="dxa"/>
            <w:vAlign w:val="bottom"/>
            <w:tcBorders>
              <w:right w:val="single" w:sz="8" w:color="4834BA"/>
            </w:tcBorders>
            <w:gridSpan w:val="2"/>
            <w:vMerge w:val="restart"/>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w w:val="92"/>
              </w:rPr>
              <w:t>Total – Inclusion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00" w:type="dxa"/>
            <w:vAlign w:val="bottom"/>
            <w:shd w:val="clear" w:color="auto" w:fill="4834BA"/>
          </w:tcPr>
          <w:p>
            <w:pPr>
              <w:spacing w:after="0"/>
              <w:rPr>
                <w:sz w:val="15"/>
                <w:szCs w:val="15"/>
                <w:color w:val="auto"/>
              </w:rPr>
            </w:pPr>
          </w:p>
        </w:tc>
        <w:tc>
          <w:tcPr>
            <w:tcW w:w="420" w:type="dxa"/>
            <w:vAlign w:val="bottom"/>
            <w:shd w:val="clear" w:color="auto" w:fill="4834BA"/>
          </w:tcPr>
          <w:p>
            <w:pPr>
              <w:spacing w:after="0"/>
              <w:rPr>
                <w:sz w:val="15"/>
                <w:szCs w:val="15"/>
                <w:color w:val="auto"/>
              </w:rPr>
            </w:pPr>
          </w:p>
        </w:tc>
        <w:tc>
          <w:tcPr>
            <w:tcW w:w="200" w:type="dxa"/>
            <w:vAlign w:val="bottom"/>
            <w:shd w:val="clear" w:color="auto" w:fill="4834BA"/>
          </w:tcPr>
          <w:p>
            <w:pPr>
              <w:spacing w:after="0"/>
              <w:rPr>
                <w:sz w:val="15"/>
                <w:szCs w:val="15"/>
                <w:color w:val="auto"/>
              </w:rPr>
            </w:pPr>
          </w:p>
        </w:tc>
        <w:tc>
          <w:tcPr>
            <w:tcW w:w="1280" w:type="dxa"/>
            <w:vAlign w:val="bottom"/>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rPr>
              <w:t>Remained</w:t>
            </w:r>
          </w:p>
        </w:tc>
        <w:tc>
          <w:tcPr>
            <w:tcW w:w="280" w:type="dxa"/>
            <w:vAlign w:val="bottom"/>
            <w:shd w:val="clear" w:color="auto" w:fill="4834BA"/>
          </w:tcPr>
          <w:p>
            <w:pPr>
              <w:spacing w:after="0"/>
              <w:rPr>
                <w:sz w:val="15"/>
                <w:szCs w:val="15"/>
                <w:color w:val="auto"/>
              </w:rPr>
            </w:pPr>
          </w:p>
        </w:tc>
        <w:tc>
          <w:tcPr>
            <w:tcW w:w="20" w:type="dxa"/>
            <w:vAlign w:val="bottom"/>
            <w:shd w:val="clear" w:color="auto" w:fill="4834BA"/>
          </w:tcPr>
          <w:p>
            <w:pPr>
              <w:spacing w:after="0"/>
              <w:rPr>
                <w:sz w:val="15"/>
                <w:szCs w:val="15"/>
                <w:color w:val="auto"/>
              </w:rPr>
            </w:pPr>
          </w:p>
        </w:tc>
        <w:tc>
          <w:tcPr>
            <w:tcW w:w="1360" w:type="dxa"/>
            <w:vAlign w:val="bottom"/>
            <w:shd w:val="clear" w:color="auto" w:fill="4834BA"/>
          </w:tcPr>
          <w:p>
            <w:pPr>
              <w:jc w:val="right"/>
              <w:spacing w:after="0" w:line="175" w:lineRule="exact"/>
              <w:rPr>
                <w:sz w:val="20"/>
                <w:szCs w:val="20"/>
                <w:color w:val="auto"/>
              </w:rPr>
            </w:pPr>
            <w:r>
              <w:rPr>
                <w:rFonts w:ascii="Arial" w:cs="Arial" w:eastAsia="Arial" w:hAnsi="Arial"/>
                <w:sz w:val="16"/>
                <w:szCs w:val="16"/>
                <w:b w:val="1"/>
                <w:bCs w:val="1"/>
                <w:color w:val="FFFFFF"/>
              </w:rPr>
              <w:t>to Last Day of</w:t>
            </w:r>
          </w:p>
        </w:tc>
        <w:tc>
          <w:tcPr>
            <w:tcW w:w="260" w:type="dxa"/>
            <w:vAlign w:val="bottom"/>
            <w:shd w:val="clear" w:color="auto" w:fill="4834BA"/>
          </w:tcPr>
          <w:p>
            <w:pPr>
              <w:spacing w:after="0"/>
              <w:rPr>
                <w:sz w:val="15"/>
                <w:szCs w:val="15"/>
                <w:color w:val="auto"/>
              </w:rPr>
            </w:pPr>
          </w:p>
        </w:tc>
        <w:tc>
          <w:tcPr>
            <w:tcW w:w="80" w:type="dxa"/>
            <w:vAlign w:val="bottom"/>
            <w:shd w:val="clear" w:color="auto" w:fill="4834BA"/>
          </w:tcPr>
          <w:p>
            <w:pPr>
              <w:spacing w:after="0"/>
              <w:rPr>
                <w:sz w:val="15"/>
                <w:szCs w:val="15"/>
                <w:color w:val="auto"/>
              </w:rPr>
            </w:pPr>
          </w:p>
        </w:tc>
        <w:tc>
          <w:tcPr>
            <w:tcW w:w="1300" w:type="dxa"/>
            <w:vAlign w:val="bottom"/>
            <w:shd w:val="clear" w:color="auto" w:fill="4834BA"/>
          </w:tcPr>
          <w:p>
            <w:pPr>
              <w:jc w:val="right"/>
              <w:ind w:right="19"/>
              <w:spacing w:after="0" w:line="175" w:lineRule="exact"/>
              <w:rPr>
                <w:sz w:val="20"/>
                <w:szCs w:val="20"/>
                <w:color w:val="auto"/>
              </w:rPr>
            </w:pPr>
            <w:r>
              <w:rPr>
                <w:rFonts w:ascii="Arial" w:cs="Arial" w:eastAsia="Arial" w:hAnsi="Arial"/>
                <w:sz w:val="16"/>
                <w:szCs w:val="16"/>
                <w:b w:val="1"/>
                <w:bCs w:val="1"/>
                <w:color w:val="FFFFFF"/>
                <w:w w:val="95"/>
              </w:rPr>
              <w:t>Awards Granted</w:t>
            </w:r>
          </w:p>
        </w:tc>
        <w:tc>
          <w:tcPr>
            <w:tcW w:w="26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340" w:type="dxa"/>
            <w:vAlign w:val="bottom"/>
            <w:shd w:val="clear" w:color="auto" w:fill="4834BA"/>
          </w:tcPr>
          <w:p>
            <w:pPr>
              <w:jc w:val="right"/>
              <w:ind w:right="19"/>
              <w:spacing w:after="0" w:line="175" w:lineRule="exact"/>
              <w:rPr>
                <w:sz w:val="20"/>
                <w:szCs w:val="20"/>
                <w:color w:val="auto"/>
              </w:rPr>
            </w:pPr>
            <w:r>
              <w:rPr>
                <w:rFonts w:ascii="Arial" w:cs="Arial" w:eastAsia="Arial" w:hAnsi="Arial"/>
                <w:sz w:val="16"/>
                <w:szCs w:val="16"/>
                <w:b w:val="1"/>
                <w:bCs w:val="1"/>
                <w:color w:val="FFFFFF"/>
                <w:w w:val="97"/>
              </w:rPr>
              <w:t>Unvested Equity</w:t>
            </w:r>
          </w:p>
        </w:tc>
        <w:tc>
          <w:tcPr>
            <w:tcW w:w="280" w:type="dxa"/>
            <w:vAlign w:val="bottom"/>
            <w:shd w:val="clear" w:color="auto" w:fill="4834BA"/>
          </w:tcPr>
          <w:p>
            <w:pPr>
              <w:spacing w:after="0"/>
              <w:rPr>
                <w:sz w:val="15"/>
                <w:szCs w:val="15"/>
                <w:color w:val="auto"/>
              </w:rPr>
            </w:pPr>
          </w:p>
        </w:tc>
        <w:tc>
          <w:tcPr>
            <w:tcW w:w="1280" w:type="dxa"/>
            <w:vAlign w:val="bottom"/>
            <w:tcBorders>
              <w:right w:val="single" w:sz="8" w:color="4834BA"/>
            </w:tcBorders>
            <w:gridSpan w:val="2"/>
            <w:vMerge w:val="continue"/>
            <w:shd w:val="clear" w:color="auto" w:fill="4834BA"/>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4834BA"/>
          </w:tcPr>
          <w:p>
            <w:pPr>
              <w:spacing w:after="0"/>
              <w:rPr>
                <w:sz w:val="16"/>
                <w:szCs w:val="16"/>
                <w:color w:val="auto"/>
              </w:rPr>
            </w:pPr>
          </w:p>
        </w:tc>
        <w:tc>
          <w:tcPr>
            <w:tcW w:w="420" w:type="dxa"/>
            <w:vAlign w:val="bottom"/>
            <w:shd w:val="clear" w:color="auto" w:fill="4834BA"/>
          </w:tcPr>
          <w:p>
            <w:pPr>
              <w:spacing w:after="0"/>
              <w:rPr>
                <w:sz w:val="16"/>
                <w:szCs w:val="16"/>
                <w:color w:val="auto"/>
              </w:rPr>
            </w:pPr>
          </w:p>
        </w:tc>
        <w:tc>
          <w:tcPr>
            <w:tcW w:w="200" w:type="dxa"/>
            <w:vAlign w:val="bottom"/>
            <w:shd w:val="clear" w:color="auto" w:fill="4834BA"/>
          </w:tcPr>
          <w:p>
            <w:pPr>
              <w:spacing w:after="0"/>
              <w:rPr>
                <w:sz w:val="16"/>
                <w:szCs w:val="16"/>
                <w:color w:val="auto"/>
              </w:rPr>
            </w:pPr>
          </w:p>
        </w:tc>
        <w:tc>
          <w:tcPr>
            <w:tcW w:w="1280" w:type="dxa"/>
            <w:vAlign w:val="bottom"/>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Unvested as of</w:t>
            </w:r>
          </w:p>
        </w:tc>
        <w:tc>
          <w:tcPr>
            <w:tcW w:w="280" w:type="dxa"/>
            <w:vAlign w:val="bottom"/>
            <w:shd w:val="clear" w:color="auto" w:fill="4834BA"/>
          </w:tcPr>
          <w:p>
            <w:pPr>
              <w:spacing w:after="0"/>
              <w:rPr>
                <w:sz w:val="16"/>
                <w:szCs w:val="16"/>
                <w:color w:val="auto"/>
              </w:rPr>
            </w:pPr>
          </w:p>
        </w:tc>
        <w:tc>
          <w:tcPr>
            <w:tcW w:w="20" w:type="dxa"/>
            <w:vAlign w:val="bottom"/>
            <w:shd w:val="clear" w:color="auto" w:fill="4834BA"/>
          </w:tcPr>
          <w:p>
            <w:pPr>
              <w:spacing w:after="0"/>
              <w:rPr>
                <w:sz w:val="16"/>
                <w:szCs w:val="16"/>
                <w:color w:val="auto"/>
              </w:rPr>
            </w:pPr>
          </w:p>
        </w:tc>
        <w:tc>
          <w:tcPr>
            <w:tcW w:w="136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w w:val="96"/>
              </w:rPr>
              <w:t>Year of Unvested</w:t>
            </w:r>
          </w:p>
        </w:tc>
        <w:tc>
          <w:tcPr>
            <w:tcW w:w="260" w:type="dxa"/>
            <w:vAlign w:val="bottom"/>
            <w:shd w:val="clear" w:color="auto" w:fill="4834BA"/>
          </w:tcPr>
          <w:p>
            <w:pPr>
              <w:spacing w:after="0"/>
              <w:rPr>
                <w:sz w:val="16"/>
                <w:szCs w:val="16"/>
                <w:color w:val="auto"/>
              </w:rPr>
            </w:pPr>
          </w:p>
        </w:tc>
        <w:tc>
          <w:tcPr>
            <w:tcW w:w="80" w:type="dxa"/>
            <w:vAlign w:val="bottom"/>
            <w:shd w:val="clear" w:color="auto" w:fill="4834BA"/>
          </w:tcPr>
          <w:p>
            <w:pPr>
              <w:spacing w:after="0"/>
              <w:rPr>
                <w:sz w:val="16"/>
                <w:szCs w:val="16"/>
                <w:color w:val="auto"/>
              </w:rPr>
            </w:pPr>
          </w:p>
        </w:tc>
        <w:tc>
          <w:tcPr>
            <w:tcW w:w="130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w w:val="94"/>
              </w:rPr>
              <w:t>During Year that</w:t>
            </w:r>
          </w:p>
        </w:tc>
        <w:tc>
          <w:tcPr>
            <w:tcW w:w="260" w:type="dxa"/>
            <w:vAlign w:val="bottom"/>
            <w:shd w:val="clear" w:color="auto" w:fill="4834BA"/>
          </w:tcPr>
          <w:p>
            <w:pPr>
              <w:spacing w:after="0"/>
              <w:rPr>
                <w:sz w:val="16"/>
                <w:szCs w:val="16"/>
                <w:color w:val="auto"/>
              </w:rPr>
            </w:pPr>
          </w:p>
        </w:tc>
        <w:tc>
          <w:tcPr>
            <w:tcW w:w="60" w:type="dxa"/>
            <w:vAlign w:val="bottom"/>
            <w:shd w:val="clear" w:color="auto" w:fill="4834BA"/>
          </w:tcPr>
          <w:p>
            <w:pPr>
              <w:spacing w:after="0"/>
              <w:rPr>
                <w:sz w:val="16"/>
                <w:szCs w:val="16"/>
                <w:color w:val="auto"/>
              </w:rPr>
            </w:pPr>
          </w:p>
        </w:tc>
        <w:tc>
          <w:tcPr>
            <w:tcW w:w="134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Awards that</w:t>
            </w:r>
          </w:p>
        </w:tc>
        <w:tc>
          <w:tcPr>
            <w:tcW w:w="280" w:type="dxa"/>
            <w:vAlign w:val="bottom"/>
            <w:shd w:val="clear" w:color="auto" w:fill="4834BA"/>
          </w:tcPr>
          <w:p>
            <w:pPr>
              <w:spacing w:after="0"/>
              <w:rPr>
                <w:sz w:val="16"/>
                <w:szCs w:val="16"/>
                <w:color w:val="auto"/>
              </w:rPr>
            </w:pPr>
          </w:p>
        </w:tc>
        <w:tc>
          <w:tcPr>
            <w:tcW w:w="60" w:type="dxa"/>
            <w:vAlign w:val="bottom"/>
            <w:shd w:val="clear" w:color="auto" w:fill="4834BA"/>
          </w:tcPr>
          <w:p>
            <w:pPr>
              <w:spacing w:after="0"/>
              <w:rPr>
                <w:sz w:val="16"/>
                <w:szCs w:val="16"/>
                <w:color w:val="auto"/>
              </w:rPr>
            </w:pPr>
          </w:p>
        </w:tc>
        <w:tc>
          <w:tcPr>
            <w:tcW w:w="1220" w:type="dxa"/>
            <w:vAlign w:val="bottom"/>
            <w:tcBorders>
              <w:right w:val="single" w:sz="8" w:color="4834BA"/>
            </w:tcBorders>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of Equity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0" w:type="dxa"/>
            <w:vAlign w:val="bottom"/>
            <w:shd w:val="clear" w:color="auto" w:fill="4834BA"/>
          </w:tcPr>
          <w:p>
            <w:pPr>
              <w:spacing w:after="0"/>
              <w:rPr>
                <w:sz w:val="15"/>
                <w:szCs w:val="15"/>
                <w:color w:val="auto"/>
              </w:rPr>
            </w:pPr>
          </w:p>
        </w:tc>
        <w:tc>
          <w:tcPr>
            <w:tcW w:w="420" w:type="dxa"/>
            <w:vAlign w:val="bottom"/>
            <w:shd w:val="clear" w:color="auto" w:fill="4834BA"/>
          </w:tcPr>
          <w:p>
            <w:pPr>
              <w:spacing w:after="0"/>
              <w:rPr>
                <w:sz w:val="15"/>
                <w:szCs w:val="15"/>
                <w:color w:val="auto"/>
              </w:rPr>
            </w:pPr>
          </w:p>
        </w:tc>
        <w:tc>
          <w:tcPr>
            <w:tcW w:w="1480" w:type="dxa"/>
            <w:vAlign w:val="bottom"/>
            <w:gridSpan w:val="2"/>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rPr>
              <w:t>Last Day of Year</w:t>
            </w:r>
          </w:p>
        </w:tc>
        <w:tc>
          <w:tcPr>
            <w:tcW w:w="1660" w:type="dxa"/>
            <w:vAlign w:val="bottom"/>
            <w:gridSpan w:val="3"/>
            <w:shd w:val="clear" w:color="auto" w:fill="4834BA"/>
          </w:tcPr>
          <w:p>
            <w:pPr>
              <w:jc w:val="right"/>
              <w:ind w:right="19"/>
              <w:spacing w:after="0" w:line="175" w:lineRule="exact"/>
              <w:rPr>
                <w:sz w:val="20"/>
                <w:szCs w:val="20"/>
                <w:color w:val="auto"/>
              </w:rPr>
            </w:pPr>
            <w:r>
              <w:rPr>
                <w:rFonts w:ascii="Arial" w:cs="Arial" w:eastAsia="Arial" w:hAnsi="Arial"/>
                <w:sz w:val="16"/>
                <w:szCs w:val="16"/>
                <w:b w:val="1"/>
                <w:bCs w:val="1"/>
                <w:color w:val="FFFFFF"/>
              </w:rPr>
              <w:t>Equity Awards for</w:t>
            </w:r>
          </w:p>
        </w:tc>
        <w:tc>
          <w:tcPr>
            <w:tcW w:w="260" w:type="dxa"/>
            <w:vAlign w:val="bottom"/>
            <w:shd w:val="clear" w:color="auto" w:fill="4834BA"/>
          </w:tcPr>
          <w:p>
            <w:pPr>
              <w:spacing w:after="0"/>
              <w:rPr>
                <w:sz w:val="15"/>
                <w:szCs w:val="15"/>
                <w:color w:val="auto"/>
              </w:rPr>
            </w:pPr>
          </w:p>
        </w:tc>
        <w:tc>
          <w:tcPr>
            <w:tcW w:w="80" w:type="dxa"/>
            <w:vAlign w:val="bottom"/>
            <w:shd w:val="clear" w:color="auto" w:fill="4834BA"/>
          </w:tcPr>
          <w:p>
            <w:pPr>
              <w:spacing w:after="0"/>
              <w:rPr>
                <w:sz w:val="15"/>
                <w:szCs w:val="15"/>
                <w:color w:val="auto"/>
              </w:rPr>
            </w:pPr>
          </w:p>
        </w:tc>
        <w:tc>
          <w:tcPr>
            <w:tcW w:w="1300" w:type="dxa"/>
            <w:vAlign w:val="bottom"/>
            <w:shd w:val="clear" w:color="auto" w:fill="4834BA"/>
          </w:tcPr>
          <w:p>
            <w:pPr>
              <w:jc w:val="right"/>
              <w:ind w:right="19"/>
              <w:spacing w:after="0" w:line="175" w:lineRule="exact"/>
              <w:rPr>
                <w:sz w:val="20"/>
                <w:szCs w:val="20"/>
                <w:color w:val="auto"/>
              </w:rPr>
            </w:pPr>
            <w:r>
              <w:rPr>
                <w:rFonts w:ascii="Arial" w:cs="Arial" w:eastAsia="Arial" w:hAnsi="Arial"/>
                <w:sz w:val="16"/>
                <w:szCs w:val="16"/>
                <w:b w:val="1"/>
                <w:bCs w:val="1"/>
                <w:color w:val="FFFFFF"/>
              </w:rPr>
              <w:t>Vested During</w:t>
            </w:r>
          </w:p>
        </w:tc>
        <w:tc>
          <w:tcPr>
            <w:tcW w:w="26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340" w:type="dxa"/>
            <w:vAlign w:val="bottom"/>
            <w:shd w:val="clear" w:color="auto" w:fill="4834BA"/>
          </w:tcPr>
          <w:p>
            <w:pPr>
              <w:jc w:val="right"/>
              <w:ind w:right="19"/>
              <w:spacing w:after="0" w:line="175" w:lineRule="exact"/>
              <w:rPr>
                <w:sz w:val="20"/>
                <w:szCs w:val="20"/>
                <w:color w:val="auto"/>
              </w:rPr>
            </w:pPr>
            <w:r>
              <w:rPr>
                <w:rFonts w:ascii="Arial" w:cs="Arial" w:eastAsia="Arial" w:hAnsi="Arial"/>
                <w:sz w:val="16"/>
                <w:szCs w:val="16"/>
                <w:b w:val="1"/>
                <w:bCs w:val="1"/>
                <w:color w:val="FFFFFF"/>
              </w:rPr>
              <w:t>Vested During</w:t>
            </w:r>
          </w:p>
        </w:tc>
        <w:tc>
          <w:tcPr>
            <w:tcW w:w="28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220" w:type="dxa"/>
            <w:vAlign w:val="bottom"/>
            <w:tcBorders>
              <w:right w:val="single" w:sz="8" w:color="4834BA"/>
            </w:tcBorders>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rPr>
              <w:t>Values for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vMerge w:val="restart"/>
            <w:shd w:val="clear" w:color="auto" w:fill="4834BA"/>
          </w:tcPr>
          <w:p>
            <w:pPr>
              <w:ind w:left="60"/>
              <w:spacing w:after="0"/>
              <w:rPr>
                <w:sz w:val="20"/>
                <w:szCs w:val="20"/>
                <w:color w:val="auto"/>
              </w:rPr>
            </w:pPr>
            <w:r>
              <w:rPr>
                <w:rFonts w:ascii="Arial" w:cs="Arial" w:eastAsia="Arial" w:hAnsi="Arial"/>
                <w:sz w:val="16"/>
                <w:szCs w:val="16"/>
                <w:b w:val="1"/>
                <w:bCs w:val="1"/>
                <w:color w:val="FFFFFF"/>
              </w:rPr>
              <w:t>Year</w:t>
            </w:r>
          </w:p>
        </w:tc>
        <w:tc>
          <w:tcPr>
            <w:tcW w:w="420" w:type="dxa"/>
            <w:vAlign w:val="bottom"/>
            <w:shd w:val="clear" w:color="auto" w:fill="4834BA"/>
          </w:tcPr>
          <w:p>
            <w:pPr>
              <w:spacing w:after="0"/>
              <w:rPr>
                <w:sz w:val="16"/>
                <w:szCs w:val="16"/>
                <w:color w:val="auto"/>
              </w:rPr>
            </w:pPr>
          </w:p>
        </w:tc>
        <w:tc>
          <w:tcPr>
            <w:tcW w:w="200" w:type="dxa"/>
            <w:vAlign w:val="bottom"/>
            <w:shd w:val="clear" w:color="auto" w:fill="4834BA"/>
          </w:tcPr>
          <w:p>
            <w:pPr>
              <w:spacing w:after="0"/>
              <w:rPr>
                <w:sz w:val="16"/>
                <w:szCs w:val="16"/>
                <w:color w:val="auto"/>
              </w:rPr>
            </w:pPr>
          </w:p>
        </w:tc>
        <w:tc>
          <w:tcPr>
            <w:tcW w:w="1280" w:type="dxa"/>
            <w:vAlign w:val="bottom"/>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for PEO</w:t>
            </w:r>
          </w:p>
        </w:tc>
        <w:tc>
          <w:tcPr>
            <w:tcW w:w="280" w:type="dxa"/>
            <w:vAlign w:val="bottom"/>
            <w:shd w:val="clear" w:color="auto" w:fill="4834BA"/>
          </w:tcPr>
          <w:p>
            <w:pPr>
              <w:spacing w:after="0"/>
              <w:rPr>
                <w:sz w:val="16"/>
                <w:szCs w:val="16"/>
                <w:color w:val="auto"/>
              </w:rPr>
            </w:pPr>
          </w:p>
        </w:tc>
        <w:tc>
          <w:tcPr>
            <w:tcW w:w="20" w:type="dxa"/>
            <w:vAlign w:val="bottom"/>
            <w:shd w:val="clear" w:color="auto" w:fill="4834BA"/>
          </w:tcPr>
          <w:p>
            <w:pPr>
              <w:spacing w:after="0"/>
              <w:rPr>
                <w:sz w:val="16"/>
                <w:szCs w:val="16"/>
                <w:color w:val="auto"/>
              </w:rPr>
            </w:pPr>
          </w:p>
        </w:tc>
        <w:tc>
          <w:tcPr>
            <w:tcW w:w="136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PEO</w:t>
            </w:r>
          </w:p>
        </w:tc>
        <w:tc>
          <w:tcPr>
            <w:tcW w:w="260" w:type="dxa"/>
            <w:vAlign w:val="bottom"/>
            <w:shd w:val="clear" w:color="auto" w:fill="4834BA"/>
          </w:tcPr>
          <w:p>
            <w:pPr>
              <w:spacing w:after="0"/>
              <w:rPr>
                <w:sz w:val="16"/>
                <w:szCs w:val="16"/>
                <w:color w:val="auto"/>
              </w:rPr>
            </w:pPr>
          </w:p>
        </w:tc>
        <w:tc>
          <w:tcPr>
            <w:tcW w:w="80" w:type="dxa"/>
            <w:vAlign w:val="bottom"/>
            <w:shd w:val="clear" w:color="auto" w:fill="4834BA"/>
          </w:tcPr>
          <w:p>
            <w:pPr>
              <w:spacing w:after="0"/>
              <w:rPr>
                <w:sz w:val="16"/>
                <w:szCs w:val="16"/>
                <w:color w:val="auto"/>
              </w:rPr>
            </w:pPr>
          </w:p>
        </w:tc>
        <w:tc>
          <w:tcPr>
            <w:tcW w:w="1300" w:type="dxa"/>
            <w:vAlign w:val="bottom"/>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Year for PEO</w:t>
            </w:r>
          </w:p>
        </w:tc>
        <w:tc>
          <w:tcPr>
            <w:tcW w:w="260" w:type="dxa"/>
            <w:vAlign w:val="bottom"/>
            <w:shd w:val="clear" w:color="auto" w:fill="4834BA"/>
          </w:tcPr>
          <w:p>
            <w:pPr>
              <w:spacing w:after="0"/>
              <w:rPr>
                <w:sz w:val="16"/>
                <w:szCs w:val="16"/>
                <w:color w:val="auto"/>
              </w:rPr>
            </w:pPr>
          </w:p>
        </w:tc>
        <w:tc>
          <w:tcPr>
            <w:tcW w:w="60" w:type="dxa"/>
            <w:vAlign w:val="bottom"/>
            <w:shd w:val="clear" w:color="auto" w:fill="4834BA"/>
          </w:tcPr>
          <w:p>
            <w:pPr>
              <w:spacing w:after="0"/>
              <w:rPr>
                <w:sz w:val="16"/>
                <w:szCs w:val="16"/>
                <w:color w:val="auto"/>
              </w:rPr>
            </w:pPr>
          </w:p>
        </w:tc>
        <w:tc>
          <w:tcPr>
            <w:tcW w:w="1340" w:type="dxa"/>
            <w:vAlign w:val="bottom"/>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Year for PEO</w:t>
            </w:r>
          </w:p>
        </w:tc>
        <w:tc>
          <w:tcPr>
            <w:tcW w:w="280" w:type="dxa"/>
            <w:vAlign w:val="bottom"/>
            <w:shd w:val="clear" w:color="auto" w:fill="4834BA"/>
          </w:tcPr>
          <w:p>
            <w:pPr>
              <w:spacing w:after="0"/>
              <w:rPr>
                <w:sz w:val="16"/>
                <w:szCs w:val="16"/>
                <w:color w:val="auto"/>
              </w:rPr>
            </w:pPr>
          </w:p>
        </w:tc>
        <w:tc>
          <w:tcPr>
            <w:tcW w:w="60" w:type="dxa"/>
            <w:vAlign w:val="bottom"/>
            <w:shd w:val="clear" w:color="auto" w:fill="4834BA"/>
          </w:tcPr>
          <w:p>
            <w:pPr>
              <w:spacing w:after="0"/>
              <w:rPr>
                <w:sz w:val="16"/>
                <w:szCs w:val="16"/>
                <w:color w:val="auto"/>
              </w:rPr>
            </w:pPr>
          </w:p>
        </w:tc>
        <w:tc>
          <w:tcPr>
            <w:tcW w:w="1220" w:type="dxa"/>
            <w:vAlign w:val="bottom"/>
            <w:tcBorders>
              <w:right w:val="single" w:sz="8" w:color="4834BA"/>
            </w:tcBorders>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PEO 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00" w:type="dxa"/>
            <w:vAlign w:val="bottom"/>
            <w:vMerge w:val="continue"/>
            <w:shd w:val="clear" w:color="auto" w:fill="4834BA"/>
          </w:tcPr>
          <w:p>
            <w:pPr>
              <w:spacing w:after="0"/>
              <w:rPr>
                <w:sz w:val="14"/>
                <w:szCs w:val="14"/>
                <w:color w:val="auto"/>
              </w:rPr>
            </w:pPr>
          </w:p>
        </w:tc>
        <w:tc>
          <w:tcPr>
            <w:tcW w:w="620" w:type="dxa"/>
            <w:vAlign w:val="bottom"/>
            <w:gridSpan w:val="2"/>
            <w:vMerge w:val="restart"/>
            <w:shd w:val="clear" w:color="auto" w:fill="4834BA"/>
          </w:tcPr>
          <w:p>
            <w:pPr>
              <w:ind w:left="400"/>
              <w:spacing w:after="0"/>
              <w:rPr>
                <w:sz w:val="20"/>
                <w:szCs w:val="20"/>
                <w:color w:val="auto"/>
              </w:rPr>
            </w:pPr>
            <w:r>
              <w:rPr>
                <w:rFonts w:ascii="Arial" w:cs="Arial" w:eastAsia="Arial" w:hAnsi="Arial"/>
                <w:sz w:val="16"/>
                <w:szCs w:val="16"/>
                <w:b w:val="1"/>
                <w:bCs w:val="1"/>
                <w:color w:val="FFFFFF"/>
              </w:rPr>
              <w:t>​  ​</w:t>
            </w:r>
          </w:p>
        </w:tc>
        <w:tc>
          <w:tcPr>
            <w:tcW w:w="1280" w:type="dxa"/>
            <w:vAlign w:val="bottom"/>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300" w:type="dxa"/>
            <w:vAlign w:val="bottom"/>
            <w:gridSpan w:val="2"/>
            <w:vMerge w:val="restart"/>
            <w:shd w:val="clear" w:color="auto" w:fill="4834BA"/>
          </w:tcPr>
          <w:p>
            <w:pPr>
              <w:ind w:left="100"/>
              <w:spacing w:after="0"/>
              <w:rPr>
                <w:sz w:val="20"/>
                <w:szCs w:val="20"/>
                <w:color w:val="auto"/>
              </w:rPr>
            </w:pPr>
            <w:r>
              <w:rPr>
                <w:rFonts w:ascii="Arial" w:cs="Arial" w:eastAsia="Arial" w:hAnsi="Arial"/>
                <w:sz w:val="16"/>
                <w:szCs w:val="16"/>
                <w:b w:val="1"/>
                <w:bCs w:val="1"/>
                <w:color w:val="FFFFFF"/>
              </w:rPr>
              <w:t>​  ​</w:t>
            </w:r>
          </w:p>
        </w:tc>
        <w:tc>
          <w:tcPr>
            <w:tcW w:w="1360" w:type="dxa"/>
            <w:vAlign w:val="bottom"/>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340" w:type="dxa"/>
            <w:vAlign w:val="bottom"/>
            <w:gridSpan w:val="2"/>
            <w:vMerge w:val="restart"/>
            <w:shd w:val="clear" w:color="auto" w:fill="4834BA"/>
          </w:tcPr>
          <w:p>
            <w:pPr>
              <w:ind w:left="120"/>
              <w:spacing w:after="0"/>
              <w:rPr>
                <w:sz w:val="20"/>
                <w:szCs w:val="20"/>
                <w:color w:val="auto"/>
              </w:rPr>
            </w:pPr>
            <w:r>
              <w:rPr>
                <w:rFonts w:ascii="Arial" w:cs="Arial" w:eastAsia="Arial" w:hAnsi="Arial"/>
                <w:sz w:val="16"/>
                <w:szCs w:val="16"/>
                <w:b w:val="1"/>
                <w:bCs w:val="1"/>
                <w:color w:val="FFFFFF"/>
              </w:rPr>
              <w:t>​  ​</w:t>
            </w:r>
          </w:p>
        </w:tc>
        <w:tc>
          <w:tcPr>
            <w:tcW w:w="1300" w:type="dxa"/>
            <w:vAlign w:val="bottom"/>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320" w:type="dxa"/>
            <w:vAlign w:val="bottom"/>
            <w:gridSpan w:val="2"/>
            <w:vMerge w:val="restart"/>
            <w:shd w:val="clear" w:color="auto" w:fill="4834BA"/>
          </w:tcPr>
          <w:p>
            <w:pPr>
              <w:ind w:left="100"/>
              <w:spacing w:after="0"/>
              <w:rPr>
                <w:sz w:val="20"/>
                <w:szCs w:val="20"/>
                <w:color w:val="auto"/>
              </w:rPr>
            </w:pPr>
            <w:r>
              <w:rPr>
                <w:rFonts w:ascii="Arial" w:cs="Arial" w:eastAsia="Arial" w:hAnsi="Arial"/>
                <w:sz w:val="16"/>
                <w:szCs w:val="16"/>
                <w:b w:val="1"/>
                <w:bCs w:val="1"/>
                <w:color w:val="FFFFFF"/>
              </w:rPr>
              <w:t>​  ​</w:t>
            </w:r>
          </w:p>
        </w:tc>
        <w:tc>
          <w:tcPr>
            <w:tcW w:w="1340" w:type="dxa"/>
            <w:vAlign w:val="bottom"/>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340" w:type="dxa"/>
            <w:vAlign w:val="bottom"/>
            <w:gridSpan w:val="2"/>
            <w:vMerge w:val="restart"/>
            <w:shd w:val="clear" w:color="auto" w:fill="4834BA"/>
          </w:tcPr>
          <w:p>
            <w:pPr>
              <w:ind w:left="120"/>
              <w:spacing w:after="0"/>
              <w:rPr>
                <w:sz w:val="20"/>
                <w:szCs w:val="20"/>
                <w:color w:val="auto"/>
              </w:rPr>
            </w:pPr>
            <w:r>
              <w:rPr>
                <w:rFonts w:ascii="Arial" w:cs="Arial" w:eastAsia="Arial" w:hAnsi="Arial"/>
                <w:sz w:val="16"/>
                <w:szCs w:val="16"/>
                <w:b w:val="1"/>
                <w:bCs w:val="1"/>
                <w:color w:val="FFFFFF"/>
              </w:rPr>
              <w:t>​  ​</w:t>
            </w:r>
          </w:p>
        </w:tc>
        <w:tc>
          <w:tcPr>
            <w:tcW w:w="1220" w:type="dxa"/>
            <w:vAlign w:val="bottom"/>
            <w:tcBorders>
              <w:right w:val="single" w:sz="8" w:color="4834BA"/>
            </w:tcBorders>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48"/>
        </w:trPr>
        <w:tc>
          <w:tcPr>
            <w:tcW w:w="600" w:type="dxa"/>
            <w:vAlign w:val="bottom"/>
            <w:tcBorders>
              <w:bottom w:val="single" w:sz="8" w:color="4834BA"/>
            </w:tcBorders>
            <w:shd w:val="clear" w:color="auto" w:fill="4834BA"/>
          </w:tcPr>
          <w:p>
            <w:pPr>
              <w:ind w:left="60"/>
              <w:spacing w:after="0" w:line="27" w:lineRule="exact"/>
              <w:rPr>
                <w:sz w:val="20"/>
                <w:szCs w:val="20"/>
                <w:color w:val="auto"/>
              </w:rPr>
            </w:pPr>
            <w:r>
              <w:rPr>
                <w:rFonts w:ascii="Arial" w:cs="Arial" w:eastAsia="Arial" w:hAnsi="Arial"/>
                <w:sz w:val="3"/>
                <w:szCs w:val="3"/>
                <w:b w:val="1"/>
                <w:bCs w:val="1"/>
                <w:color w:val="FFFFFF"/>
              </w:rPr>
              <w:t>​</w:t>
            </w:r>
          </w:p>
        </w:tc>
        <w:tc>
          <w:tcPr>
            <w:tcW w:w="620" w:type="dxa"/>
            <w:vAlign w:val="bottom"/>
            <w:tcBorders>
              <w:bottom w:val="single" w:sz="8" w:color="4834BA"/>
            </w:tcBorders>
            <w:gridSpan w:val="2"/>
            <w:vMerge w:val="continue"/>
            <w:shd w:val="clear" w:color="auto" w:fill="4834BA"/>
          </w:tcPr>
          <w:p>
            <w:pPr>
              <w:spacing w:after="0"/>
              <w:rPr>
                <w:sz w:val="4"/>
                <w:szCs w:val="4"/>
                <w:color w:val="auto"/>
              </w:rPr>
            </w:pPr>
          </w:p>
        </w:tc>
        <w:tc>
          <w:tcPr>
            <w:tcW w:w="1280" w:type="dxa"/>
            <w:vAlign w:val="bottom"/>
            <w:tcBorders>
              <w:bottom w:val="single" w:sz="8" w:color="4834BA"/>
            </w:tcBorders>
            <w:shd w:val="clear" w:color="auto" w:fill="4834BA"/>
          </w:tcPr>
          <w:p>
            <w:pPr>
              <w:spacing w:after="0"/>
              <w:rPr>
                <w:sz w:val="4"/>
                <w:szCs w:val="4"/>
                <w:color w:val="auto"/>
              </w:rPr>
            </w:pPr>
          </w:p>
        </w:tc>
        <w:tc>
          <w:tcPr>
            <w:tcW w:w="300" w:type="dxa"/>
            <w:vAlign w:val="bottom"/>
            <w:tcBorders>
              <w:bottom w:val="single" w:sz="8" w:color="4834BA"/>
            </w:tcBorders>
            <w:gridSpan w:val="2"/>
            <w:vMerge w:val="continue"/>
            <w:shd w:val="clear" w:color="auto" w:fill="4834BA"/>
          </w:tcPr>
          <w:p>
            <w:pPr>
              <w:spacing w:after="0"/>
              <w:rPr>
                <w:sz w:val="4"/>
                <w:szCs w:val="4"/>
                <w:color w:val="auto"/>
              </w:rPr>
            </w:pPr>
          </w:p>
        </w:tc>
        <w:tc>
          <w:tcPr>
            <w:tcW w:w="1360" w:type="dxa"/>
            <w:vAlign w:val="bottom"/>
            <w:tcBorders>
              <w:bottom w:val="single" w:sz="8" w:color="4834BA"/>
            </w:tcBorders>
            <w:shd w:val="clear" w:color="auto" w:fill="4834BA"/>
          </w:tcPr>
          <w:p>
            <w:pPr>
              <w:spacing w:after="0"/>
              <w:rPr>
                <w:sz w:val="4"/>
                <w:szCs w:val="4"/>
                <w:color w:val="auto"/>
              </w:rPr>
            </w:pPr>
          </w:p>
        </w:tc>
        <w:tc>
          <w:tcPr>
            <w:tcW w:w="340" w:type="dxa"/>
            <w:vAlign w:val="bottom"/>
            <w:tcBorders>
              <w:bottom w:val="single" w:sz="8" w:color="4834BA"/>
            </w:tcBorders>
            <w:gridSpan w:val="2"/>
            <w:vMerge w:val="continue"/>
            <w:shd w:val="clear" w:color="auto" w:fill="4834BA"/>
          </w:tcPr>
          <w:p>
            <w:pPr>
              <w:spacing w:after="0"/>
              <w:rPr>
                <w:sz w:val="4"/>
                <w:szCs w:val="4"/>
                <w:color w:val="auto"/>
              </w:rPr>
            </w:pPr>
          </w:p>
        </w:tc>
        <w:tc>
          <w:tcPr>
            <w:tcW w:w="1300" w:type="dxa"/>
            <w:vAlign w:val="bottom"/>
            <w:tcBorders>
              <w:bottom w:val="single" w:sz="8" w:color="4834BA"/>
            </w:tcBorders>
            <w:shd w:val="clear" w:color="auto" w:fill="4834BA"/>
          </w:tcPr>
          <w:p>
            <w:pPr>
              <w:spacing w:after="0"/>
              <w:rPr>
                <w:sz w:val="4"/>
                <w:szCs w:val="4"/>
                <w:color w:val="auto"/>
              </w:rPr>
            </w:pPr>
          </w:p>
        </w:tc>
        <w:tc>
          <w:tcPr>
            <w:tcW w:w="320" w:type="dxa"/>
            <w:vAlign w:val="bottom"/>
            <w:tcBorders>
              <w:bottom w:val="single" w:sz="8" w:color="4834BA"/>
            </w:tcBorders>
            <w:gridSpan w:val="2"/>
            <w:vMerge w:val="continue"/>
            <w:shd w:val="clear" w:color="auto" w:fill="4834BA"/>
          </w:tcPr>
          <w:p>
            <w:pPr>
              <w:spacing w:after="0"/>
              <w:rPr>
                <w:sz w:val="4"/>
                <w:szCs w:val="4"/>
                <w:color w:val="auto"/>
              </w:rPr>
            </w:pPr>
          </w:p>
        </w:tc>
        <w:tc>
          <w:tcPr>
            <w:tcW w:w="1340" w:type="dxa"/>
            <w:vAlign w:val="bottom"/>
            <w:tcBorders>
              <w:bottom w:val="single" w:sz="8" w:color="4834BA"/>
            </w:tcBorders>
            <w:shd w:val="clear" w:color="auto" w:fill="4834BA"/>
          </w:tcPr>
          <w:p>
            <w:pPr>
              <w:spacing w:after="0"/>
              <w:rPr>
                <w:sz w:val="4"/>
                <w:szCs w:val="4"/>
                <w:color w:val="auto"/>
              </w:rPr>
            </w:pPr>
          </w:p>
        </w:tc>
        <w:tc>
          <w:tcPr>
            <w:tcW w:w="340" w:type="dxa"/>
            <w:vAlign w:val="bottom"/>
            <w:tcBorders>
              <w:bottom w:val="single" w:sz="8" w:color="4834BA"/>
            </w:tcBorders>
            <w:gridSpan w:val="2"/>
            <w:vMerge w:val="continue"/>
            <w:shd w:val="clear" w:color="auto" w:fill="4834BA"/>
          </w:tcPr>
          <w:p>
            <w:pPr>
              <w:spacing w:after="0"/>
              <w:rPr>
                <w:sz w:val="4"/>
                <w:szCs w:val="4"/>
                <w:color w:val="auto"/>
              </w:rPr>
            </w:pPr>
          </w:p>
        </w:tc>
        <w:tc>
          <w:tcPr>
            <w:tcW w:w="1220" w:type="dxa"/>
            <w:vAlign w:val="bottom"/>
            <w:tcBorders>
              <w:bottom w:val="single" w:sz="8" w:color="4834BA"/>
              <w:right w:val="single" w:sz="8" w:color="4834BA"/>
            </w:tcBorders>
            <w:shd w:val="clear" w:color="auto" w:fill="4834BA"/>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400"/>
              <w:spacing w:after="0" w:line="122" w:lineRule="exact"/>
              <w:rPr>
                <w:sz w:val="20"/>
                <w:szCs w:val="20"/>
                <w:color w:val="auto"/>
              </w:rPr>
            </w:pPr>
            <w:r>
              <w:rPr>
                <w:rFonts w:ascii="Arial" w:cs="Arial" w:eastAsia="Arial" w:hAnsi="Arial"/>
                <w:sz w:val="14"/>
                <w:szCs w:val="14"/>
                <w:color w:val="auto"/>
              </w:rPr>
              <w:t>​  ​</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9,612,093</w:t>
            </w:r>
          </w:p>
        </w:tc>
        <w:tc>
          <w:tcPr>
            <w:tcW w:w="300" w:type="dxa"/>
            <w:vAlign w:val="bottom"/>
            <w:gridSpan w:val="2"/>
          </w:tcPr>
          <w:p>
            <w:pPr>
              <w:ind w:left="100"/>
              <w:spacing w:after="0" w:line="122" w:lineRule="exact"/>
              <w:rPr>
                <w:sz w:val="20"/>
                <w:szCs w:val="20"/>
                <w:color w:val="auto"/>
              </w:rPr>
            </w:pPr>
            <w:r>
              <w:rPr>
                <w:rFonts w:ascii="Arial" w:cs="Arial" w:eastAsia="Arial" w:hAnsi="Arial"/>
                <w:sz w:val="14"/>
                <w:szCs w:val="14"/>
                <w:color w:val="auto"/>
              </w:rPr>
              <w:t>​  ​</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(2,166,361)</w:t>
            </w:r>
          </w:p>
        </w:tc>
        <w:tc>
          <w:tcPr>
            <w:tcW w:w="340" w:type="dxa"/>
            <w:vAlign w:val="bottom"/>
            <w:gridSpan w:val="2"/>
          </w:tcPr>
          <w:p>
            <w:pPr>
              <w:ind w:left="120"/>
              <w:spacing w:after="0" w:line="122" w:lineRule="exact"/>
              <w:rPr>
                <w:sz w:val="20"/>
                <w:szCs w:val="20"/>
                <w:color w:val="auto"/>
              </w:rPr>
            </w:pPr>
            <w:r>
              <w:rPr>
                <w:rFonts w:ascii="Arial" w:cs="Arial" w:eastAsia="Arial" w:hAnsi="Arial"/>
                <w:sz w:val="14"/>
                <w:szCs w:val="14"/>
                <w:color w:val="auto"/>
              </w:rPr>
              <w:t>​  ​</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459,602</w:t>
            </w:r>
          </w:p>
        </w:tc>
        <w:tc>
          <w:tcPr>
            <w:tcW w:w="320" w:type="dxa"/>
            <w:vAlign w:val="bottom"/>
            <w:gridSpan w:val="2"/>
          </w:tcPr>
          <w:p>
            <w:pPr>
              <w:ind w:left="100"/>
              <w:spacing w:after="0" w:line="122" w:lineRule="exact"/>
              <w:rPr>
                <w:sz w:val="20"/>
                <w:szCs w:val="20"/>
                <w:color w:val="auto"/>
              </w:rPr>
            </w:pPr>
            <w:r>
              <w:rPr>
                <w:rFonts w:ascii="Arial" w:cs="Arial" w:eastAsia="Arial" w:hAnsi="Arial"/>
                <w:sz w:val="14"/>
                <w:szCs w:val="14"/>
                <w:color w:val="auto"/>
              </w:rPr>
              <w:t>​  ​</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(13,062,226)</w:t>
            </w:r>
          </w:p>
        </w:tc>
        <w:tc>
          <w:tcPr>
            <w:tcW w:w="340" w:type="dxa"/>
            <w:vAlign w:val="bottom"/>
            <w:gridSpan w:val="2"/>
          </w:tcPr>
          <w:p>
            <w:pPr>
              <w:ind w:left="120"/>
              <w:spacing w:after="0" w:line="122" w:lineRule="exact"/>
              <w:rPr>
                <w:sz w:val="20"/>
                <w:szCs w:val="20"/>
                <w:color w:val="auto"/>
              </w:rPr>
            </w:pPr>
            <w:r>
              <w:rPr>
                <w:rFonts w:ascii="Arial" w:cs="Arial" w:eastAsia="Arial" w:hAnsi="Arial"/>
                <w:sz w:val="14"/>
                <w:szCs w:val="14"/>
                <w:color w:val="auto"/>
              </w:rPr>
              <w:t>​  ​</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(5,156,892)</w:t>
            </w: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6"/>
                <w:szCs w:val="16"/>
                <w:color w:val="auto"/>
              </w:rPr>
              <w:t>2025</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0" w:type="dxa"/>
            <w:vAlign w:val="bottom"/>
            <w:shd w:val="clear" w:color="auto" w:fill="4834BA"/>
          </w:tcPr>
          <w:p>
            <w:pPr>
              <w:spacing w:after="0"/>
              <w:rPr>
                <w:sz w:val="21"/>
                <w:szCs w:val="21"/>
                <w:color w:val="auto"/>
              </w:rPr>
            </w:pPr>
          </w:p>
        </w:tc>
        <w:tc>
          <w:tcPr>
            <w:tcW w:w="420" w:type="dxa"/>
            <w:vAlign w:val="bottom"/>
            <w:shd w:val="clear" w:color="auto" w:fill="4834BA"/>
          </w:tcPr>
          <w:p>
            <w:pPr>
              <w:spacing w:after="0"/>
              <w:rPr>
                <w:sz w:val="21"/>
                <w:szCs w:val="21"/>
                <w:color w:val="auto"/>
              </w:rPr>
            </w:pPr>
          </w:p>
        </w:tc>
        <w:tc>
          <w:tcPr>
            <w:tcW w:w="1480" w:type="dxa"/>
            <w:vAlign w:val="bottom"/>
            <w:gridSpan w:val="2"/>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w w:val="95"/>
              </w:rPr>
              <w:t>Average Year-End</w:t>
            </w:r>
          </w:p>
        </w:tc>
        <w:tc>
          <w:tcPr>
            <w:tcW w:w="280" w:type="dxa"/>
            <w:vAlign w:val="bottom"/>
            <w:shd w:val="clear" w:color="auto" w:fill="4834BA"/>
          </w:tcPr>
          <w:p>
            <w:pPr>
              <w:spacing w:after="0"/>
              <w:rPr>
                <w:sz w:val="21"/>
                <w:szCs w:val="21"/>
                <w:color w:val="auto"/>
              </w:rPr>
            </w:pPr>
          </w:p>
        </w:tc>
        <w:tc>
          <w:tcPr>
            <w:tcW w:w="20" w:type="dxa"/>
            <w:vAlign w:val="bottom"/>
            <w:shd w:val="clear" w:color="auto" w:fill="4834BA"/>
          </w:tcPr>
          <w:p>
            <w:pPr>
              <w:spacing w:after="0"/>
              <w:rPr>
                <w:sz w:val="21"/>
                <w:szCs w:val="21"/>
                <w:color w:val="auto"/>
              </w:rPr>
            </w:pPr>
          </w:p>
        </w:tc>
        <w:tc>
          <w:tcPr>
            <w:tcW w:w="1360" w:type="dxa"/>
            <w:vAlign w:val="bottom"/>
            <w:shd w:val="clear" w:color="auto" w:fill="4834BA"/>
          </w:tcPr>
          <w:p>
            <w:pPr>
              <w:spacing w:after="0"/>
              <w:rPr>
                <w:sz w:val="21"/>
                <w:szCs w:val="21"/>
                <w:color w:val="auto"/>
              </w:rPr>
            </w:pPr>
          </w:p>
        </w:tc>
        <w:tc>
          <w:tcPr>
            <w:tcW w:w="260" w:type="dxa"/>
            <w:vAlign w:val="bottom"/>
            <w:shd w:val="clear" w:color="auto" w:fill="4834BA"/>
          </w:tcPr>
          <w:p>
            <w:pPr>
              <w:spacing w:after="0"/>
              <w:rPr>
                <w:sz w:val="21"/>
                <w:szCs w:val="21"/>
                <w:color w:val="auto"/>
              </w:rPr>
            </w:pPr>
          </w:p>
        </w:tc>
        <w:tc>
          <w:tcPr>
            <w:tcW w:w="80" w:type="dxa"/>
            <w:vAlign w:val="bottom"/>
            <w:shd w:val="clear" w:color="auto" w:fill="4834BA"/>
          </w:tcPr>
          <w:p>
            <w:pPr>
              <w:spacing w:after="0"/>
              <w:rPr>
                <w:sz w:val="21"/>
                <w:szCs w:val="21"/>
                <w:color w:val="auto"/>
              </w:rPr>
            </w:pPr>
          </w:p>
        </w:tc>
        <w:tc>
          <w:tcPr>
            <w:tcW w:w="1300" w:type="dxa"/>
            <w:vAlign w:val="bottom"/>
            <w:shd w:val="clear" w:color="auto" w:fill="4834BA"/>
          </w:tcPr>
          <w:p>
            <w:pPr>
              <w:spacing w:after="0"/>
              <w:rPr>
                <w:sz w:val="21"/>
                <w:szCs w:val="21"/>
                <w:color w:val="auto"/>
              </w:rPr>
            </w:pPr>
          </w:p>
        </w:tc>
        <w:tc>
          <w:tcPr>
            <w:tcW w:w="260" w:type="dxa"/>
            <w:vAlign w:val="bottom"/>
            <w:shd w:val="clear" w:color="auto" w:fill="4834BA"/>
          </w:tcPr>
          <w:p>
            <w:pPr>
              <w:spacing w:after="0"/>
              <w:rPr>
                <w:sz w:val="21"/>
                <w:szCs w:val="21"/>
                <w:color w:val="auto"/>
              </w:rPr>
            </w:pPr>
          </w:p>
        </w:tc>
        <w:tc>
          <w:tcPr>
            <w:tcW w:w="1400" w:type="dxa"/>
            <w:vAlign w:val="bottom"/>
            <w:gridSpan w:val="2"/>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w w:val="96"/>
              </w:rPr>
              <w:t>Average Change</w:t>
            </w:r>
          </w:p>
        </w:tc>
        <w:tc>
          <w:tcPr>
            <w:tcW w:w="280" w:type="dxa"/>
            <w:vAlign w:val="bottom"/>
            <w:shd w:val="clear" w:color="auto" w:fill="4834BA"/>
          </w:tcPr>
          <w:p>
            <w:pPr>
              <w:spacing w:after="0"/>
              <w:rPr>
                <w:sz w:val="21"/>
                <w:szCs w:val="21"/>
                <w:color w:val="auto"/>
              </w:rPr>
            </w:pPr>
          </w:p>
        </w:tc>
        <w:tc>
          <w:tcPr>
            <w:tcW w:w="60" w:type="dxa"/>
            <w:vAlign w:val="bottom"/>
            <w:shd w:val="clear" w:color="auto" w:fill="4834BA"/>
          </w:tcPr>
          <w:p>
            <w:pPr>
              <w:spacing w:after="0"/>
              <w:rPr>
                <w:sz w:val="21"/>
                <w:szCs w:val="21"/>
                <w:color w:val="auto"/>
              </w:rPr>
            </w:pPr>
          </w:p>
        </w:tc>
        <w:tc>
          <w:tcPr>
            <w:tcW w:w="1220" w:type="dxa"/>
            <w:vAlign w:val="bottom"/>
            <w:tcBorders>
              <w:right w:val="single" w:sz="8" w:color="4834BA"/>
            </w:tcBorders>
            <w:shd w:val="clear" w:color="auto" w:fill="4834BA"/>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00" w:type="dxa"/>
            <w:vAlign w:val="bottom"/>
            <w:shd w:val="clear" w:color="auto" w:fill="4834BA"/>
          </w:tcPr>
          <w:p>
            <w:pPr>
              <w:spacing w:after="0"/>
              <w:rPr>
                <w:sz w:val="15"/>
                <w:szCs w:val="15"/>
                <w:color w:val="auto"/>
              </w:rPr>
            </w:pPr>
          </w:p>
        </w:tc>
        <w:tc>
          <w:tcPr>
            <w:tcW w:w="420" w:type="dxa"/>
            <w:vAlign w:val="bottom"/>
            <w:shd w:val="clear" w:color="auto" w:fill="4834BA"/>
          </w:tcPr>
          <w:p>
            <w:pPr>
              <w:spacing w:after="0"/>
              <w:rPr>
                <w:sz w:val="15"/>
                <w:szCs w:val="15"/>
                <w:color w:val="auto"/>
              </w:rPr>
            </w:pPr>
          </w:p>
        </w:tc>
        <w:tc>
          <w:tcPr>
            <w:tcW w:w="200" w:type="dxa"/>
            <w:vAlign w:val="bottom"/>
            <w:shd w:val="clear" w:color="auto" w:fill="4834BA"/>
          </w:tcPr>
          <w:p>
            <w:pPr>
              <w:spacing w:after="0"/>
              <w:rPr>
                <w:sz w:val="15"/>
                <w:szCs w:val="15"/>
                <w:color w:val="auto"/>
              </w:rPr>
            </w:pPr>
          </w:p>
        </w:tc>
        <w:tc>
          <w:tcPr>
            <w:tcW w:w="1280" w:type="dxa"/>
            <w:vAlign w:val="bottom"/>
            <w:shd w:val="clear" w:color="auto" w:fill="4834BA"/>
          </w:tcPr>
          <w:p>
            <w:pPr>
              <w:jc w:val="right"/>
              <w:ind w:right="59"/>
              <w:spacing w:after="0" w:line="175" w:lineRule="exact"/>
              <w:rPr>
                <w:sz w:val="20"/>
                <w:szCs w:val="20"/>
                <w:color w:val="auto"/>
              </w:rPr>
            </w:pPr>
            <w:r>
              <w:rPr>
                <w:rFonts w:ascii="Arial" w:cs="Arial" w:eastAsia="Arial" w:hAnsi="Arial"/>
                <w:sz w:val="16"/>
                <w:szCs w:val="16"/>
                <w:b w:val="1"/>
                <w:bCs w:val="1"/>
                <w:color w:val="FFFFFF"/>
              </w:rPr>
              <w:t>Fair Value of</w:t>
            </w:r>
          </w:p>
        </w:tc>
        <w:tc>
          <w:tcPr>
            <w:tcW w:w="280" w:type="dxa"/>
            <w:vAlign w:val="bottom"/>
            <w:shd w:val="clear" w:color="auto" w:fill="4834BA"/>
          </w:tcPr>
          <w:p>
            <w:pPr>
              <w:spacing w:after="0"/>
              <w:rPr>
                <w:sz w:val="15"/>
                <w:szCs w:val="15"/>
                <w:color w:val="auto"/>
              </w:rPr>
            </w:pPr>
          </w:p>
        </w:tc>
        <w:tc>
          <w:tcPr>
            <w:tcW w:w="1380" w:type="dxa"/>
            <w:vAlign w:val="bottom"/>
            <w:gridSpan w:val="2"/>
            <w:shd w:val="clear" w:color="auto" w:fill="4834BA"/>
          </w:tcPr>
          <w:p>
            <w:pPr>
              <w:jc w:val="right"/>
              <w:ind w:right="79"/>
              <w:spacing w:after="0" w:line="175" w:lineRule="exact"/>
              <w:rPr>
                <w:sz w:val="20"/>
                <w:szCs w:val="20"/>
                <w:color w:val="auto"/>
              </w:rPr>
            </w:pPr>
            <w:r>
              <w:rPr>
                <w:rFonts w:ascii="Arial" w:cs="Arial" w:eastAsia="Arial" w:hAnsi="Arial"/>
                <w:sz w:val="16"/>
                <w:szCs w:val="16"/>
                <w:b w:val="1"/>
                <w:bCs w:val="1"/>
                <w:color w:val="FFFFFF"/>
                <w:w w:val="95"/>
              </w:rPr>
              <w:t>Average Change</w:t>
            </w:r>
          </w:p>
        </w:tc>
        <w:tc>
          <w:tcPr>
            <w:tcW w:w="260" w:type="dxa"/>
            <w:vAlign w:val="bottom"/>
            <w:shd w:val="clear" w:color="auto" w:fill="4834BA"/>
          </w:tcPr>
          <w:p>
            <w:pPr>
              <w:spacing w:after="0"/>
              <w:rPr>
                <w:sz w:val="15"/>
                <w:szCs w:val="15"/>
                <w:color w:val="auto"/>
              </w:rPr>
            </w:pPr>
          </w:p>
        </w:tc>
        <w:tc>
          <w:tcPr>
            <w:tcW w:w="80" w:type="dxa"/>
            <w:vAlign w:val="bottom"/>
            <w:shd w:val="clear" w:color="auto" w:fill="4834BA"/>
          </w:tcPr>
          <w:p>
            <w:pPr>
              <w:spacing w:after="0"/>
              <w:rPr>
                <w:sz w:val="15"/>
                <w:szCs w:val="15"/>
                <w:color w:val="auto"/>
              </w:rPr>
            </w:pPr>
          </w:p>
        </w:tc>
        <w:tc>
          <w:tcPr>
            <w:tcW w:w="1300" w:type="dxa"/>
            <w:vAlign w:val="bottom"/>
            <w:shd w:val="clear" w:color="auto" w:fill="4834BA"/>
          </w:tcPr>
          <w:p>
            <w:pPr>
              <w:spacing w:after="0"/>
              <w:rPr>
                <w:sz w:val="15"/>
                <w:szCs w:val="15"/>
                <w:color w:val="auto"/>
              </w:rPr>
            </w:pPr>
          </w:p>
        </w:tc>
        <w:tc>
          <w:tcPr>
            <w:tcW w:w="1660" w:type="dxa"/>
            <w:vAlign w:val="bottom"/>
            <w:gridSpan w:val="3"/>
            <w:shd w:val="clear" w:color="auto" w:fill="4834BA"/>
          </w:tcPr>
          <w:p>
            <w:pPr>
              <w:jc w:val="right"/>
              <w:ind w:right="79"/>
              <w:spacing w:after="0" w:line="175" w:lineRule="exact"/>
              <w:rPr>
                <w:sz w:val="20"/>
                <w:szCs w:val="20"/>
                <w:color w:val="auto"/>
              </w:rPr>
            </w:pPr>
            <w:r>
              <w:rPr>
                <w:rFonts w:ascii="Arial" w:cs="Arial" w:eastAsia="Arial" w:hAnsi="Arial"/>
                <w:sz w:val="16"/>
                <w:szCs w:val="16"/>
                <w:b w:val="1"/>
                <w:bCs w:val="1"/>
                <w:color w:val="FFFFFF"/>
              </w:rPr>
              <w:t>in Fair Value from</w:t>
            </w:r>
          </w:p>
        </w:tc>
        <w:tc>
          <w:tcPr>
            <w:tcW w:w="28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220" w:type="dxa"/>
            <w:vAlign w:val="bottom"/>
            <w:tcBorders>
              <w:right w:val="single" w:sz="8" w:color="4834BA"/>
            </w:tcBorders>
            <w:shd w:val="clear" w:color="auto" w:fill="4834BA"/>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4834BA"/>
          </w:tcPr>
          <w:p>
            <w:pPr>
              <w:spacing w:after="0"/>
              <w:rPr>
                <w:sz w:val="16"/>
                <w:szCs w:val="16"/>
                <w:color w:val="auto"/>
              </w:rPr>
            </w:pPr>
          </w:p>
        </w:tc>
        <w:tc>
          <w:tcPr>
            <w:tcW w:w="420" w:type="dxa"/>
            <w:vAlign w:val="bottom"/>
            <w:shd w:val="clear" w:color="auto" w:fill="4834BA"/>
          </w:tcPr>
          <w:p>
            <w:pPr>
              <w:spacing w:after="0"/>
              <w:rPr>
                <w:sz w:val="16"/>
                <w:szCs w:val="16"/>
                <w:color w:val="auto"/>
              </w:rPr>
            </w:pPr>
          </w:p>
        </w:tc>
        <w:tc>
          <w:tcPr>
            <w:tcW w:w="200" w:type="dxa"/>
            <w:vAlign w:val="bottom"/>
            <w:shd w:val="clear" w:color="auto" w:fill="4834BA"/>
          </w:tcPr>
          <w:p>
            <w:pPr>
              <w:spacing w:after="0"/>
              <w:rPr>
                <w:sz w:val="16"/>
                <w:szCs w:val="16"/>
                <w:color w:val="auto"/>
              </w:rPr>
            </w:pPr>
          </w:p>
        </w:tc>
        <w:tc>
          <w:tcPr>
            <w:tcW w:w="1280" w:type="dxa"/>
            <w:vAlign w:val="bottom"/>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rPr>
              <w:t>Equity Awards</w:t>
            </w:r>
          </w:p>
        </w:tc>
        <w:tc>
          <w:tcPr>
            <w:tcW w:w="1660" w:type="dxa"/>
            <w:vAlign w:val="bottom"/>
            <w:gridSpan w:val="3"/>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in Fair Value from</w:t>
            </w:r>
          </w:p>
        </w:tc>
        <w:tc>
          <w:tcPr>
            <w:tcW w:w="260" w:type="dxa"/>
            <w:vAlign w:val="bottom"/>
            <w:shd w:val="clear" w:color="auto" w:fill="4834BA"/>
          </w:tcPr>
          <w:p>
            <w:pPr>
              <w:spacing w:after="0"/>
              <w:rPr>
                <w:sz w:val="16"/>
                <w:szCs w:val="16"/>
                <w:color w:val="auto"/>
              </w:rPr>
            </w:pPr>
          </w:p>
        </w:tc>
        <w:tc>
          <w:tcPr>
            <w:tcW w:w="1380" w:type="dxa"/>
            <w:vAlign w:val="bottom"/>
            <w:gridSpan w:val="2"/>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w w:val="93"/>
              </w:rPr>
              <w:t>Average Vesting-</w:t>
            </w:r>
          </w:p>
        </w:tc>
        <w:tc>
          <w:tcPr>
            <w:tcW w:w="260" w:type="dxa"/>
            <w:vAlign w:val="bottom"/>
            <w:shd w:val="clear" w:color="auto" w:fill="4834BA"/>
          </w:tcPr>
          <w:p>
            <w:pPr>
              <w:spacing w:after="0"/>
              <w:rPr>
                <w:sz w:val="16"/>
                <w:szCs w:val="16"/>
                <w:color w:val="auto"/>
              </w:rPr>
            </w:pPr>
          </w:p>
        </w:tc>
        <w:tc>
          <w:tcPr>
            <w:tcW w:w="1400" w:type="dxa"/>
            <w:vAlign w:val="bottom"/>
            <w:gridSpan w:val="2"/>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w w:val="95"/>
              </w:rPr>
              <w:t>Last Day of Prior</w:t>
            </w:r>
          </w:p>
        </w:tc>
        <w:tc>
          <w:tcPr>
            <w:tcW w:w="280" w:type="dxa"/>
            <w:vAlign w:val="bottom"/>
            <w:shd w:val="clear" w:color="auto" w:fill="4834BA"/>
          </w:tcPr>
          <w:p>
            <w:pPr>
              <w:spacing w:after="0"/>
              <w:rPr>
                <w:sz w:val="16"/>
                <w:szCs w:val="16"/>
                <w:color w:val="auto"/>
              </w:rPr>
            </w:pPr>
          </w:p>
        </w:tc>
        <w:tc>
          <w:tcPr>
            <w:tcW w:w="60" w:type="dxa"/>
            <w:vAlign w:val="bottom"/>
            <w:shd w:val="clear" w:color="auto" w:fill="4834BA"/>
          </w:tcPr>
          <w:p>
            <w:pPr>
              <w:spacing w:after="0"/>
              <w:rPr>
                <w:sz w:val="16"/>
                <w:szCs w:val="16"/>
                <w:color w:val="auto"/>
              </w:rPr>
            </w:pPr>
          </w:p>
        </w:tc>
        <w:tc>
          <w:tcPr>
            <w:tcW w:w="1220" w:type="dxa"/>
            <w:vAlign w:val="bottom"/>
            <w:tcBorders>
              <w:right w:val="single" w:sz="8" w:color="4834BA"/>
            </w:tcBorders>
            <w:shd w:val="clear" w:color="auto" w:fill="4834BA"/>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0" w:type="dxa"/>
            <w:vAlign w:val="bottom"/>
            <w:shd w:val="clear" w:color="auto" w:fill="4834BA"/>
          </w:tcPr>
          <w:p>
            <w:pPr>
              <w:spacing w:after="0"/>
              <w:rPr>
                <w:sz w:val="15"/>
                <w:szCs w:val="15"/>
                <w:color w:val="auto"/>
              </w:rPr>
            </w:pPr>
          </w:p>
        </w:tc>
        <w:tc>
          <w:tcPr>
            <w:tcW w:w="420" w:type="dxa"/>
            <w:vAlign w:val="bottom"/>
            <w:shd w:val="clear" w:color="auto" w:fill="4834BA"/>
          </w:tcPr>
          <w:p>
            <w:pPr>
              <w:spacing w:after="0"/>
              <w:rPr>
                <w:sz w:val="15"/>
                <w:szCs w:val="15"/>
                <w:color w:val="auto"/>
              </w:rPr>
            </w:pPr>
          </w:p>
        </w:tc>
        <w:tc>
          <w:tcPr>
            <w:tcW w:w="200" w:type="dxa"/>
            <w:vAlign w:val="bottom"/>
            <w:shd w:val="clear" w:color="auto" w:fill="4834BA"/>
          </w:tcPr>
          <w:p>
            <w:pPr>
              <w:spacing w:after="0"/>
              <w:rPr>
                <w:sz w:val="15"/>
                <w:szCs w:val="15"/>
                <w:color w:val="auto"/>
              </w:rPr>
            </w:pPr>
          </w:p>
        </w:tc>
        <w:tc>
          <w:tcPr>
            <w:tcW w:w="1280" w:type="dxa"/>
            <w:vAlign w:val="bottom"/>
            <w:shd w:val="clear" w:color="auto" w:fill="4834BA"/>
          </w:tcPr>
          <w:p>
            <w:pPr>
              <w:jc w:val="right"/>
              <w:ind w:right="59"/>
              <w:spacing w:after="0" w:line="175" w:lineRule="exact"/>
              <w:rPr>
                <w:sz w:val="20"/>
                <w:szCs w:val="20"/>
                <w:color w:val="auto"/>
              </w:rPr>
            </w:pPr>
            <w:r>
              <w:rPr>
                <w:rFonts w:ascii="Arial" w:cs="Arial" w:eastAsia="Arial" w:hAnsi="Arial"/>
                <w:sz w:val="16"/>
                <w:szCs w:val="16"/>
                <w:b w:val="1"/>
                <w:bCs w:val="1"/>
                <w:color w:val="FFFFFF"/>
                <w:w w:val="95"/>
              </w:rPr>
              <w:t>Granted During</w:t>
            </w:r>
          </w:p>
        </w:tc>
        <w:tc>
          <w:tcPr>
            <w:tcW w:w="280" w:type="dxa"/>
            <w:vAlign w:val="bottom"/>
            <w:shd w:val="clear" w:color="auto" w:fill="4834BA"/>
          </w:tcPr>
          <w:p>
            <w:pPr>
              <w:spacing w:after="0"/>
              <w:rPr>
                <w:sz w:val="15"/>
                <w:szCs w:val="15"/>
                <w:color w:val="auto"/>
              </w:rPr>
            </w:pPr>
          </w:p>
        </w:tc>
        <w:tc>
          <w:tcPr>
            <w:tcW w:w="1380" w:type="dxa"/>
            <w:vAlign w:val="bottom"/>
            <w:gridSpan w:val="2"/>
            <w:shd w:val="clear" w:color="auto" w:fill="4834BA"/>
          </w:tcPr>
          <w:p>
            <w:pPr>
              <w:jc w:val="right"/>
              <w:ind w:right="79"/>
              <w:spacing w:after="0" w:line="175" w:lineRule="exact"/>
              <w:rPr>
                <w:sz w:val="20"/>
                <w:szCs w:val="20"/>
                <w:color w:val="auto"/>
              </w:rPr>
            </w:pPr>
            <w:r>
              <w:rPr>
                <w:rFonts w:ascii="Arial" w:cs="Arial" w:eastAsia="Arial" w:hAnsi="Arial"/>
                <w:sz w:val="16"/>
                <w:szCs w:val="16"/>
                <w:b w:val="1"/>
                <w:bCs w:val="1"/>
                <w:color w:val="FFFFFF"/>
                <w:w w:val="93"/>
              </w:rPr>
              <w:t>Last Day of Prior</w:t>
            </w:r>
          </w:p>
        </w:tc>
        <w:tc>
          <w:tcPr>
            <w:tcW w:w="1640" w:type="dxa"/>
            <w:vAlign w:val="bottom"/>
            <w:gridSpan w:val="3"/>
            <w:shd w:val="clear" w:color="auto" w:fill="4834BA"/>
          </w:tcPr>
          <w:p>
            <w:pPr>
              <w:jc w:val="right"/>
              <w:ind w:right="59"/>
              <w:spacing w:after="0" w:line="175" w:lineRule="exact"/>
              <w:rPr>
                <w:sz w:val="20"/>
                <w:szCs w:val="20"/>
                <w:color w:val="auto"/>
              </w:rPr>
            </w:pPr>
            <w:r>
              <w:rPr>
                <w:rFonts w:ascii="Arial" w:cs="Arial" w:eastAsia="Arial" w:hAnsi="Arial"/>
                <w:sz w:val="16"/>
                <w:szCs w:val="16"/>
                <w:b w:val="1"/>
                <w:bCs w:val="1"/>
                <w:color w:val="FFFFFF"/>
              </w:rPr>
              <w:t>Date Fair Value of</w:t>
            </w:r>
          </w:p>
        </w:tc>
        <w:tc>
          <w:tcPr>
            <w:tcW w:w="26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340" w:type="dxa"/>
            <w:vAlign w:val="bottom"/>
            <w:shd w:val="clear" w:color="auto" w:fill="4834BA"/>
          </w:tcPr>
          <w:p>
            <w:pPr>
              <w:jc w:val="right"/>
              <w:ind w:right="79"/>
              <w:spacing w:after="0" w:line="175" w:lineRule="exact"/>
              <w:rPr>
                <w:sz w:val="20"/>
                <w:szCs w:val="20"/>
                <w:color w:val="auto"/>
              </w:rPr>
            </w:pPr>
            <w:r>
              <w:rPr>
                <w:rFonts w:ascii="Arial" w:cs="Arial" w:eastAsia="Arial" w:hAnsi="Arial"/>
                <w:sz w:val="16"/>
                <w:szCs w:val="16"/>
                <w:b w:val="1"/>
                <w:bCs w:val="1"/>
                <w:color w:val="FFFFFF"/>
                <w:w w:val="99"/>
              </w:rPr>
              <w:t>Year to Vesting</w:t>
            </w:r>
          </w:p>
        </w:tc>
        <w:tc>
          <w:tcPr>
            <w:tcW w:w="28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220" w:type="dxa"/>
            <w:vAlign w:val="bottom"/>
            <w:tcBorders>
              <w:right w:val="single" w:sz="8" w:color="4834BA"/>
            </w:tcBorders>
            <w:shd w:val="clear" w:color="auto" w:fill="4834BA"/>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4834BA"/>
          </w:tcPr>
          <w:p>
            <w:pPr>
              <w:spacing w:after="0"/>
              <w:rPr>
                <w:sz w:val="16"/>
                <w:szCs w:val="16"/>
                <w:color w:val="auto"/>
              </w:rPr>
            </w:pPr>
          </w:p>
        </w:tc>
        <w:tc>
          <w:tcPr>
            <w:tcW w:w="420" w:type="dxa"/>
            <w:vAlign w:val="bottom"/>
            <w:shd w:val="clear" w:color="auto" w:fill="4834BA"/>
          </w:tcPr>
          <w:p>
            <w:pPr>
              <w:spacing w:after="0"/>
              <w:rPr>
                <w:sz w:val="16"/>
                <w:szCs w:val="16"/>
                <w:color w:val="auto"/>
              </w:rPr>
            </w:pPr>
          </w:p>
        </w:tc>
        <w:tc>
          <w:tcPr>
            <w:tcW w:w="200" w:type="dxa"/>
            <w:vAlign w:val="bottom"/>
            <w:shd w:val="clear" w:color="auto" w:fill="4834BA"/>
          </w:tcPr>
          <w:p>
            <w:pPr>
              <w:spacing w:after="0"/>
              <w:rPr>
                <w:sz w:val="16"/>
                <w:szCs w:val="16"/>
                <w:color w:val="auto"/>
              </w:rPr>
            </w:pPr>
          </w:p>
        </w:tc>
        <w:tc>
          <w:tcPr>
            <w:tcW w:w="1280" w:type="dxa"/>
            <w:vAlign w:val="bottom"/>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rPr>
              <w:t>Year That</w:t>
            </w:r>
          </w:p>
        </w:tc>
        <w:tc>
          <w:tcPr>
            <w:tcW w:w="280" w:type="dxa"/>
            <w:vAlign w:val="bottom"/>
            <w:shd w:val="clear" w:color="auto" w:fill="4834BA"/>
          </w:tcPr>
          <w:p>
            <w:pPr>
              <w:spacing w:after="0"/>
              <w:rPr>
                <w:sz w:val="16"/>
                <w:szCs w:val="16"/>
                <w:color w:val="auto"/>
              </w:rPr>
            </w:pPr>
          </w:p>
        </w:tc>
        <w:tc>
          <w:tcPr>
            <w:tcW w:w="20" w:type="dxa"/>
            <w:vAlign w:val="bottom"/>
            <w:shd w:val="clear" w:color="auto" w:fill="4834BA"/>
          </w:tcPr>
          <w:p>
            <w:pPr>
              <w:spacing w:after="0"/>
              <w:rPr>
                <w:sz w:val="16"/>
                <w:szCs w:val="16"/>
                <w:color w:val="auto"/>
              </w:rPr>
            </w:pPr>
          </w:p>
        </w:tc>
        <w:tc>
          <w:tcPr>
            <w:tcW w:w="136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w w:val="94"/>
              </w:rPr>
              <w:t>Year to Last Day</w:t>
            </w:r>
          </w:p>
        </w:tc>
        <w:tc>
          <w:tcPr>
            <w:tcW w:w="260" w:type="dxa"/>
            <w:vAlign w:val="bottom"/>
            <w:shd w:val="clear" w:color="auto" w:fill="4834BA"/>
          </w:tcPr>
          <w:p>
            <w:pPr>
              <w:spacing w:after="0"/>
              <w:rPr>
                <w:sz w:val="16"/>
                <w:szCs w:val="16"/>
                <w:color w:val="auto"/>
              </w:rPr>
            </w:pPr>
          </w:p>
        </w:tc>
        <w:tc>
          <w:tcPr>
            <w:tcW w:w="80" w:type="dxa"/>
            <w:vAlign w:val="bottom"/>
            <w:shd w:val="clear" w:color="auto" w:fill="4834BA"/>
          </w:tcPr>
          <w:p>
            <w:pPr>
              <w:spacing w:after="0"/>
              <w:rPr>
                <w:sz w:val="16"/>
                <w:szCs w:val="16"/>
                <w:color w:val="auto"/>
              </w:rPr>
            </w:pPr>
          </w:p>
        </w:tc>
        <w:tc>
          <w:tcPr>
            <w:tcW w:w="1300" w:type="dxa"/>
            <w:vAlign w:val="bottom"/>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rPr>
              <w:t>Equity Awards</w:t>
            </w:r>
          </w:p>
        </w:tc>
        <w:tc>
          <w:tcPr>
            <w:tcW w:w="1660" w:type="dxa"/>
            <w:vAlign w:val="bottom"/>
            <w:gridSpan w:val="3"/>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Date of Unvested</w:t>
            </w:r>
          </w:p>
        </w:tc>
        <w:tc>
          <w:tcPr>
            <w:tcW w:w="280" w:type="dxa"/>
            <w:vAlign w:val="bottom"/>
            <w:shd w:val="clear" w:color="auto" w:fill="4834BA"/>
          </w:tcPr>
          <w:p>
            <w:pPr>
              <w:spacing w:after="0"/>
              <w:rPr>
                <w:sz w:val="16"/>
                <w:szCs w:val="16"/>
                <w:color w:val="auto"/>
              </w:rPr>
            </w:pPr>
          </w:p>
        </w:tc>
        <w:tc>
          <w:tcPr>
            <w:tcW w:w="60" w:type="dxa"/>
            <w:vAlign w:val="bottom"/>
            <w:shd w:val="clear" w:color="auto" w:fill="4834BA"/>
          </w:tcPr>
          <w:p>
            <w:pPr>
              <w:spacing w:after="0"/>
              <w:rPr>
                <w:sz w:val="16"/>
                <w:szCs w:val="16"/>
                <w:color w:val="auto"/>
              </w:rPr>
            </w:pPr>
          </w:p>
        </w:tc>
        <w:tc>
          <w:tcPr>
            <w:tcW w:w="1220" w:type="dxa"/>
            <w:vAlign w:val="bottom"/>
            <w:tcBorders>
              <w:right w:val="single" w:sz="8" w:color="4834BA"/>
            </w:tcBorders>
            <w:vMerge w:val="restart"/>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w w:val="92"/>
              </w:rPr>
              <w:t>Total – Average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0" w:type="dxa"/>
            <w:vAlign w:val="bottom"/>
            <w:shd w:val="clear" w:color="auto" w:fill="4834BA"/>
          </w:tcPr>
          <w:p>
            <w:pPr>
              <w:spacing w:after="0"/>
              <w:rPr>
                <w:sz w:val="15"/>
                <w:szCs w:val="15"/>
                <w:color w:val="auto"/>
              </w:rPr>
            </w:pPr>
          </w:p>
        </w:tc>
        <w:tc>
          <w:tcPr>
            <w:tcW w:w="420" w:type="dxa"/>
            <w:vAlign w:val="bottom"/>
            <w:shd w:val="clear" w:color="auto" w:fill="4834BA"/>
          </w:tcPr>
          <w:p>
            <w:pPr>
              <w:spacing w:after="0"/>
              <w:rPr>
                <w:sz w:val="15"/>
                <w:szCs w:val="15"/>
                <w:color w:val="auto"/>
              </w:rPr>
            </w:pPr>
          </w:p>
        </w:tc>
        <w:tc>
          <w:tcPr>
            <w:tcW w:w="200" w:type="dxa"/>
            <w:vAlign w:val="bottom"/>
            <w:shd w:val="clear" w:color="auto" w:fill="4834BA"/>
          </w:tcPr>
          <w:p>
            <w:pPr>
              <w:spacing w:after="0"/>
              <w:rPr>
                <w:sz w:val="15"/>
                <w:szCs w:val="15"/>
                <w:color w:val="auto"/>
              </w:rPr>
            </w:pPr>
          </w:p>
        </w:tc>
        <w:tc>
          <w:tcPr>
            <w:tcW w:w="1280" w:type="dxa"/>
            <w:vAlign w:val="bottom"/>
            <w:shd w:val="clear" w:color="auto" w:fill="4834BA"/>
          </w:tcPr>
          <w:p>
            <w:pPr>
              <w:jc w:val="right"/>
              <w:ind w:right="59"/>
              <w:spacing w:after="0" w:line="175" w:lineRule="exact"/>
              <w:rPr>
                <w:sz w:val="20"/>
                <w:szCs w:val="20"/>
                <w:color w:val="auto"/>
              </w:rPr>
            </w:pPr>
            <w:r>
              <w:rPr>
                <w:rFonts w:ascii="Arial" w:cs="Arial" w:eastAsia="Arial" w:hAnsi="Arial"/>
                <w:sz w:val="16"/>
                <w:szCs w:val="16"/>
                <w:b w:val="1"/>
                <w:bCs w:val="1"/>
                <w:color w:val="FFFFFF"/>
              </w:rPr>
              <w:t>Remained</w:t>
            </w:r>
          </w:p>
        </w:tc>
        <w:tc>
          <w:tcPr>
            <w:tcW w:w="280" w:type="dxa"/>
            <w:vAlign w:val="bottom"/>
            <w:shd w:val="clear" w:color="auto" w:fill="4834BA"/>
          </w:tcPr>
          <w:p>
            <w:pPr>
              <w:spacing w:after="0"/>
              <w:rPr>
                <w:sz w:val="15"/>
                <w:szCs w:val="15"/>
                <w:color w:val="auto"/>
              </w:rPr>
            </w:pPr>
          </w:p>
        </w:tc>
        <w:tc>
          <w:tcPr>
            <w:tcW w:w="20" w:type="dxa"/>
            <w:vAlign w:val="bottom"/>
            <w:shd w:val="clear" w:color="auto" w:fill="4834BA"/>
          </w:tcPr>
          <w:p>
            <w:pPr>
              <w:spacing w:after="0"/>
              <w:rPr>
                <w:sz w:val="15"/>
                <w:szCs w:val="15"/>
                <w:color w:val="auto"/>
              </w:rPr>
            </w:pPr>
          </w:p>
        </w:tc>
        <w:tc>
          <w:tcPr>
            <w:tcW w:w="1360" w:type="dxa"/>
            <w:vAlign w:val="bottom"/>
            <w:shd w:val="clear" w:color="auto" w:fill="4834BA"/>
          </w:tcPr>
          <w:p>
            <w:pPr>
              <w:jc w:val="right"/>
              <w:ind w:right="79"/>
              <w:spacing w:after="0" w:line="175" w:lineRule="exact"/>
              <w:rPr>
                <w:sz w:val="20"/>
                <w:szCs w:val="20"/>
                <w:color w:val="auto"/>
              </w:rPr>
            </w:pPr>
            <w:r>
              <w:rPr>
                <w:rFonts w:ascii="Arial" w:cs="Arial" w:eastAsia="Arial" w:hAnsi="Arial"/>
                <w:sz w:val="16"/>
                <w:szCs w:val="16"/>
                <w:b w:val="1"/>
                <w:bCs w:val="1"/>
                <w:color w:val="FFFFFF"/>
              </w:rPr>
              <w:t>of Year of</w:t>
            </w:r>
          </w:p>
        </w:tc>
        <w:tc>
          <w:tcPr>
            <w:tcW w:w="260" w:type="dxa"/>
            <w:vAlign w:val="bottom"/>
            <w:shd w:val="clear" w:color="auto" w:fill="4834BA"/>
          </w:tcPr>
          <w:p>
            <w:pPr>
              <w:spacing w:after="0"/>
              <w:rPr>
                <w:sz w:val="15"/>
                <w:szCs w:val="15"/>
                <w:color w:val="auto"/>
              </w:rPr>
            </w:pPr>
          </w:p>
        </w:tc>
        <w:tc>
          <w:tcPr>
            <w:tcW w:w="80" w:type="dxa"/>
            <w:vAlign w:val="bottom"/>
            <w:shd w:val="clear" w:color="auto" w:fill="4834BA"/>
          </w:tcPr>
          <w:p>
            <w:pPr>
              <w:spacing w:after="0"/>
              <w:rPr>
                <w:sz w:val="15"/>
                <w:szCs w:val="15"/>
                <w:color w:val="auto"/>
              </w:rPr>
            </w:pPr>
          </w:p>
        </w:tc>
        <w:tc>
          <w:tcPr>
            <w:tcW w:w="1300" w:type="dxa"/>
            <w:vAlign w:val="bottom"/>
            <w:shd w:val="clear" w:color="auto" w:fill="4834BA"/>
          </w:tcPr>
          <w:p>
            <w:pPr>
              <w:jc w:val="right"/>
              <w:ind w:right="59"/>
              <w:spacing w:after="0" w:line="175" w:lineRule="exact"/>
              <w:rPr>
                <w:sz w:val="20"/>
                <w:szCs w:val="20"/>
                <w:color w:val="auto"/>
              </w:rPr>
            </w:pPr>
            <w:r>
              <w:rPr>
                <w:rFonts w:ascii="Arial" w:cs="Arial" w:eastAsia="Arial" w:hAnsi="Arial"/>
                <w:sz w:val="16"/>
                <w:szCs w:val="16"/>
                <w:b w:val="1"/>
                <w:bCs w:val="1"/>
                <w:color w:val="FFFFFF"/>
                <w:w w:val="97"/>
              </w:rPr>
              <w:t>Granted During</w:t>
            </w:r>
          </w:p>
        </w:tc>
        <w:tc>
          <w:tcPr>
            <w:tcW w:w="26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340" w:type="dxa"/>
            <w:vAlign w:val="bottom"/>
            <w:shd w:val="clear" w:color="auto" w:fill="4834BA"/>
          </w:tcPr>
          <w:p>
            <w:pPr>
              <w:jc w:val="right"/>
              <w:ind w:right="79"/>
              <w:spacing w:after="0" w:line="175" w:lineRule="exact"/>
              <w:rPr>
                <w:sz w:val="20"/>
                <w:szCs w:val="20"/>
                <w:color w:val="auto"/>
              </w:rPr>
            </w:pPr>
            <w:r>
              <w:rPr>
                <w:rFonts w:ascii="Arial" w:cs="Arial" w:eastAsia="Arial" w:hAnsi="Arial"/>
                <w:sz w:val="16"/>
                <w:szCs w:val="16"/>
                <w:b w:val="1"/>
                <w:bCs w:val="1"/>
                <w:color w:val="FFFFFF"/>
              </w:rPr>
              <w:t>Equity Awards</w:t>
            </w:r>
          </w:p>
        </w:tc>
        <w:tc>
          <w:tcPr>
            <w:tcW w:w="28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220" w:type="dxa"/>
            <w:vAlign w:val="bottom"/>
            <w:tcBorders>
              <w:right w:val="single" w:sz="8" w:color="4834BA"/>
            </w:tcBorders>
            <w:vMerge w:val="continue"/>
            <w:shd w:val="clear" w:color="auto" w:fill="4834BA"/>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4834BA"/>
          </w:tcPr>
          <w:p>
            <w:pPr>
              <w:spacing w:after="0"/>
              <w:rPr>
                <w:sz w:val="16"/>
                <w:szCs w:val="16"/>
                <w:color w:val="auto"/>
              </w:rPr>
            </w:pPr>
          </w:p>
        </w:tc>
        <w:tc>
          <w:tcPr>
            <w:tcW w:w="420" w:type="dxa"/>
            <w:vAlign w:val="bottom"/>
            <w:shd w:val="clear" w:color="auto" w:fill="4834BA"/>
          </w:tcPr>
          <w:p>
            <w:pPr>
              <w:spacing w:after="0"/>
              <w:rPr>
                <w:sz w:val="16"/>
                <w:szCs w:val="16"/>
                <w:color w:val="auto"/>
              </w:rPr>
            </w:pPr>
          </w:p>
        </w:tc>
        <w:tc>
          <w:tcPr>
            <w:tcW w:w="200" w:type="dxa"/>
            <w:vAlign w:val="bottom"/>
            <w:shd w:val="clear" w:color="auto" w:fill="4834BA"/>
          </w:tcPr>
          <w:p>
            <w:pPr>
              <w:spacing w:after="0"/>
              <w:rPr>
                <w:sz w:val="16"/>
                <w:szCs w:val="16"/>
                <w:color w:val="auto"/>
              </w:rPr>
            </w:pPr>
          </w:p>
        </w:tc>
        <w:tc>
          <w:tcPr>
            <w:tcW w:w="1280" w:type="dxa"/>
            <w:vAlign w:val="bottom"/>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w w:val="98"/>
              </w:rPr>
              <w:t>Unvested as of</w:t>
            </w:r>
          </w:p>
        </w:tc>
        <w:tc>
          <w:tcPr>
            <w:tcW w:w="280" w:type="dxa"/>
            <w:vAlign w:val="bottom"/>
            <w:shd w:val="clear" w:color="auto" w:fill="4834BA"/>
          </w:tcPr>
          <w:p>
            <w:pPr>
              <w:spacing w:after="0"/>
              <w:rPr>
                <w:sz w:val="16"/>
                <w:szCs w:val="16"/>
                <w:color w:val="auto"/>
              </w:rPr>
            </w:pPr>
          </w:p>
        </w:tc>
        <w:tc>
          <w:tcPr>
            <w:tcW w:w="20" w:type="dxa"/>
            <w:vAlign w:val="bottom"/>
            <w:shd w:val="clear" w:color="auto" w:fill="4834BA"/>
          </w:tcPr>
          <w:p>
            <w:pPr>
              <w:spacing w:after="0"/>
              <w:rPr>
                <w:sz w:val="16"/>
                <w:szCs w:val="16"/>
                <w:color w:val="auto"/>
              </w:rPr>
            </w:pPr>
          </w:p>
        </w:tc>
        <w:tc>
          <w:tcPr>
            <w:tcW w:w="136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w w:val="94"/>
              </w:rPr>
              <w:t>Unvested Equity</w:t>
            </w:r>
          </w:p>
        </w:tc>
        <w:tc>
          <w:tcPr>
            <w:tcW w:w="260" w:type="dxa"/>
            <w:vAlign w:val="bottom"/>
            <w:shd w:val="clear" w:color="auto" w:fill="4834BA"/>
          </w:tcPr>
          <w:p>
            <w:pPr>
              <w:spacing w:after="0"/>
              <w:rPr>
                <w:sz w:val="16"/>
                <w:szCs w:val="16"/>
                <w:color w:val="auto"/>
              </w:rPr>
            </w:pPr>
          </w:p>
        </w:tc>
        <w:tc>
          <w:tcPr>
            <w:tcW w:w="1380" w:type="dxa"/>
            <w:vAlign w:val="bottom"/>
            <w:gridSpan w:val="2"/>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w w:val="97"/>
              </w:rPr>
              <w:t>Year that Vested</w:t>
            </w:r>
          </w:p>
        </w:tc>
        <w:tc>
          <w:tcPr>
            <w:tcW w:w="260" w:type="dxa"/>
            <w:vAlign w:val="bottom"/>
            <w:shd w:val="clear" w:color="auto" w:fill="4834BA"/>
          </w:tcPr>
          <w:p>
            <w:pPr>
              <w:spacing w:after="0"/>
              <w:rPr>
                <w:sz w:val="16"/>
                <w:szCs w:val="16"/>
                <w:color w:val="auto"/>
              </w:rPr>
            </w:pPr>
          </w:p>
        </w:tc>
        <w:tc>
          <w:tcPr>
            <w:tcW w:w="60" w:type="dxa"/>
            <w:vAlign w:val="bottom"/>
            <w:shd w:val="clear" w:color="auto" w:fill="4834BA"/>
          </w:tcPr>
          <w:p>
            <w:pPr>
              <w:spacing w:after="0"/>
              <w:rPr>
                <w:sz w:val="16"/>
                <w:szCs w:val="16"/>
                <w:color w:val="auto"/>
              </w:rPr>
            </w:pPr>
          </w:p>
        </w:tc>
        <w:tc>
          <w:tcPr>
            <w:tcW w:w="134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rPr>
              <w:t>that Vested</w:t>
            </w:r>
          </w:p>
        </w:tc>
        <w:tc>
          <w:tcPr>
            <w:tcW w:w="280" w:type="dxa"/>
            <w:vAlign w:val="bottom"/>
            <w:shd w:val="clear" w:color="auto" w:fill="4834BA"/>
          </w:tcPr>
          <w:p>
            <w:pPr>
              <w:spacing w:after="0"/>
              <w:rPr>
                <w:sz w:val="16"/>
                <w:szCs w:val="16"/>
                <w:color w:val="auto"/>
              </w:rPr>
            </w:pPr>
          </w:p>
        </w:tc>
        <w:tc>
          <w:tcPr>
            <w:tcW w:w="60" w:type="dxa"/>
            <w:vAlign w:val="bottom"/>
            <w:shd w:val="clear" w:color="auto" w:fill="4834BA"/>
          </w:tcPr>
          <w:p>
            <w:pPr>
              <w:spacing w:after="0"/>
              <w:rPr>
                <w:sz w:val="16"/>
                <w:szCs w:val="16"/>
                <w:color w:val="auto"/>
              </w:rPr>
            </w:pPr>
          </w:p>
        </w:tc>
        <w:tc>
          <w:tcPr>
            <w:tcW w:w="1220" w:type="dxa"/>
            <w:vAlign w:val="bottom"/>
            <w:tcBorders>
              <w:right w:val="single" w:sz="8" w:color="4834BA"/>
            </w:tcBorders>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Inclusion of</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0" w:type="dxa"/>
            <w:vAlign w:val="bottom"/>
            <w:shd w:val="clear" w:color="auto" w:fill="4834BA"/>
          </w:tcPr>
          <w:p>
            <w:pPr>
              <w:spacing w:after="0"/>
              <w:rPr>
                <w:sz w:val="15"/>
                <w:szCs w:val="15"/>
                <w:color w:val="auto"/>
              </w:rPr>
            </w:pPr>
          </w:p>
        </w:tc>
        <w:tc>
          <w:tcPr>
            <w:tcW w:w="420" w:type="dxa"/>
            <w:vAlign w:val="bottom"/>
            <w:shd w:val="clear" w:color="auto" w:fill="4834BA"/>
          </w:tcPr>
          <w:p>
            <w:pPr>
              <w:spacing w:after="0"/>
              <w:rPr>
                <w:sz w:val="15"/>
                <w:szCs w:val="15"/>
                <w:color w:val="auto"/>
              </w:rPr>
            </w:pPr>
          </w:p>
        </w:tc>
        <w:tc>
          <w:tcPr>
            <w:tcW w:w="1480" w:type="dxa"/>
            <w:vAlign w:val="bottom"/>
            <w:gridSpan w:val="2"/>
            <w:shd w:val="clear" w:color="auto" w:fill="4834BA"/>
          </w:tcPr>
          <w:p>
            <w:pPr>
              <w:jc w:val="right"/>
              <w:ind w:right="59"/>
              <w:spacing w:after="0" w:line="175" w:lineRule="exact"/>
              <w:rPr>
                <w:sz w:val="20"/>
                <w:szCs w:val="20"/>
                <w:color w:val="auto"/>
              </w:rPr>
            </w:pPr>
            <w:r>
              <w:rPr>
                <w:rFonts w:ascii="Arial" w:cs="Arial" w:eastAsia="Arial" w:hAnsi="Arial"/>
                <w:sz w:val="16"/>
                <w:szCs w:val="16"/>
                <w:b w:val="1"/>
                <w:bCs w:val="1"/>
                <w:color w:val="FFFFFF"/>
              </w:rPr>
              <w:t>Last Day of Year</w:t>
            </w:r>
          </w:p>
        </w:tc>
        <w:tc>
          <w:tcPr>
            <w:tcW w:w="280" w:type="dxa"/>
            <w:vAlign w:val="bottom"/>
            <w:shd w:val="clear" w:color="auto" w:fill="4834BA"/>
          </w:tcPr>
          <w:p>
            <w:pPr>
              <w:spacing w:after="0"/>
              <w:rPr>
                <w:sz w:val="15"/>
                <w:szCs w:val="15"/>
                <w:color w:val="auto"/>
              </w:rPr>
            </w:pPr>
          </w:p>
        </w:tc>
        <w:tc>
          <w:tcPr>
            <w:tcW w:w="20" w:type="dxa"/>
            <w:vAlign w:val="bottom"/>
            <w:shd w:val="clear" w:color="auto" w:fill="4834BA"/>
          </w:tcPr>
          <w:p>
            <w:pPr>
              <w:spacing w:after="0"/>
              <w:rPr>
                <w:sz w:val="15"/>
                <w:szCs w:val="15"/>
                <w:color w:val="auto"/>
              </w:rPr>
            </w:pPr>
          </w:p>
        </w:tc>
        <w:tc>
          <w:tcPr>
            <w:tcW w:w="1360" w:type="dxa"/>
            <w:vAlign w:val="bottom"/>
            <w:shd w:val="clear" w:color="auto" w:fill="4834BA"/>
          </w:tcPr>
          <w:p>
            <w:pPr>
              <w:jc w:val="right"/>
              <w:ind w:right="79"/>
              <w:spacing w:after="0" w:line="175" w:lineRule="exact"/>
              <w:rPr>
                <w:sz w:val="20"/>
                <w:szCs w:val="20"/>
                <w:color w:val="auto"/>
              </w:rPr>
            </w:pPr>
            <w:r>
              <w:rPr>
                <w:rFonts w:ascii="Arial" w:cs="Arial" w:eastAsia="Arial" w:hAnsi="Arial"/>
                <w:sz w:val="16"/>
                <w:szCs w:val="16"/>
                <w:b w:val="1"/>
                <w:bCs w:val="1"/>
                <w:color w:val="FFFFFF"/>
              </w:rPr>
              <w:t>Awards for</w:t>
            </w:r>
          </w:p>
        </w:tc>
        <w:tc>
          <w:tcPr>
            <w:tcW w:w="260" w:type="dxa"/>
            <w:vAlign w:val="bottom"/>
            <w:shd w:val="clear" w:color="auto" w:fill="4834BA"/>
          </w:tcPr>
          <w:p>
            <w:pPr>
              <w:spacing w:after="0"/>
              <w:rPr>
                <w:sz w:val="15"/>
                <w:szCs w:val="15"/>
                <w:color w:val="auto"/>
              </w:rPr>
            </w:pPr>
          </w:p>
        </w:tc>
        <w:tc>
          <w:tcPr>
            <w:tcW w:w="80" w:type="dxa"/>
            <w:vAlign w:val="bottom"/>
            <w:shd w:val="clear" w:color="auto" w:fill="4834BA"/>
          </w:tcPr>
          <w:p>
            <w:pPr>
              <w:spacing w:after="0"/>
              <w:rPr>
                <w:sz w:val="15"/>
                <w:szCs w:val="15"/>
                <w:color w:val="auto"/>
              </w:rPr>
            </w:pPr>
          </w:p>
        </w:tc>
        <w:tc>
          <w:tcPr>
            <w:tcW w:w="1300" w:type="dxa"/>
            <w:vAlign w:val="bottom"/>
            <w:shd w:val="clear" w:color="auto" w:fill="4834BA"/>
          </w:tcPr>
          <w:p>
            <w:pPr>
              <w:jc w:val="right"/>
              <w:ind w:right="59"/>
              <w:spacing w:after="0" w:line="175" w:lineRule="exact"/>
              <w:rPr>
                <w:sz w:val="20"/>
                <w:szCs w:val="20"/>
                <w:color w:val="auto"/>
              </w:rPr>
            </w:pPr>
            <w:r>
              <w:rPr>
                <w:rFonts w:ascii="Arial" w:cs="Arial" w:eastAsia="Arial" w:hAnsi="Arial"/>
                <w:sz w:val="16"/>
                <w:szCs w:val="16"/>
                <w:b w:val="1"/>
                <w:bCs w:val="1"/>
                <w:color w:val="FFFFFF"/>
                <w:w w:val="97"/>
              </w:rPr>
              <w:t>During Year for</w:t>
            </w:r>
          </w:p>
        </w:tc>
        <w:tc>
          <w:tcPr>
            <w:tcW w:w="260" w:type="dxa"/>
            <w:vAlign w:val="bottom"/>
            <w:shd w:val="clear" w:color="auto" w:fill="4834BA"/>
          </w:tcPr>
          <w:p>
            <w:pPr>
              <w:spacing w:after="0"/>
              <w:rPr>
                <w:sz w:val="15"/>
                <w:szCs w:val="15"/>
                <w:color w:val="auto"/>
              </w:rPr>
            </w:pPr>
          </w:p>
        </w:tc>
        <w:tc>
          <w:tcPr>
            <w:tcW w:w="60" w:type="dxa"/>
            <w:vAlign w:val="bottom"/>
            <w:shd w:val="clear" w:color="auto" w:fill="4834BA"/>
          </w:tcPr>
          <w:p>
            <w:pPr>
              <w:spacing w:after="0"/>
              <w:rPr>
                <w:sz w:val="15"/>
                <w:szCs w:val="15"/>
                <w:color w:val="auto"/>
              </w:rPr>
            </w:pPr>
          </w:p>
        </w:tc>
        <w:tc>
          <w:tcPr>
            <w:tcW w:w="1340" w:type="dxa"/>
            <w:vAlign w:val="bottom"/>
            <w:shd w:val="clear" w:color="auto" w:fill="4834BA"/>
          </w:tcPr>
          <w:p>
            <w:pPr>
              <w:jc w:val="right"/>
              <w:ind w:right="79"/>
              <w:spacing w:after="0" w:line="175" w:lineRule="exact"/>
              <w:rPr>
                <w:sz w:val="20"/>
                <w:szCs w:val="20"/>
                <w:color w:val="auto"/>
              </w:rPr>
            </w:pPr>
            <w:r>
              <w:rPr>
                <w:rFonts w:ascii="Arial" w:cs="Arial" w:eastAsia="Arial" w:hAnsi="Arial"/>
                <w:sz w:val="16"/>
                <w:szCs w:val="16"/>
                <w:b w:val="1"/>
                <w:bCs w:val="1"/>
                <w:color w:val="FFFFFF"/>
                <w:w w:val="99"/>
              </w:rPr>
              <w:t>During Year for</w:t>
            </w:r>
          </w:p>
        </w:tc>
        <w:tc>
          <w:tcPr>
            <w:tcW w:w="1560" w:type="dxa"/>
            <w:vAlign w:val="bottom"/>
            <w:tcBorders>
              <w:right w:val="single" w:sz="8" w:color="4834BA"/>
            </w:tcBorders>
            <w:gridSpan w:val="3"/>
            <w:shd w:val="clear" w:color="auto" w:fill="4834BA"/>
          </w:tcPr>
          <w:p>
            <w:pPr>
              <w:jc w:val="right"/>
              <w:ind w:right="39"/>
              <w:spacing w:after="0" w:line="175" w:lineRule="exact"/>
              <w:rPr>
                <w:sz w:val="20"/>
                <w:szCs w:val="20"/>
                <w:color w:val="auto"/>
              </w:rPr>
            </w:pPr>
            <w:r>
              <w:rPr>
                <w:rFonts w:ascii="Arial" w:cs="Arial" w:eastAsia="Arial" w:hAnsi="Arial"/>
                <w:sz w:val="16"/>
                <w:szCs w:val="16"/>
                <w:b w:val="1"/>
                <w:bCs w:val="1"/>
                <w:color w:val="FFFFFF"/>
              </w:rPr>
              <w:t>Equity Values for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vMerge w:val="restart"/>
            <w:shd w:val="clear" w:color="auto" w:fill="4834BA"/>
          </w:tcPr>
          <w:p>
            <w:pPr>
              <w:ind w:left="60"/>
              <w:spacing w:after="0"/>
              <w:rPr>
                <w:sz w:val="20"/>
                <w:szCs w:val="20"/>
                <w:color w:val="auto"/>
              </w:rPr>
            </w:pPr>
            <w:r>
              <w:rPr>
                <w:rFonts w:ascii="Arial" w:cs="Arial" w:eastAsia="Arial" w:hAnsi="Arial"/>
                <w:sz w:val="16"/>
                <w:szCs w:val="16"/>
                <w:b w:val="1"/>
                <w:bCs w:val="1"/>
                <w:color w:val="FFFFFF"/>
              </w:rPr>
              <w:t>Year</w:t>
            </w:r>
          </w:p>
        </w:tc>
        <w:tc>
          <w:tcPr>
            <w:tcW w:w="1900" w:type="dxa"/>
            <w:vAlign w:val="bottom"/>
            <w:gridSpan w:val="3"/>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rPr>
              <w:t>for Non-PEO NEOs</w:t>
            </w:r>
          </w:p>
        </w:tc>
        <w:tc>
          <w:tcPr>
            <w:tcW w:w="280" w:type="dxa"/>
            <w:vAlign w:val="bottom"/>
            <w:shd w:val="clear" w:color="auto" w:fill="4834BA"/>
          </w:tcPr>
          <w:p>
            <w:pPr>
              <w:spacing w:after="0"/>
              <w:rPr>
                <w:sz w:val="16"/>
                <w:szCs w:val="16"/>
                <w:color w:val="auto"/>
              </w:rPr>
            </w:pPr>
          </w:p>
        </w:tc>
        <w:tc>
          <w:tcPr>
            <w:tcW w:w="20" w:type="dxa"/>
            <w:vAlign w:val="bottom"/>
            <w:shd w:val="clear" w:color="auto" w:fill="4834BA"/>
          </w:tcPr>
          <w:p>
            <w:pPr>
              <w:spacing w:after="0"/>
              <w:rPr>
                <w:sz w:val="16"/>
                <w:szCs w:val="16"/>
                <w:color w:val="auto"/>
              </w:rPr>
            </w:pPr>
          </w:p>
        </w:tc>
        <w:tc>
          <w:tcPr>
            <w:tcW w:w="136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w w:val="99"/>
              </w:rPr>
              <w:t>Non-PEO NEOs</w:t>
            </w:r>
          </w:p>
        </w:tc>
        <w:tc>
          <w:tcPr>
            <w:tcW w:w="260" w:type="dxa"/>
            <w:vAlign w:val="bottom"/>
            <w:shd w:val="clear" w:color="auto" w:fill="4834BA"/>
          </w:tcPr>
          <w:p>
            <w:pPr>
              <w:spacing w:after="0"/>
              <w:rPr>
                <w:sz w:val="16"/>
                <w:szCs w:val="16"/>
                <w:color w:val="auto"/>
              </w:rPr>
            </w:pPr>
          </w:p>
        </w:tc>
        <w:tc>
          <w:tcPr>
            <w:tcW w:w="80" w:type="dxa"/>
            <w:vAlign w:val="bottom"/>
            <w:shd w:val="clear" w:color="auto" w:fill="4834BA"/>
          </w:tcPr>
          <w:p>
            <w:pPr>
              <w:spacing w:after="0"/>
              <w:rPr>
                <w:sz w:val="16"/>
                <w:szCs w:val="16"/>
                <w:color w:val="auto"/>
              </w:rPr>
            </w:pPr>
          </w:p>
        </w:tc>
        <w:tc>
          <w:tcPr>
            <w:tcW w:w="130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w w:val="94"/>
              </w:rPr>
              <w:t>Non-PEO NEOs</w:t>
            </w:r>
          </w:p>
        </w:tc>
        <w:tc>
          <w:tcPr>
            <w:tcW w:w="260" w:type="dxa"/>
            <w:vAlign w:val="bottom"/>
            <w:shd w:val="clear" w:color="auto" w:fill="4834BA"/>
          </w:tcPr>
          <w:p>
            <w:pPr>
              <w:spacing w:after="0"/>
              <w:rPr>
                <w:sz w:val="16"/>
                <w:szCs w:val="16"/>
                <w:color w:val="auto"/>
              </w:rPr>
            </w:pPr>
          </w:p>
        </w:tc>
        <w:tc>
          <w:tcPr>
            <w:tcW w:w="60" w:type="dxa"/>
            <w:vAlign w:val="bottom"/>
            <w:shd w:val="clear" w:color="auto" w:fill="4834BA"/>
          </w:tcPr>
          <w:p>
            <w:pPr>
              <w:spacing w:after="0"/>
              <w:rPr>
                <w:sz w:val="16"/>
                <w:szCs w:val="16"/>
                <w:color w:val="auto"/>
              </w:rPr>
            </w:pPr>
          </w:p>
        </w:tc>
        <w:tc>
          <w:tcPr>
            <w:tcW w:w="1340" w:type="dxa"/>
            <w:vAlign w:val="bottom"/>
            <w:shd w:val="clear" w:color="auto" w:fill="4834BA"/>
          </w:tcPr>
          <w:p>
            <w:pPr>
              <w:jc w:val="right"/>
              <w:ind w:right="79"/>
              <w:spacing w:after="0"/>
              <w:rPr>
                <w:sz w:val="20"/>
                <w:szCs w:val="20"/>
                <w:color w:val="auto"/>
              </w:rPr>
            </w:pPr>
            <w:r>
              <w:rPr>
                <w:rFonts w:ascii="Arial" w:cs="Arial" w:eastAsia="Arial" w:hAnsi="Arial"/>
                <w:sz w:val="16"/>
                <w:szCs w:val="16"/>
                <w:b w:val="1"/>
                <w:bCs w:val="1"/>
                <w:color w:val="FFFFFF"/>
                <w:w w:val="98"/>
              </w:rPr>
              <w:t>Non-PEO NEOs</w:t>
            </w:r>
          </w:p>
        </w:tc>
        <w:tc>
          <w:tcPr>
            <w:tcW w:w="280" w:type="dxa"/>
            <w:vAlign w:val="bottom"/>
            <w:shd w:val="clear" w:color="auto" w:fill="4834BA"/>
          </w:tcPr>
          <w:p>
            <w:pPr>
              <w:spacing w:after="0"/>
              <w:rPr>
                <w:sz w:val="16"/>
                <w:szCs w:val="16"/>
                <w:color w:val="auto"/>
              </w:rPr>
            </w:pPr>
          </w:p>
        </w:tc>
        <w:tc>
          <w:tcPr>
            <w:tcW w:w="1280" w:type="dxa"/>
            <w:vAlign w:val="bottom"/>
            <w:tcBorders>
              <w:right w:val="single" w:sz="8" w:color="4834BA"/>
            </w:tcBorders>
            <w:gridSpan w:val="2"/>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w w:val="96"/>
              </w:rPr>
              <w:t>Non-PEO NEOs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00" w:type="dxa"/>
            <w:vAlign w:val="bottom"/>
            <w:vMerge w:val="continue"/>
            <w:shd w:val="clear" w:color="auto" w:fill="4834BA"/>
          </w:tcPr>
          <w:p>
            <w:pPr>
              <w:spacing w:after="0"/>
              <w:rPr>
                <w:sz w:val="14"/>
                <w:szCs w:val="14"/>
                <w:color w:val="auto"/>
              </w:rPr>
            </w:pPr>
          </w:p>
        </w:tc>
        <w:tc>
          <w:tcPr>
            <w:tcW w:w="420" w:type="dxa"/>
            <w:vAlign w:val="bottom"/>
            <w:vMerge w:val="restart"/>
            <w:shd w:val="clear" w:color="auto" w:fill="4834BA"/>
          </w:tcPr>
          <w:p>
            <w:pPr>
              <w:ind w:left="200"/>
              <w:spacing w:after="0"/>
              <w:rPr>
                <w:sz w:val="20"/>
                <w:szCs w:val="20"/>
                <w:color w:val="auto"/>
              </w:rPr>
            </w:pPr>
            <w:r>
              <w:rPr>
                <w:rFonts w:ascii="Arial" w:cs="Arial" w:eastAsia="Arial" w:hAnsi="Arial"/>
                <w:sz w:val="16"/>
                <w:szCs w:val="16"/>
                <w:b w:val="1"/>
                <w:bCs w:val="1"/>
                <w:color w:val="FFFFFF"/>
              </w:rPr>
              <w:t>​  ​</w:t>
            </w:r>
          </w:p>
        </w:tc>
        <w:tc>
          <w:tcPr>
            <w:tcW w:w="200" w:type="dxa"/>
            <w:vAlign w:val="bottom"/>
            <w:shd w:val="clear" w:color="auto" w:fill="4834BA"/>
          </w:tcPr>
          <w:p>
            <w:pPr>
              <w:spacing w:after="0"/>
              <w:rPr>
                <w:sz w:val="14"/>
                <w:szCs w:val="14"/>
                <w:color w:val="auto"/>
              </w:rPr>
            </w:pPr>
          </w:p>
        </w:tc>
        <w:tc>
          <w:tcPr>
            <w:tcW w:w="1280" w:type="dxa"/>
            <w:vAlign w:val="bottom"/>
            <w:shd w:val="clear" w:color="auto" w:fill="4834BA"/>
          </w:tcPr>
          <w:p>
            <w:pPr>
              <w:jc w:val="right"/>
              <w:ind w:right="19"/>
              <w:spacing w:after="0" w:line="163" w:lineRule="exact"/>
              <w:rPr>
                <w:sz w:val="20"/>
                <w:szCs w:val="20"/>
                <w:color w:val="auto"/>
              </w:rPr>
            </w:pPr>
            <w:r>
              <w:rPr>
                <w:rFonts w:ascii="Arial" w:cs="Arial" w:eastAsia="Arial" w:hAnsi="Arial"/>
                <w:sz w:val="16"/>
                <w:szCs w:val="16"/>
                <w:b w:val="1"/>
                <w:bCs w:val="1"/>
                <w:color w:val="FFFFFF"/>
              </w:rPr>
              <w:t>($)</w:t>
            </w:r>
          </w:p>
        </w:tc>
        <w:tc>
          <w:tcPr>
            <w:tcW w:w="280" w:type="dxa"/>
            <w:vAlign w:val="bottom"/>
            <w:vMerge w:val="restart"/>
            <w:shd w:val="clear" w:color="auto" w:fill="4834BA"/>
          </w:tcPr>
          <w:p>
            <w:pPr>
              <w:ind w:left="60"/>
              <w:spacing w:after="0"/>
              <w:rPr>
                <w:sz w:val="20"/>
                <w:szCs w:val="20"/>
                <w:color w:val="auto"/>
              </w:rPr>
            </w:pPr>
            <w:r>
              <w:rPr>
                <w:rFonts w:ascii="Arial" w:cs="Arial" w:eastAsia="Arial" w:hAnsi="Arial"/>
                <w:sz w:val="16"/>
                <w:szCs w:val="16"/>
                <w:b w:val="1"/>
                <w:bCs w:val="1"/>
                <w:color w:val="FFFFFF"/>
              </w:rPr>
              <w:t>​  ​</w:t>
            </w:r>
          </w:p>
        </w:tc>
        <w:tc>
          <w:tcPr>
            <w:tcW w:w="20" w:type="dxa"/>
            <w:vAlign w:val="bottom"/>
            <w:shd w:val="clear" w:color="auto" w:fill="4834BA"/>
          </w:tcPr>
          <w:p>
            <w:pPr>
              <w:spacing w:after="0"/>
              <w:rPr>
                <w:sz w:val="14"/>
                <w:szCs w:val="14"/>
                <w:color w:val="auto"/>
              </w:rPr>
            </w:pPr>
          </w:p>
        </w:tc>
        <w:tc>
          <w:tcPr>
            <w:tcW w:w="1360" w:type="dxa"/>
            <w:vAlign w:val="bottom"/>
            <w:shd w:val="clear" w:color="auto" w:fill="4834BA"/>
          </w:tcPr>
          <w:p>
            <w:pPr>
              <w:jc w:val="right"/>
              <w:ind w:right="19"/>
              <w:spacing w:after="0" w:line="163" w:lineRule="exact"/>
              <w:rPr>
                <w:sz w:val="20"/>
                <w:szCs w:val="20"/>
                <w:color w:val="auto"/>
              </w:rPr>
            </w:pPr>
            <w:r>
              <w:rPr>
                <w:rFonts w:ascii="Arial" w:cs="Arial" w:eastAsia="Arial" w:hAnsi="Arial"/>
                <w:sz w:val="16"/>
                <w:szCs w:val="16"/>
                <w:b w:val="1"/>
                <w:bCs w:val="1"/>
                <w:color w:val="FFFFFF"/>
              </w:rPr>
              <w:t>($)</w:t>
            </w:r>
          </w:p>
        </w:tc>
        <w:tc>
          <w:tcPr>
            <w:tcW w:w="260" w:type="dxa"/>
            <w:vAlign w:val="bottom"/>
            <w:vMerge w:val="restart"/>
            <w:shd w:val="clear" w:color="auto" w:fill="4834BA"/>
          </w:tcPr>
          <w:p>
            <w:pPr>
              <w:ind w:left="60"/>
              <w:spacing w:after="0"/>
              <w:rPr>
                <w:sz w:val="20"/>
                <w:szCs w:val="20"/>
                <w:color w:val="auto"/>
              </w:rPr>
            </w:pPr>
            <w:r>
              <w:rPr>
                <w:rFonts w:ascii="Arial" w:cs="Arial" w:eastAsia="Arial" w:hAnsi="Arial"/>
                <w:sz w:val="16"/>
                <w:szCs w:val="16"/>
                <w:b w:val="1"/>
                <w:bCs w:val="1"/>
                <w:color w:val="FFFFFF"/>
              </w:rPr>
              <w:t>​  ​</w:t>
            </w:r>
          </w:p>
        </w:tc>
        <w:tc>
          <w:tcPr>
            <w:tcW w:w="80" w:type="dxa"/>
            <w:vAlign w:val="bottom"/>
            <w:shd w:val="clear" w:color="auto" w:fill="4834BA"/>
          </w:tcPr>
          <w:p>
            <w:pPr>
              <w:spacing w:after="0"/>
              <w:rPr>
                <w:sz w:val="14"/>
                <w:szCs w:val="14"/>
                <w:color w:val="auto"/>
              </w:rPr>
            </w:pPr>
          </w:p>
        </w:tc>
        <w:tc>
          <w:tcPr>
            <w:tcW w:w="1300" w:type="dxa"/>
            <w:vAlign w:val="bottom"/>
            <w:shd w:val="clear" w:color="auto" w:fill="4834BA"/>
          </w:tcPr>
          <w:p>
            <w:pPr>
              <w:jc w:val="right"/>
              <w:ind w:right="19"/>
              <w:spacing w:after="0" w:line="163" w:lineRule="exact"/>
              <w:rPr>
                <w:sz w:val="20"/>
                <w:szCs w:val="20"/>
                <w:color w:val="auto"/>
              </w:rPr>
            </w:pPr>
            <w:r>
              <w:rPr>
                <w:rFonts w:ascii="Arial" w:cs="Arial" w:eastAsia="Arial" w:hAnsi="Arial"/>
                <w:sz w:val="16"/>
                <w:szCs w:val="16"/>
                <w:b w:val="1"/>
                <w:bCs w:val="1"/>
                <w:color w:val="FFFFFF"/>
              </w:rPr>
              <w:t>($)</w:t>
            </w:r>
          </w:p>
        </w:tc>
        <w:tc>
          <w:tcPr>
            <w:tcW w:w="260" w:type="dxa"/>
            <w:vAlign w:val="bottom"/>
            <w:vMerge w:val="restart"/>
            <w:shd w:val="clear" w:color="auto" w:fill="4834BA"/>
          </w:tcPr>
          <w:p>
            <w:pPr>
              <w:ind w:left="60"/>
              <w:spacing w:after="0"/>
              <w:rPr>
                <w:sz w:val="20"/>
                <w:szCs w:val="20"/>
                <w:color w:val="auto"/>
              </w:rPr>
            </w:pPr>
            <w:r>
              <w:rPr>
                <w:rFonts w:ascii="Arial" w:cs="Arial" w:eastAsia="Arial" w:hAnsi="Arial"/>
                <w:sz w:val="16"/>
                <w:szCs w:val="16"/>
                <w:b w:val="1"/>
                <w:bCs w:val="1"/>
                <w:color w:val="FFFFFF"/>
              </w:rPr>
              <w:t>​  ​</w:t>
            </w:r>
          </w:p>
        </w:tc>
        <w:tc>
          <w:tcPr>
            <w:tcW w:w="60" w:type="dxa"/>
            <w:vAlign w:val="bottom"/>
            <w:shd w:val="clear" w:color="auto" w:fill="4834BA"/>
          </w:tcPr>
          <w:p>
            <w:pPr>
              <w:spacing w:after="0"/>
              <w:rPr>
                <w:sz w:val="14"/>
                <w:szCs w:val="14"/>
                <w:color w:val="auto"/>
              </w:rPr>
            </w:pPr>
          </w:p>
        </w:tc>
        <w:tc>
          <w:tcPr>
            <w:tcW w:w="1340" w:type="dxa"/>
            <w:vAlign w:val="bottom"/>
            <w:shd w:val="clear" w:color="auto" w:fill="4834BA"/>
          </w:tcPr>
          <w:p>
            <w:pPr>
              <w:jc w:val="right"/>
              <w:ind w:right="39"/>
              <w:spacing w:after="0" w:line="163" w:lineRule="exact"/>
              <w:rPr>
                <w:sz w:val="20"/>
                <w:szCs w:val="20"/>
                <w:color w:val="auto"/>
              </w:rPr>
            </w:pPr>
            <w:r>
              <w:rPr>
                <w:rFonts w:ascii="Arial" w:cs="Arial" w:eastAsia="Arial" w:hAnsi="Arial"/>
                <w:sz w:val="16"/>
                <w:szCs w:val="16"/>
                <w:b w:val="1"/>
                <w:bCs w:val="1"/>
                <w:color w:val="FFFFFF"/>
              </w:rPr>
              <w:t>($)</w:t>
            </w:r>
          </w:p>
        </w:tc>
        <w:tc>
          <w:tcPr>
            <w:tcW w:w="280" w:type="dxa"/>
            <w:vAlign w:val="bottom"/>
            <w:vMerge w:val="restart"/>
            <w:shd w:val="clear" w:color="auto" w:fill="4834BA"/>
          </w:tcPr>
          <w:p>
            <w:pPr>
              <w:ind w:left="40"/>
              <w:spacing w:after="0"/>
              <w:rPr>
                <w:sz w:val="20"/>
                <w:szCs w:val="20"/>
                <w:color w:val="auto"/>
              </w:rPr>
            </w:pPr>
            <w:r>
              <w:rPr>
                <w:rFonts w:ascii="Arial" w:cs="Arial" w:eastAsia="Arial" w:hAnsi="Arial"/>
                <w:sz w:val="16"/>
                <w:szCs w:val="16"/>
                <w:b w:val="1"/>
                <w:bCs w:val="1"/>
                <w:color w:val="FFFFFF"/>
              </w:rPr>
              <w:t>​  ​</w:t>
            </w:r>
          </w:p>
        </w:tc>
        <w:tc>
          <w:tcPr>
            <w:tcW w:w="60" w:type="dxa"/>
            <w:vAlign w:val="bottom"/>
            <w:shd w:val="clear" w:color="auto" w:fill="4834BA"/>
          </w:tcPr>
          <w:p>
            <w:pPr>
              <w:spacing w:after="0"/>
              <w:rPr>
                <w:sz w:val="14"/>
                <w:szCs w:val="14"/>
                <w:color w:val="auto"/>
              </w:rPr>
            </w:pPr>
          </w:p>
        </w:tc>
        <w:tc>
          <w:tcPr>
            <w:tcW w:w="1220" w:type="dxa"/>
            <w:vAlign w:val="bottom"/>
            <w:tcBorders>
              <w:right w:val="single" w:sz="8" w:color="4834BA"/>
            </w:tcBorders>
            <w:shd w:val="clear" w:color="auto" w:fill="4834BA"/>
          </w:tcPr>
          <w:p>
            <w:pPr>
              <w:jc w:val="right"/>
              <w:spacing w:after="0" w:line="163" w:lineRule="exact"/>
              <w:rPr>
                <w:sz w:val="20"/>
                <w:szCs w:val="20"/>
                <w:color w:val="auto"/>
              </w:rPr>
            </w:pPr>
            <w:r>
              <w:rPr>
                <w:rFonts w:ascii="Arial" w:cs="Arial" w:eastAsia="Arial" w:hAnsi="Arial"/>
                <w:sz w:val="16"/>
                <w:szCs w:val="16"/>
                <w:b w:val="1"/>
                <w:bCs w:val="1"/>
                <w:color w:val="FFFFFF"/>
              </w:rPr>
              <w:t>($)</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48"/>
        </w:trPr>
        <w:tc>
          <w:tcPr>
            <w:tcW w:w="600" w:type="dxa"/>
            <w:vAlign w:val="bottom"/>
            <w:tcBorders>
              <w:bottom w:val="single" w:sz="8" w:color="4834BA"/>
            </w:tcBorders>
            <w:shd w:val="clear" w:color="auto" w:fill="4834BA"/>
          </w:tcPr>
          <w:p>
            <w:pPr>
              <w:ind w:left="60"/>
              <w:spacing w:after="0" w:line="27" w:lineRule="exact"/>
              <w:rPr>
                <w:sz w:val="20"/>
                <w:szCs w:val="20"/>
                <w:color w:val="auto"/>
              </w:rPr>
            </w:pPr>
            <w:r>
              <w:rPr>
                <w:rFonts w:ascii="Arial" w:cs="Arial" w:eastAsia="Arial" w:hAnsi="Arial"/>
                <w:sz w:val="3"/>
                <w:szCs w:val="3"/>
                <w:b w:val="1"/>
                <w:bCs w:val="1"/>
                <w:color w:val="FFFFFF"/>
              </w:rPr>
              <w:t>​</w:t>
            </w:r>
          </w:p>
        </w:tc>
        <w:tc>
          <w:tcPr>
            <w:tcW w:w="420" w:type="dxa"/>
            <w:vAlign w:val="bottom"/>
            <w:tcBorders>
              <w:bottom w:val="single" w:sz="8" w:color="4834BA"/>
            </w:tcBorders>
            <w:vMerge w:val="continue"/>
            <w:shd w:val="clear" w:color="auto" w:fill="4834BA"/>
          </w:tcPr>
          <w:p>
            <w:pPr>
              <w:spacing w:after="0"/>
              <w:rPr>
                <w:sz w:val="4"/>
                <w:szCs w:val="4"/>
                <w:color w:val="auto"/>
              </w:rPr>
            </w:pPr>
          </w:p>
        </w:tc>
        <w:tc>
          <w:tcPr>
            <w:tcW w:w="200" w:type="dxa"/>
            <w:vAlign w:val="bottom"/>
            <w:tcBorders>
              <w:bottom w:val="single" w:sz="8" w:color="4834BA"/>
            </w:tcBorders>
            <w:shd w:val="clear" w:color="auto" w:fill="4834BA"/>
          </w:tcPr>
          <w:p>
            <w:pPr>
              <w:spacing w:after="0"/>
              <w:rPr>
                <w:sz w:val="4"/>
                <w:szCs w:val="4"/>
                <w:color w:val="auto"/>
              </w:rPr>
            </w:pPr>
          </w:p>
        </w:tc>
        <w:tc>
          <w:tcPr>
            <w:tcW w:w="1280" w:type="dxa"/>
            <w:vAlign w:val="bottom"/>
            <w:tcBorders>
              <w:bottom w:val="single" w:sz="8" w:color="4834BA"/>
            </w:tcBorders>
            <w:shd w:val="clear" w:color="auto" w:fill="4834BA"/>
          </w:tcPr>
          <w:p>
            <w:pPr>
              <w:spacing w:after="0"/>
              <w:rPr>
                <w:sz w:val="4"/>
                <w:szCs w:val="4"/>
                <w:color w:val="auto"/>
              </w:rPr>
            </w:pPr>
          </w:p>
        </w:tc>
        <w:tc>
          <w:tcPr>
            <w:tcW w:w="280" w:type="dxa"/>
            <w:vAlign w:val="bottom"/>
            <w:tcBorders>
              <w:bottom w:val="single" w:sz="8" w:color="4834BA"/>
            </w:tcBorders>
            <w:vMerge w:val="continue"/>
            <w:shd w:val="clear" w:color="auto" w:fill="4834BA"/>
          </w:tcPr>
          <w:p>
            <w:pPr>
              <w:spacing w:after="0"/>
              <w:rPr>
                <w:sz w:val="4"/>
                <w:szCs w:val="4"/>
                <w:color w:val="auto"/>
              </w:rPr>
            </w:pPr>
          </w:p>
        </w:tc>
        <w:tc>
          <w:tcPr>
            <w:tcW w:w="20" w:type="dxa"/>
            <w:vAlign w:val="bottom"/>
            <w:tcBorders>
              <w:bottom w:val="single" w:sz="8" w:color="4834BA"/>
            </w:tcBorders>
            <w:shd w:val="clear" w:color="auto" w:fill="4834BA"/>
          </w:tcPr>
          <w:p>
            <w:pPr>
              <w:spacing w:after="0"/>
              <w:rPr>
                <w:sz w:val="4"/>
                <w:szCs w:val="4"/>
                <w:color w:val="auto"/>
              </w:rPr>
            </w:pPr>
          </w:p>
        </w:tc>
        <w:tc>
          <w:tcPr>
            <w:tcW w:w="1360" w:type="dxa"/>
            <w:vAlign w:val="bottom"/>
            <w:tcBorders>
              <w:bottom w:val="single" w:sz="8" w:color="4834BA"/>
            </w:tcBorders>
            <w:shd w:val="clear" w:color="auto" w:fill="4834BA"/>
          </w:tcPr>
          <w:p>
            <w:pPr>
              <w:spacing w:after="0"/>
              <w:rPr>
                <w:sz w:val="4"/>
                <w:szCs w:val="4"/>
                <w:color w:val="auto"/>
              </w:rPr>
            </w:pPr>
          </w:p>
        </w:tc>
        <w:tc>
          <w:tcPr>
            <w:tcW w:w="260" w:type="dxa"/>
            <w:vAlign w:val="bottom"/>
            <w:tcBorders>
              <w:bottom w:val="single" w:sz="8" w:color="4834BA"/>
            </w:tcBorders>
            <w:vMerge w:val="continue"/>
            <w:shd w:val="clear" w:color="auto" w:fill="4834BA"/>
          </w:tcPr>
          <w:p>
            <w:pPr>
              <w:spacing w:after="0"/>
              <w:rPr>
                <w:sz w:val="4"/>
                <w:szCs w:val="4"/>
                <w:color w:val="auto"/>
              </w:rPr>
            </w:pPr>
          </w:p>
        </w:tc>
        <w:tc>
          <w:tcPr>
            <w:tcW w:w="80" w:type="dxa"/>
            <w:vAlign w:val="bottom"/>
            <w:tcBorders>
              <w:bottom w:val="single" w:sz="8" w:color="4834BA"/>
            </w:tcBorders>
            <w:shd w:val="clear" w:color="auto" w:fill="4834BA"/>
          </w:tcPr>
          <w:p>
            <w:pPr>
              <w:spacing w:after="0"/>
              <w:rPr>
                <w:sz w:val="4"/>
                <w:szCs w:val="4"/>
                <w:color w:val="auto"/>
              </w:rPr>
            </w:pPr>
          </w:p>
        </w:tc>
        <w:tc>
          <w:tcPr>
            <w:tcW w:w="1300" w:type="dxa"/>
            <w:vAlign w:val="bottom"/>
            <w:tcBorders>
              <w:bottom w:val="single" w:sz="8" w:color="4834BA"/>
            </w:tcBorders>
            <w:shd w:val="clear" w:color="auto" w:fill="4834BA"/>
          </w:tcPr>
          <w:p>
            <w:pPr>
              <w:spacing w:after="0"/>
              <w:rPr>
                <w:sz w:val="4"/>
                <w:szCs w:val="4"/>
                <w:color w:val="auto"/>
              </w:rPr>
            </w:pPr>
          </w:p>
        </w:tc>
        <w:tc>
          <w:tcPr>
            <w:tcW w:w="260" w:type="dxa"/>
            <w:vAlign w:val="bottom"/>
            <w:tcBorders>
              <w:bottom w:val="single" w:sz="8" w:color="4834BA"/>
            </w:tcBorders>
            <w:vMerge w:val="continue"/>
            <w:shd w:val="clear" w:color="auto" w:fill="4834BA"/>
          </w:tcPr>
          <w:p>
            <w:pPr>
              <w:spacing w:after="0"/>
              <w:rPr>
                <w:sz w:val="4"/>
                <w:szCs w:val="4"/>
                <w:color w:val="auto"/>
              </w:rPr>
            </w:pPr>
          </w:p>
        </w:tc>
        <w:tc>
          <w:tcPr>
            <w:tcW w:w="60" w:type="dxa"/>
            <w:vAlign w:val="bottom"/>
            <w:tcBorders>
              <w:bottom w:val="single" w:sz="8" w:color="4834BA"/>
            </w:tcBorders>
            <w:shd w:val="clear" w:color="auto" w:fill="4834BA"/>
          </w:tcPr>
          <w:p>
            <w:pPr>
              <w:spacing w:after="0"/>
              <w:rPr>
                <w:sz w:val="4"/>
                <w:szCs w:val="4"/>
                <w:color w:val="auto"/>
              </w:rPr>
            </w:pPr>
          </w:p>
        </w:tc>
        <w:tc>
          <w:tcPr>
            <w:tcW w:w="1340" w:type="dxa"/>
            <w:vAlign w:val="bottom"/>
            <w:tcBorders>
              <w:bottom w:val="single" w:sz="8" w:color="4834BA"/>
            </w:tcBorders>
            <w:shd w:val="clear" w:color="auto" w:fill="4834BA"/>
          </w:tcPr>
          <w:p>
            <w:pPr>
              <w:spacing w:after="0"/>
              <w:rPr>
                <w:sz w:val="4"/>
                <w:szCs w:val="4"/>
                <w:color w:val="auto"/>
              </w:rPr>
            </w:pPr>
          </w:p>
        </w:tc>
        <w:tc>
          <w:tcPr>
            <w:tcW w:w="280" w:type="dxa"/>
            <w:vAlign w:val="bottom"/>
            <w:tcBorders>
              <w:bottom w:val="single" w:sz="8" w:color="4834BA"/>
            </w:tcBorders>
            <w:vMerge w:val="continue"/>
            <w:shd w:val="clear" w:color="auto" w:fill="4834BA"/>
          </w:tcPr>
          <w:p>
            <w:pPr>
              <w:spacing w:after="0"/>
              <w:rPr>
                <w:sz w:val="4"/>
                <w:szCs w:val="4"/>
                <w:color w:val="auto"/>
              </w:rPr>
            </w:pPr>
          </w:p>
        </w:tc>
        <w:tc>
          <w:tcPr>
            <w:tcW w:w="60" w:type="dxa"/>
            <w:vAlign w:val="bottom"/>
            <w:tcBorders>
              <w:bottom w:val="single" w:sz="8" w:color="4834BA"/>
            </w:tcBorders>
            <w:shd w:val="clear" w:color="auto" w:fill="4834BA"/>
          </w:tcPr>
          <w:p>
            <w:pPr>
              <w:spacing w:after="0"/>
              <w:rPr>
                <w:sz w:val="4"/>
                <w:szCs w:val="4"/>
                <w:color w:val="auto"/>
              </w:rPr>
            </w:pPr>
          </w:p>
        </w:tc>
        <w:tc>
          <w:tcPr>
            <w:tcW w:w="1220" w:type="dxa"/>
            <w:vAlign w:val="bottom"/>
            <w:tcBorders>
              <w:bottom w:val="single" w:sz="8" w:color="4834BA"/>
              <w:right w:val="single" w:sz="8" w:color="4834BA"/>
            </w:tcBorders>
            <w:shd w:val="clear" w:color="auto" w:fill="4834BA"/>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420" w:type="dxa"/>
            <w:vAlign w:val="bottom"/>
          </w:tcPr>
          <w:p>
            <w:pPr>
              <w:ind w:left="200"/>
              <w:spacing w:after="0" w:line="122" w:lineRule="exact"/>
              <w:rPr>
                <w:sz w:val="20"/>
                <w:szCs w:val="20"/>
                <w:color w:val="auto"/>
              </w:rPr>
            </w:pPr>
            <w:r>
              <w:rPr>
                <w:rFonts w:ascii="Arial" w:cs="Arial" w:eastAsia="Arial" w:hAnsi="Arial"/>
                <w:sz w:val="14"/>
                <w:szCs w:val="14"/>
                <w:color w:val="auto"/>
              </w:rPr>
              <w:t>​  ​</w:t>
            </w:r>
          </w:p>
        </w:tc>
        <w:tc>
          <w:tcPr>
            <w:tcW w:w="200" w:type="dxa"/>
            <w:vAlign w:val="bottom"/>
          </w:tcPr>
          <w:p>
            <w:pPr>
              <w:spacing w:after="0"/>
              <w:rPr>
                <w:sz w:val="10"/>
                <w:szCs w:val="10"/>
                <w:color w:val="auto"/>
              </w:rPr>
            </w:pPr>
          </w:p>
        </w:tc>
        <w:tc>
          <w:tcPr>
            <w:tcW w:w="1280" w:type="dxa"/>
            <w:vAlign w:val="bottom"/>
            <w:vMerge w:val="restart"/>
          </w:tcPr>
          <w:p>
            <w:pPr>
              <w:jc w:val="right"/>
              <w:ind w:right="19"/>
              <w:spacing w:after="0"/>
              <w:rPr>
                <w:sz w:val="20"/>
                <w:szCs w:val="20"/>
                <w:color w:val="auto"/>
              </w:rPr>
            </w:pPr>
            <w:r>
              <w:rPr>
                <w:rFonts w:ascii="Arial" w:cs="Arial" w:eastAsia="Arial" w:hAnsi="Arial"/>
                <w:sz w:val="16"/>
                <w:szCs w:val="16"/>
                <w:color w:val="auto"/>
              </w:rPr>
              <w:t>2,993,206</w:t>
            </w:r>
          </w:p>
        </w:tc>
        <w:tc>
          <w:tcPr>
            <w:tcW w:w="280" w:type="dxa"/>
            <w:vAlign w:val="bottom"/>
          </w:tcPr>
          <w:p>
            <w:pPr>
              <w:ind w:left="60"/>
              <w:spacing w:after="0" w:line="122" w:lineRule="exact"/>
              <w:rPr>
                <w:sz w:val="20"/>
                <w:szCs w:val="20"/>
                <w:color w:val="auto"/>
              </w:rPr>
            </w:pPr>
            <w:r>
              <w:rPr>
                <w:rFonts w:ascii="Arial" w:cs="Arial" w:eastAsia="Arial" w:hAnsi="Arial"/>
                <w:sz w:val="14"/>
                <w:szCs w:val="14"/>
                <w:color w:val="auto"/>
              </w:rPr>
              <w:t>​  ​</w:t>
            </w:r>
          </w:p>
        </w:tc>
        <w:tc>
          <w:tcPr>
            <w:tcW w:w="20" w:type="dxa"/>
            <w:vAlign w:val="bottom"/>
          </w:tcPr>
          <w:p>
            <w:pPr>
              <w:spacing w:after="0"/>
              <w:rPr>
                <w:sz w:val="10"/>
                <w:szCs w:val="10"/>
                <w:color w:val="auto"/>
              </w:rPr>
            </w:pPr>
          </w:p>
        </w:tc>
        <w:tc>
          <w:tcPr>
            <w:tcW w:w="1360" w:type="dxa"/>
            <w:vAlign w:val="bottom"/>
            <w:vMerge w:val="restart"/>
          </w:tcPr>
          <w:p>
            <w:pPr>
              <w:jc w:val="right"/>
              <w:ind w:right="39"/>
              <w:spacing w:after="0"/>
              <w:rPr>
                <w:sz w:val="20"/>
                <w:szCs w:val="20"/>
                <w:color w:val="auto"/>
              </w:rPr>
            </w:pPr>
            <w:r>
              <w:rPr>
                <w:rFonts w:ascii="Arial" w:cs="Arial" w:eastAsia="Arial" w:hAnsi="Arial"/>
                <w:sz w:val="16"/>
                <w:szCs w:val="16"/>
                <w:color w:val="auto"/>
              </w:rPr>
              <w:t>(608,614)</w:t>
            </w:r>
          </w:p>
        </w:tc>
        <w:tc>
          <w:tcPr>
            <w:tcW w:w="260" w:type="dxa"/>
            <w:vAlign w:val="bottom"/>
          </w:tcPr>
          <w:p>
            <w:pPr>
              <w:ind w:left="60"/>
              <w:spacing w:after="0" w:line="122" w:lineRule="exact"/>
              <w:rPr>
                <w:sz w:val="20"/>
                <w:szCs w:val="20"/>
                <w:color w:val="auto"/>
              </w:rPr>
            </w:pPr>
            <w:r>
              <w:rPr>
                <w:rFonts w:ascii="Arial" w:cs="Arial" w:eastAsia="Arial" w:hAnsi="Arial"/>
                <w:sz w:val="14"/>
                <w:szCs w:val="14"/>
                <w:color w:val="auto"/>
              </w:rPr>
              <w:t>​  ​</w:t>
            </w:r>
          </w:p>
        </w:tc>
        <w:tc>
          <w:tcPr>
            <w:tcW w:w="80" w:type="dxa"/>
            <w:vAlign w:val="bottom"/>
          </w:tcPr>
          <w:p>
            <w:pPr>
              <w:spacing w:after="0"/>
              <w:rPr>
                <w:sz w:val="10"/>
                <w:szCs w:val="10"/>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143,127</w:t>
            </w:r>
          </w:p>
        </w:tc>
        <w:tc>
          <w:tcPr>
            <w:tcW w:w="260" w:type="dxa"/>
            <w:vAlign w:val="bottom"/>
          </w:tcPr>
          <w:p>
            <w:pPr>
              <w:ind w:left="60"/>
              <w:spacing w:after="0" w:line="122"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0"/>
                <w:szCs w:val="10"/>
                <w:color w:val="auto"/>
              </w:rPr>
            </w:pPr>
          </w:p>
        </w:tc>
        <w:tc>
          <w:tcPr>
            <w:tcW w:w="1340" w:type="dxa"/>
            <w:vAlign w:val="bottom"/>
            <w:vMerge w:val="restart"/>
          </w:tcPr>
          <w:p>
            <w:pPr>
              <w:jc w:val="right"/>
              <w:ind w:right="39"/>
              <w:spacing w:after="0"/>
              <w:rPr>
                <w:sz w:val="20"/>
                <w:szCs w:val="20"/>
                <w:color w:val="auto"/>
              </w:rPr>
            </w:pPr>
            <w:r>
              <w:rPr>
                <w:rFonts w:ascii="Arial" w:cs="Arial" w:eastAsia="Arial" w:hAnsi="Arial"/>
                <w:sz w:val="16"/>
                <w:szCs w:val="16"/>
                <w:color w:val="auto"/>
              </w:rPr>
              <w:t>(3,865,966)</w:t>
            </w:r>
          </w:p>
        </w:tc>
        <w:tc>
          <w:tcPr>
            <w:tcW w:w="280" w:type="dxa"/>
            <w:vAlign w:val="bottom"/>
          </w:tcPr>
          <w:p>
            <w:pPr>
              <w:ind w:left="40"/>
              <w:spacing w:after="0" w:line="122"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(1,338,247)</w:t>
            </w: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6"/>
                <w:szCs w:val="16"/>
                <w:color w:val="auto"/>
              </w:rPr>
              <w:t>2025</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20" w:right="200" w:hanging="354"/>
        <w:spacing w:after="0" w:line="271"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Peer Group TSR set forth in this table utilizes the peer companies used for compensation benchmarking purposes, which are summarized below in the “2025” column and in the “Compensation Discussion and Analysis” section of this Proxy Statement, for the years reflected in the table above but excludes companies that had ceased to be publicly traded as of the end of each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1530350</wp:posOffset>
            </wp:positionV>
            <wp:extent cx="334010" cy="162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46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102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860" w:type="dxa"/>
            <w:vAlign w:val="bottom"/>
            <w:shd w:val="clear" w:color="auto" w:fill="4834BA"/>
          </w:tcPr>
          <w:p>
            <w:pPr>
              <w:spacing w:after="0"/>
              <w:rPr>
                <w:sz w:val="20"/>
                <w:szCs w:val="20"/>
                <w:color w:val="auto"/>
              </w:rPr>
            </w:pPr>
            <w:r>
              <w:rPr>
                <w:rFonts w:ascii="Arial" w:cs="Arial" w:eastAsia="Arial" w:hAnsi="Arial"/>
                <w:sz w:val="16"/>
                <w:szCs w:val="16"/>
                <w:b w:val="1"/>
                <w:bCs w:val="1"/>
                <w:color w:val="FFFFFF"/>
              </w:rPr>
              <w:t>​</w:t>
            </w:r>
          </w:p>
        </w:tc>
        <w:tc>
          <w:tcPr>
            <w:tcW w:w="1080" w:type="dxa"/>
            <w:vAlign w:val="bottom"/>
            <w:shd w:val="clear" w:color="auto" w:fill="4834BA"/>
          </w:tcPr>
          <w:p>
            <w:pPr>
              <w:jc w:val="right"/>
              <w:ind w:right="659"/>
              <w:spacing w:after="0"/>
              <w:rPr>
                <w:sz w:val="20"/>
                <w:szCs w:val="20"/>
                <w:color w:val="auto"/>
              </w:rPr>
            </w:pPr>
            <w:r>
              <w:rPr>
                <w:rFonts w:ascii="Arial" w:cs="Arial" w:eastAsia="Arial" w:hAnsi="Arial"/>
                <w:sz w:val="16"/>
                <w:szCs w:val="16"/>
                <w:b w:val="1"/>
                <w:bCs w:val="1"/>
                <w:color w:val="FFFFFF"/>
                <w:w w:val="89"/>
              </w:rPr>
              <w:t>2021</w:t>
            </w:r>
          </w:p>
        </w:tc>
        <w:tc>
          <w:tcPr>
            <w:tcW w:w="340" w:type="dxa"/>
            <w:vAlign w:val="bottom"/>
            <w:shd w:val="clear" w:color="auto" w:fill="4834BA"/>
          </w:tcPr>
          <w:p>
            <w:pPr>
              <w:ind w:left="200"/>
              <w:spacing w:after="0"/>
              <w:rPr>
                <w:sz w:val="20"/>
                <w:szCs w:val="20"/>
                <w:color w:val="auto"/>
              </w:rPr>
            </w:pPr>
            <w:r>
              <w:rPr>
                <w:rFonts w:ascii="Arial" w:cs="Arial" w:eastAsia="Arial" w:hAnsi="Arial"/>
                <w:sz w:val="16"/>
                <w:szCs w:val="16"/>
                <w:b w:val="1"/>
                <w:bCs w:val="1"/>
                <w:color w:val="FFFFFF"/>
              </w:rPr>
              <w:t>​ ​</w:t>
            </w:r>
          </w:p>
        </w:tc>
        <w:tc>
          <w:tcPr>
            <w:tcW w:w="1960" w:type="dxa"/>
            <w:vAlign w:val="bottom"/>
            <w:shd w:val="clear" w:color="auto" w:fill="4834BA"/>
          </w:tcPr>
          <w:p>
            <w:pPr>
              <w:ind w:left="720"/>
              <w:spacing w:after="0"/>
              <w:rPr>
                <w:sz w:val="20"/>
                <w:szCs w:val="20"/>
                <w:color w:val="auto"/>
              </w:rPr>
            </w:pPr>
            <w:r>
              <w:rPr>
                <w:rFonts w:ascii="Arial" w:cs="Arial" w:eastAsia="Arial" w:hAnsi="Arial"/>
                <w:sz w:val="16"/>
                <w:szCs w:val="16"/>
                <w:b w:val="1"/>
                <w:bCs w:val="1"/>
                <w:color w:val="FFFFFF"/>
              </w:rPr>
              <w:t>2022-2023</w:t>
            </w:r>
          </w:p>
        </w:tc>
        <w:tc>
          <w:tcPr>
            <w:tcW w:w="360" w:type="dxa"/>
            <w:vAlign w:val="bottom"/>
            <w:shd w:val="clear" w:color="auto" w:fill="4834BA"/>
          </w:tcPr>
          <w:p>
            <w:pPr>
              <w:ind w:left="200"/>
              <w:spacing w:after="0"/>
              <w:rPr>
                <w:sz w:val="20"/>
                <w:szCs w:val="20"/>
                <w:color w:val="auto"/>
              </w:rPr>
            </w:pPr>
            <w:r>
              <w:rPr>
                <w:rFonts w:ascii="Arial" w:cs="Arial" w:eastAsia="Arial" w:hAnsi="Arial"/>
                <w:sz w:val="16"/>
                <w:szCs w:val="16"/>
                <w:b w:val="1"/>
                <w:bCs w:val="1"/>
                <w:color w:val="FFFFFF"/>
              </w:rPr>
              <w:t>​ ​</w:t>
            </w:r>
          </w:p>
        </w:tc>
        <w:tc>
          <w:tcPr>
            <w:tcW w:w="2000" w:type="dxa"/>
            <w:vAlign w:val="bottom"/>
            <w:shd w:val="clear" w:color="auto" w:fill="4834BA"/>
          </w:tcPr>
          <w:p>
            <w:pPr>
              <w:ind w:left="880"/>
              <w:spacing w:after="0"/>
              <w:rPr>
                <w:sz w:val="20"/>
                <w:szCs w:val="20"/>
                <w:color w:val="auto"/>
              </w:rPr>
            </w:pPr>
            <w:r>
              <w:rPr>
                <w:rFonts w:ascii="Arial" w:cs="Arial" w:eastAsia="Arial" w:hAnsi="Arial"/>
                <w:sz w:val="16"/>
                <w:szCs w:val="16"/>
                <w:b w:val="1"/>
                <w:bCs w:val="1"/>
                <w:color w:val="FFFFFF"/>
              </w:rPr>
              <w:t>2024</w:t>
            </w:r>
          </w:p>
        </w:tc>
        <w:tc>
          <w:tcPr>
            <w:tcW w:w="300" w:type="dxa"/>
            <w:vAlign w:val="bottom"/>
            <w:shd w:val="clear" w:color="auto" w:fill="4834BA"/>
          </w:tcPr>
          <w:p>
            <w:pPr>
              <w:ind w:left="140"/>
              <w:spacing w:after="0"/>
              <w:rPr>
                <w:sz w:val="20"/>
                <w:szCs w:val="20"/>
                <w:color w:val="auto"/>
              </w:rPr>
            </w:pPr>
            <w:r>
              <w:rPr>
                <w:rFonts w:ascii="Arial" w:cs="Arial" w:eastAsia="Arial" w:hAnsi="Arial"/>
                <w:sz w:val="16"/>
                <w:szCs w:val="16"/>
                <w:b w:val="1"/>
                <w:bCs w:val="1"/>
                <w:color w:val="FFFFFF"/>
              </w:rPr>
              <w:t>​ ​</w:t>
            </w:r>
          </w:p>
        </w:tc>
        <w:tc>
          <w:tcPr>
            <w:tcW w:w="1960" w:type="dxa"/>
            <w:vAlign w:val="bottom"/>
            <w:shd w:val="clear" w:color="auto" w:fill="4834BA"/>
          </w:tcPr>
          <w:p>
            <w:pPr>
              <w:ind w:left="900"/>
              <w:spacing w:after="0"/>
              <w:rPr>
                <w:sz w:val="20"/>
                <w:szCs w:val="20"/>
                <w:color w:val="auto"/>
              </w:rPr>
            </w:pPr>
            <w:r>
              <w:rPr>
                <w:rFonts w:ascii="Arial" w:cs="Arial" w:eastAsia="Arial" w:hAnsi="Arial"/>
                <w:sz w:val="16"/>
                <w:szCs w:val="16"/>
                <w:b w:val="1"/>
                <w:bCs w:val="1"/>
                <w:color w:val="FFFFFF"/>
              </w:rPr>
              <w:t>2025</w:t>
            </w:r>
          </w:p>
        </w:tc>
        <w:tc>
          <w:tcPr>
            <w:tcW w:w="140" w:type="dxa"/>
            <w:vAlign w:val="bottom"/>
            <w:shd w:val="clear" w:color="auto" w:fill="4834BA"/>
          </w:tcPr>
          <w:p>
            <w:pPr>
              <w:spacing w:after="0"/>
              <w:rPr>
                <w:sz w:val="24"/>
                <w:szCs w:val="24"/>
                <w:color w:val="auto"/>
              </w:rPr>
            </w:pPr>
          </w:p>
        </w:tc>
        <w:tc>
          <w:tcPr>
            <w:tcW w:w="60" w:type="dxa"/>
            <w:vAlign w:val="bottom"/>
          </w:tcPr>
          <w:p>
            <w:pPr>
              <w:ind w:left="2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1"/>
                <w:szCs w:val="11"/>
                <w:color w:val="auto"/>
              </w:rPr>
            </w:pPr>
          </w:p>
        </w:tc>
        <w:tc>
          <w:tcPr>
            <w:tcW w:w="340" w:type="dxa"/>
            <w:vAlign w:val="bottom"/>
          </w:tcPr>
          <w:p>
            <w:pPr>
              <w:ind w:left="140"/>
              <w:spacing w:after="0" w:line="135" w:lineRule="exact"/>
              <w:rPr>
                <w:sz w:val="20"/>
                <w:szCs w:val="20"/>
                <w:color w:val="auto"/>
              </w:rPr>
            </w:pPr>
            <w:r>
              <w:rPr>
                <w:rFonts w:ascii="Arial" w:cs="Arial" w:eastAsia="Arial" w:hAnsi="Arial"/>
                <w:sz w:val="14"/>
                <w:szCs w:val="14"/>
                <w:color w:val="auto"/>
              </w:rPr>
              <w:t>​ ​</w:t>
            </w:r>
          </w:p>
        </w:tc>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Axcelis Technologies, Inc.</w:t>
            </w:r>
          </w:p>
        </w:tc>
        <w:tc>
          <w:tcPr>
            <w:tcW w:w="360" w:type="dxa"/>
            <w:vAlign w:val="bottom"/>
          </w:tcPr>
          <w:p>
            <w:pPr>
              <w:ind w:left="140"/>
              <w:spacing w:after="0" w:line="135" w:lineRule="exact"/>
              <w:rPr>
                <w:sz w:val="20"/>
                <w:szCs w:val="20"/>
                <w:color w:val="auto"/>
              </w:rPr>
            </w:pPr>
            <w:r>
              <w:rPr>
                <w:rFonts w:ascii="Arial" w:cs="Arial" w:eastAsia="Arial" w:hAnsi="Arial"/>
                <w:sz w:val="14"/>
                <w:szCs w:val="14"/>
                <w:color w:val="auto"/>
              </w:rPr>
              <w:t>​ ​</w:t>
            </w:r>
          </w:p>
        </w:tc>
        <w:tc>
          <w:tcPr>
            <w:tcW w:w="2000" w:type="dxa"/>
            <w:vAlign w:val="bottom"/>
            <w:vMerge w:val="restart"/>
          </w:tcPr>
          <w:p>
            <w:pPr>
              <w:spacing w:after="0"/>
              <w:rPr>
                <w:sz w:val="20"/>
                <w:szCs w:val="20"/>
                <w:color w:val="auto"/>
              </w:rPr>
            </w:pPr>
            <w:r>
              <w:rPr>
                <w:rFonts w:ascii="Arial" w:cs="Arial" w:eastAsia="Arial" w:hAnsi="Arial"/>
                <w:sz w:val="14"/>
                <w:szCs w:val="14"/>
                <w:color w:val="auto"/>
              </w:rPr>
              <w:t>A10 Networks, Inc.</w:t>
            </w:r>
          </w:p>
        </w:tc>
        <w:tc>
          <w:tcPr>
            <w:tcW w:w="300" w:type="dxa"/>
            <w:vAlign w:val="bottom"/>
          </w:tcPr>
          <w:p>
            <w:pPr>
              <w:ind w:left="100"/>
              <w:spacing w:after="0" w:line="135" w:lineRule="exact"/>
              <w:rPr>
                <w:sz w:val="20"/>
                <w:szCs w:val="20"/>
                <w:color w:val="auto"/>
              </w:rPr>
            </w:pPr>
            <w:r>
              <w:rPr>
                <w:rFonts w:ascii="Arial" w:cs="Arial" w:eastAsia="Arial" w:hAnsi="Arial"/>
                <w:sz w:val="14"/>
                <w:szCs w:val="14"/>
                <w:color w:val="auto"/>
              </w:rPr>
              <w:t>​ ​</w:t>
            </w:r>
          </w:p>
        </w:tc>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A10 Networks, Inc.</w:t>
            </w:r>
          </w:p>
        </w:tc>
        <w:tc>
          <w:tcPr>
            <w:tcW w:w="140" w:type="dxa"/>
            <w:vAlign w:val="bottom"/>
          </w:tcPr>
          <w:p>
            <w:pPr>
              <w:spacing w:after="0"/>
              <w:rPr>
                <w:sz w:val="11"/>
                <w:szCs w:val="11"/>
                <w:color w:val="auto"/>
              </w:rPr>
            </w:pPr>
          </w:p>
        </w:tc>
        <w:tc>
          <w:tcPr>
            <w:tcW w:w="60" w:type="dxa"/>
            <w:vAlign w:val="bottom"/>
          </w:tcPr>
          <w:p>
            <w:pPr>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1960" w:type="dxa"/>
            <w:vAlign w:val="bottom"/>
            <w:gridSpan w:val="3"/>
          </w:tcPr>
          <w:p>
            <w:pPr>
              <w:spacing w:after="0" w:line="59" w:lineRule="exact"/>
              <w:rPr>
                <w:sz w:val="20"/>
                <w:szCs w:val="20"/>
                <w:color w:val="auto"/>
              </w:rPr>
            </w:pPr>
            <w:r>
              <w:rPr>
                <w:rFonts w:ascii="Arial" w:cs="Arial" w:eastAsia="Arial" w:hAnsi="Arial"/>
                <w:sz w:val="6"/>
                <w:szCs w:val="6"/>
                <w:color w:val="auto"/>
              </w:rPr>
              <w:t>Axcelis Technologies, Inc.</w:t>
            </w:r>
          </w:p>
        </w:tc>
        <w:tc>
          <w:tcPr>
            <w:tcW w:w="34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960" w:type="dxa"/>
            <w:vAlign w:val="bottom"/>
            <w:gridSpan w:val="3"/>
          </w:tcPr>
          <w:p>
            <w:pPr>
              <w:spacing w:after="0"/>
              <w:rPr>
                <w:sz w:val="20"/>
                <w:szCs w:val="20"/>
                <w:color w:val="auto"/>
              </w:rPr>
            </w:pPr>
            <w:r>
              <w:rPr>
                <w:rFonts w:ascii="Arial" w:cs="Arial" w:eastAsia="Arial" w:hAnsi="Arial"/>
                <w:sz w:val="14"/>
                <w:szCs w:val="14"/>
                <w:color w:val="auto"/>
              </w:rPr>
              <w:t>ADTRAN Holdings, Inc.</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ADTRAN Holdings,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ADTRAN Holdings,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ADTRAN Holdings,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gridSpan w:val="3"/>
          </w:tcPr>
          <w:p>
            <w:pPr>
              <w:spacing w:after="0"/>
              <w:rPr>
                <w:sz w:val="20"/>
                <w:szCs w:val="20"/>
                <w:color w:val="auto"/>
              </w:rPr>
            </w:pPr>
            <w:r>
              <w:rPr>
                <w:rFonts w:ascii="Arial" w:cs="Arial" w:eastAsia="Arial" w:hAnsi="Arial"/>
                <w:sz w:val="14"/>
                <w:szCs w:val="14"/>
                <w:color w:val="auto"/>
              </w:rPr>
              <w:t>Alpha and Omega</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Alpha and Omega</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ACM Research,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ACM Research,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gridSpan w:val="3"/>
          </w:tcPr>
          <w:p>
            <w:pPr>
              <w:spacing w:after="0"/>
              <w:rPr>
                <w:sz w:val="20"/>
                <w:szCs w:val="20"/>
                <w:color w:val="auto"/>
              </w:rPr>
            </w:pPr>
            <w:r>
              <w:rPr>
                <w:rFonts w:ascii="Arial" w:cs="Arial" w:eastAsia="Arial" w:hAnsi="Arial"/>
                <w:sz w:val="14"/>
                <w:szCs w:val="14"/>
                <w:color w:val="auto"/>
              </w:rPr>
              <w:t>Semiconductor Limited</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Semiconductor Limited</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Alpha and Omega</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Alpha and Omega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3"/>
          </w:tcPr>
          <w:p>
            <w:pPr>
              <w:spacing w:after="0"/>
              <w:rPr>
                <w:sz w:val="20"/>
                <w:szCs w:val="20"/>
                <w:color w:val="auto"/>
              </w:rPr>
            </w:pPr>
            <w:r>
              <w:rPr>
                <w:rFonts w:ascii="Arial" w:cs="Arial" w:eastAsia="Arial" w:hAnsi="Arial"/>
                <w:sz w:val="14"/>
                <w:szCs w:val="14"/>
                <w:color w:val="auto"/>
              </w:rPr>
              <w:t>Aviat Networks, Inc.</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Aviat Networks,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Semiconductor Limited</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Semiconductor Limited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0" w:type="dxa"/>
            <w:vAlign w:val="bottom"/>
            <w:gridSpan w:val="2"/>
          </w:tcPr>
          <w:p>
            <w:pPr>
              <w:spacing w:after="0"/>
              <w:rPr>
                <w:sz w:val="20"/>
                <w:szCs w:val="20"/>
                <w:color w:val="auto"/>
              </w:rPr>
            </w:pPr>
            <w:r>
              <w:rPr>
                <w:rFonts w:ascii="Arial" w:cs="Arial" w:eastAsia="Arial" w:hAnsi="Arial"/>
                <w:sz w:val="14"/>
                <w:szCs w:val="14"/>
                <w:color w:val="auto"/>
              </w:rPr>
              <w:t>Calix, Inc.</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Calix,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Aviat Networks,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Allegro MicroSystems,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3"/>
          </w:tcPr>
          <w:p>
            <w:pPr>
              <w:spacing w:after="0"/>
              <w:rPr>
                <w:sz w:val="20"/>
                <w:szCs w:val="20"/>
                <w:color w:val="auto"/>
              </w:rPr>
            </w:pPr>
            <w:r>
              <w:rPr>
                <w:rFonts w:ascii="Arial" w:cs="Arial" w:eastAsia="Arial" w:hAnsi="Arial"/>
                <w:sz w:val="14"/>
                <w:szCs w:val="14"/>
                <w:color w:val="auto"/>
              </w:rPr>
              <w:t>CalAmp Corp.</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CalAmp Corp.</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CEVA,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Calix,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gridSpan w:val="3"/>
          </w:tcPr>
          <w:p>
            <w:pPr>
              <w:spacing w:after="0"/>
              <w:rPr>
                <w:sz w:val="20"/>
                <w:szCs w:val="20"/>
                <w:color w:val="auto"/>
              </w:rPr>
            </w:pPr>
            <w:r>
              <w:rPr>
                <w:rFonts w:ascii="Arial" w:cs="Arial" w:eastAsia="Arial" w:hAnsi="Arial"/>
                <w:sz w:val="14"/>
                <w:szCs w:val="14"/>
                <w:color w:val="auto"/>
              </w:rPr>
              <w:t>Casa Systems, Inc.</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Casa Systems,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Clearfield,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Cohu,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0" w:type="dxa"/>
            <w:vAlign w:val="bottom"/>
            <w:gridSpan w:val="2"/>
          </w:tcPr>
          <w:p>
            <w:pPr>
              <w:spacing w:after="0"/>
              <w:rPr>
                <w:sz w:val="20"/>
                <w:szCs w:val="20"/>
                <w:color w:val="auto"/>
              </w:rPr>
            </w:pPr>
            <w:r>
              <w:rPr>
                <w:rFonts w:ascii="Arial" w:cs="Arial" w:eastAsia="Arial" w:hAnsi="Arial"/>
                <w:sz w:val="14"/>
                <w:szCs w:val="14"/>
                <w:color w:val="auto"/>
              </w:rPr>
              <w:t>Cohu, Inc.</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Cohu,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Cohu,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Digi International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3"/>
          </w:tcPr>
          <w:p>
            <w:pPr>
              <w:spacing w:after="0"/>
              <w:rPr>
                <w:sz w:val="20"/>
                <w:szCs w:val="20"/>
                <w:color w:val="auto"/>
              </w:rPr>
            </w:pPr>
            <w:r>
              <w:rPr>
                <w:rFonts w:ascii="Arial" w:cs="Arial" w:eastAsia="Arial" w:hAnsi="Arial"/>
                <w:sz w:val="14"/>
                <w:szCs w:val="14"/>
                <w:color w:val="auto"/>
              </w:rPr>
              <w:t>Digi International Inc.</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Digi International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Comtech Telecommunications</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Extreme Networks,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gridSpan w:val="3"/>
          </w:tcPr>
          <w:p>
            <w:pPr>
              <w:spacing w:after="0"/>
              <w:rPr>
                <w:sz w:val="20"/>
                <w:szCs w:val="20"/>
                <w:color w:val="auto"/>
              </w:rPr>
            </w:pPr>
            <w:r>
              <w:rPr>
                <w:rFonts w:ascii="Arial" w:cs="Arial" w:eastAsia="Arial" w:hAnsi="Arial"/>
                <w:sz w:val="14"/>
                <w:szCs w:val="14"/>
                <w:color w:val="auto"/>
              </w:rPr>
              <w:t>EMCORE Corporation</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EMCORE Corporation</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Digi International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FormFactor,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gridSpan w:val="2"/>
          </w:tcPr>
          <w:p>
            <w:pPr>
              <w:spacing w:after="0"/>
              <w:rPr>
                <w:sz w:val="20"/>
                <w:szCs w:val="20"/>
                <w:color w:val="auto"/>
              </w:rPr>
            </w:pPr>
            <w:r>
              <w:rPr>
                <w:rFonts w:ascii="Arial" w:cs="Arial" w:eastAsia="Arial" w:hAnsi="Arial"/>
                <w:sz w:val="14"/>
                <w:szCs w:val="14"/>
                <w:color w:val="auto"/>
                <w:w w:val="99"/>
              </w:rPr>
              <w:t>Harmonic Inc.</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Harmonic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Harmonic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Harmonic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gridSpan w:val="3"/>
          </w:tcPr>
          <w:p>
            <w:pPr>
              <w:spacing w:after="0"/>
              <w:rPr>
                <w:sz w:val="20"/>
                <w:szCs w:val="20"/>
                <w:color w:val="auto"/>
              </w:rPr>
            </w:pPr>
            <w:r>
              <w:rPr>
                <w:rFonts w:ascii="Arial" w:cs="Arial" w:eastAsia="Arial" w:hAnsi="Arial"/>
                <w:sz w:val="14"/>
                <w:szCs w:val="14"/>
                <w:color w:val="auto"/>
              </w:rPr>
              <w:t>Inseego Corp.</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Inseego Corp.</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indie Semiconductor,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Infinera,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3"/>
          </w:tcPr>
          <w:p>
            <w:pPr>
              <w:spacing w:after="0"/>
              <w:rPr>
                <w:sz w:val="20"/>
                <w:szCs w:val="20"/>
                <w:color w:val="auto"/>
              </w:rPr>
            </w:pPr>
            <w:r>
              <w:rPr>
                <w:rFonts w:ascii="Arial" w:cs="Arial" w:eastAsia="Arial" w:hAnsi="Arial"/>
                <w:sz w:val="14"/>
                <w:szCs w:val="14"/>
                <w:color w:val="auto"/>
              </w:rPr>
              <w:t>KVH Industries, Inc.</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KVH Industries,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NETGEAR,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MaxLinear,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gridSpan w:val="3"/>
          </w:tcPr>
          <w:p>
            <w:pPr>
              <w:spacing w:after="0"/>
              <w:rPr>
                <w:sz w:val="20"/>
                <w:szCs w:val="20"/>
                <w:color w:val="auto"/>
              </w:rPr>
            </w:pPr>
            <w:r>
              <w:rPr>
                <w:rFonts w:ascii="Arial" w:cs="Arial" w:eastAsia="Arial" w:hAnsi="Arial"/>
                <w:sz w:val="14"/>
                <w:szCs w:val="14"/>
                <w:color w:val="auto"/>
              </w:rPr>
              <w:t>NeoPhotonics Corporation</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Photronics,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OneSpan,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NETGEAR,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gridSpan w:val="3"/>
          </w:tcPr>
          <w:p>
            <w:pPr>
              <w:spacing w:after="0"/>
              <w:rPr>
                <w:sz w:val="20"/>
                <w:szCs w:val="20"/>
                <w:color w:val="auto"/>
              </w:rPr>
            </w:pPr>
            <w:r>
              <w:rPr>
                <w:rFonts w:ascii="Arial" w:cs="Arial" w:eastAsia="Arial" w:hAnsi="Arial"/>
                <w:sz w:val="14"/>
                <w:szCs w:val="14"/>
                <w:color w:val="auto"/>
              </w:rPr>
              <w:t>Photronics, Inc.</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Ribbon Communications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Photronics,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NetScout Systems,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3"/>
          </w:tcPr>
          <w:p>
            <w:pPr>
              <w:spacing w:after="0"/>
              <w:rPr>
                <w:sz w:val="20"/>
                <w:szCs w:val="20"/>
                <w:color w:val="auto"/>
              </w:rPr>
            </w:pPr>
            <w:r>
              <w:rPr>
                <w:rFonts w:ascii="Arial" w:cs="Arial" w:eastAsia="Arial" w:hAnsi="Arial"/>
                <w:sz w:val="14"/>
                <w:szCs w:val="14"/>
                <w:color w:val="auto"/>
              </w:rPr>
              <w:t>Ribbon Communications Inc.</w:t>
            </w:r>
          </w:p>
        </w:tc>
        <w:tc>
          <w:tcPr>
            <w:tcW w:w="34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Xperi Inc.</w:t>
            </w: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Ribbon Communications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Photronics,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0" w:type="dxa"/>
            <w:vAlign w:val="bottom"/>
            <w:gridSpan w:val="2"/>
          </w:tcPr>
          <w:p>
            <w:pPr>
              <w:spacing w:after="0"/>
              <w:rPr>
                <w:sz w:val="20"/>
                <w:szCs w:val="20"/>
                <w:color w:val="auto"/>
              </w:rPr>
            </w:pPr>
            <w:r>
              <w:rPr>
                <w:rFonts w:ascii="Arial" w:cs="Arial" w:eastAsia="Arial" w:hAnsi="Arial"/>
                <w:sz w:val="14"/>
                <w:szCs w:val="14"/>
                <w:color w:val="auto"/>
              </w:rPr>
              <w:t>Xperi Inc.</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Semtech Corporation</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Ribbon Communications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Skywater Technology,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Semtech Corporation</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Vishay Precision Group, Inc.</w:t>
            </w:r>
          </w:p>
        </w:tc>
        <w:tc>
          <w:tcPr>
            <w:tcW w:w="3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Skywater Technology, Inc.</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Xperi Inc.</w:t>
            </w:r>
          </w:p>
        </w:tc>
        <w:tc>
          <w:tcPr>
            <w:tcW w:w="30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Viavi Solutions Inc.</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020" w:right="120"/>
        <w:spacing w:after="0" w:line="241" w:lineRule="auto"/>
        <w:rPr>
          <w:sz w:val="20"/>
          <w:szCs w:val="20"/>
          <w:color w:val="auto"/>
        </w:rPr>
      </w:pPr>
      <w:r>
        <w:rPr>
          <w:rFonts w:ascii="Arial" w:cs="Arial" w:eastAsia="Arial" w:hAnsi="Arial"/>
          <w:sz w:val="14"/>
          <w:szCs w:val="14"/>
          <w:color w:val="auto"/>
        </w:rPr>
        <w:t>The comparison assumes $100 was invested for the period starting December 31, 2020, through the end of the listed year in the Company and in the compensation benchmarking peers, respectively. As described in the “Compensation Discussion and Analysis” section of this Proxy</w:t>
      </w:r>
    </w:p>
    <w:p>
      <w:pPr>
        <w:spacing w:after="0" w:line="1" w:lineRule="exact"/>
        <w:rPr>
          <w:sz w:val="20"/>
          <w:szCs w:val="20"/>
          <w:color w:val="auto"/>
        </w:rPr>
      </w:pPr>
    </w:p>
    <w:p>
      <w:pPr>
        <w:ind w:left="1020" w:right="60"/>
        <w:spacing w:after="0" w:line="228" w:lineRule="auto"/>
        <w:rPr>
          <w:sz w:val="20"/>
          <w:szCs w:val="20"/>
          <w:color w:val="auto"/>
        </w:rPr>
      </w:pPr>
      <w:r>
        <w:rPr>
          <w:rFonts w:ascii="Arial" w:cs="Arial" w:eastAsia="Arial" w:hAnsi="Arial"/>
          <w:sz w:val="14"/>
          <w:szCs w:val="14"/>
          <w:color w:val="auto"/>
        </w:rPr>
        <w:t>Statement, after the compensation committee reviewed our compensation peer group in the first quarter of 2025, the compensation committee updated the peer group criteria and the peer group companies that were used to assist with the determination of compensation for our executive officers for fiscal 2025. If the 2024 peer group had been used to calculate the peer group TSR, the amounts shown for 2025, 2024, 2023, 2022</w:t>
      </w:r>
    </w:p>
    <w:p>
      <w:pPr>
        <w:ind w:left="1020" w:right="100"/>
        <w:spacing w:after="0" w:line="226" w:lineRule="auto"/>
        <w:rPr>
          <w:sz w:val="20"/>
          <w:szCs w:val="20"/>
          <w:color w:val="auto"/>
        </w:rPr>
      </w:pPr>
      <w:r>
        <w:rPr>
          <w:rFonts w:ascii="Arial" w:cs="Arial" w:eastAsia="Arial" w:hAnsi="Arial"/>
          <w:sz w:val="14"/>
          <w:szCs w:val="14"/>
          <w:color w:val="auto"/>
        </w:rPr>
        <w:t>and 2021 would have been $94.04, $88.30, $74.23, $77.85 and $114.93, respectively. Historical stock performance is not necessarily indicative of future stock performance.</w:t>
      </w:r>
      <w:r>
        <w:rPr>
          <w:rFonts w:ascii="Times New Roman" w:cs="Times New Roman" w:eastAsia="Times New Roman" w:hAnsi="Times New Roman"/>
          <w:sz w:val="16"/>
          <w:szCs w:val="16"/>
          <w:color w:val="auto"/>
        </w:rPr>
        <w:t>​</w:t>
      </w:r>
    </w:p>
    <w:p>
      <w:pPr>
        <w:spacing w:after="0" w:line="52" w:lineRule="exact"/>
        <w:rPr>
          <w:sz w:val="20"/>
          <w:szCs w:val="20"/>
          <w:color w:val="auto"/>
        </w:rPr>
      </w:pPr>
    </w:p>
    <w:p>
      <w:pPr>
        <w:ind w:left="1020" w:right="260" w:hanging="354"/>
        <w:spacing w:after="0" w:line="325" w:lineRule="auto"/>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determined Total Revenue to be the most important financial performance measure used to link Company performance to Compensation Actually Paid to our PEO and Non-PEO NEOs in 2025.</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Relationship Between PEO and Non-PEO NEO Compensation Actually Paid and TSR</w:t>
      </w:r>
    </w:p>
    <w:p>
      <w:pPr>
        <w:spacing w:after="0" w:line="126" w:lineRule="exact"/>
        <w:rPr>
          <w:sz w:val="20"/>
          <w:szCs w:val="20"/>
          <w:color w:val="auto"/>
        </w:rPr>
      </w:pPr>
    </w:p>
    <w:p>
      <w:pPr>
        <w:ind w:left="660" w:right="240"/>
        <w:spacing w:after="0" w:line="284" w:lineRule="auto"/>
        <w:rPr>
          <w:sz w:val="20"/>
          <w:szCs w:val="20"/>
          <w:color w:val="auto"/>
        </w:rPr>
      </w:pPr>
      <w:r>
        <w:rPr>
          <w:rFonts w:ascii="Arial" w:cs="Arial" w:eastAsia="Arial" w:hAnsi="Arial"/>
          <w:sz w:val="16"/>
          <w:szCs w:val="16"/>
          <w:color w:val="auto"/>
        </w:rPr>
        <w:t>The following chart sets forth the relationship between Compensation Actually Paid to our PEO, the average of Compensation Actually Paid to our Non-PEO NEOs, and the Company’s and Peer Group’s cumulative TSR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82550</wp:posOffset>
            </wp:positionV>
            <wp:extent cx="5452110" cy="3566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45211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47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Relationship Between PEO and Non-PEO NEO Compensation Actually Paid and Net Income</w:t>
      </w:r>
    </w:p>
    <w:p>
      <w:pPr>
        <w:spacing w:after="0" w:line="137" w:lineRule="exact"/>
        <w:rPr>
          <w:sz w:val="20"/>
          <w:szCs w:val="20"/>
          <w:color w:val="auto"/>
        </w:rPr>
      </w:pPr>
    </w:p>
    <w:p>
      <w:pPr>
        <w:ind w:left="660" w:right="500"/>
        <w:spacing w:after="0" w:line="304" w:lineRule="auto"/>
        <w:rPr>
          <w:sz w:val="20"/>
          <w:szCs w:val="20"/>
          <w:color w:val="auto"/>
        </w:rPr>
      </w:pPr>
      <w:r>
        <w:rPr>
          <w:rFonts w:ascii="Arial" w:cs="Arial" w:eastAsia="Arial" w:hAnsi="Arial"/>
          <w:sz w:val="16"/>
          <w:szCs w:val="16"/>
          <w:color w:val="auto"/>
        </w:rPr>
        <w:t>The following chart sets forth the relationship between Compensation Actually Paid to our PEO,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81280</wp:posOffset>
            </wp:positionV>
            <wp:extent cx="5554980" cy="33604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54980" cy="336042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7445375</wp:posOffset>
            </wp:positionV>
            <wp:extent cx="334010" cy="162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48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Relationship Between PEOs and Other NEO Compensation Actually Paid and Total Revenue</w:t>
      </w:r>
    </w:p>
    <w:p>
      <w:pPr>
        <w:spacing w:after="0" w:line="137" w:lineRule="exact"/>
        <w:rPr>
          <w:sz w:val="20"/>
          <w:szCs w:val="20"/>
          <w:color w:val="auto"/>
        </w:rPr>
      </w:pPr>
    </w:p>
    <w:p>
      <w:pPr>
        <w:ind w:left="660" w:right="420"/>
        <w:spacing w:after="0" w:line="321" w:lineRule="auto"/>
        <w:rPr>
          <w:sz w:val="20"/>
          <w:szCs w:val="20"/>
          <w:color w:val="auto"/>
        </w:rPr>
      </w:pPr>
      <w:r>
        <w:rPr>
          <w:rFonts w:ascii="Arial" w:cs="Arial" w:eastAsia="Arial" w:hAnsi="Arial"/>
          <w:sz w:val="15"/>
          <w:szCs w:val="15"/>
          <w:color w:val="auto"/>
        </w:rPr>
        <w:t>The following chart sets forth the relationship between Compensation Actually Paid to our PEOs, the average of Compensation Actually Paid to our Non-PEO NEOs, and our Total Revenue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59055</wp:posOffset>
            </wp:positionV>
            <wp:extent cx="5554980" cy="33604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5498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Tabular List of Most Important Financial Performance Measures</w:t>
      </w:r>
    </w:p>
    <w:p>
      <w:pPr>
        <w:spacing w:after="0" w:line="126" w:lineRule="exact"/>
        <w:rPr>
          <w:sz w:val="20"/>
          <w:szCs w:val="20"/>
          <w:color w:val="auto"/>
        </w:rPr>
      </w:pPr>
    </w:p>
    <w:p>
      <w:pPr>
        <w:ind w:left="660" w:right="100"/>
        <w:spacing w:after="0" w:line="275" w:lineRule="auto"/>
        <w:rPr>
          <w:sz w:val="20"/>
          <w:szCs w:val="20"/>
          <w:color w:val="auto"/>
        </w:rPr>
      </w:pPr>
      <w:r>
        <w:rPr>
          <w:rFonts w:ascii="Arial" w:cs="Arial" w:eastAsia="Arial" w:hAnsi="Arial"/>
          <w:sz w:val="16"/>
          <w:szCs w:val="16"/>
          <w:color w:val="auto"/>
        </w:rPr>
        <w:t>The following table presents the financial performance measures that the Company considers to have been the most important in linking Compensation Actually Paid to our PEO and Non-PEO NEOs for 2025 to Company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78740</wp:posOffset>
            </wp:positionV>
            <wp:extent cx="8255" cy="4629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462915"/>
                    </a:xfrm>
                    <a:prstGeom prst="rect">
                      <a:avLst/>
                    </a:prstGeom>
                    <a:noFill/>
                  </pic:spPr>
                </pic:pic>
              </a:graphicData>
            </a:graphic>
          </wp:anchor>
        </w:drawing>
      </w:r>
    </w:p>
    <w:p>
      <w:pPr>
        <w:spacing w:after="0" w:line="84" w:lineRule="exact"/>
        <w:rPr>
          <w:sz w:val="20"/>
          <w:szCs w:val="20"/>
          <w:color w:val="auto"/>
        </w:rPr>
      </w:pPr>
    </w:p>
    <w:tbl>
      <w:tblPr>
        <w:tblLayout w:type="fixed"/>
        <w:tblInd w:w="3370" w:type="dxa"/>
        <w:tblCellMar>
          <w:top w:w="0" w:type="dxa"/>
          <w:left w:w="0" w:type="dxa"/>
          <w:bottom w:w="0" w:type="dxa"/>
          <w:right w:w="0" w:type="dxa"/>
        </w:tblCellMar>
      </w:tblPr>
      <w:tr>
        <w:trPr>
          <w:trHeight w:val="283"/>
        </w:trPr>
        <w:tc>
          <w:tcPr>
            <w:tcW w:w="380" w:type="dxa"/>
            <w:vAlign w:val="bottom"/>
            <w:tcBorders>
              <w:top w:val="single" w:sz="8" w:color="auto"/>
              <w:left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Total Revenue</w:t>
            </w:r>
          </w:p>
        </w:tc>
        <w:tc>
          <w:tcPr>
            <w:tcW w:w="380" w:type="dxa"/>
            <w:vAlign w:val="bottom"/>
            <w:tcBorders>
              <w:top w:val="single" w:sz="8" w:color="auto"/>
            </w:tcBorders>
            <w:vMerge w:val="restart"/>
          </w:tcPr>
          <w:p>
            <w:pPr>
              <w:ind w:left="3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tcBorders>
              <w:left w:val="single" w:sz="8" w:color="auto"/>
            </w:tcBorders>
            <w:vMerge w:val="continue"/>
          </w:tcPr>
          <w:p>
            <w:pPr>
              <w:spacing w:after="0"/>
              <w:rPr>
                <w:sz w:val="17"/>
                <w:szCs w:val="17"/>
                <w:color w:val="auto"/>
              </w:rPr>
            </w:pPr>
          </w:p>
        </w:tc>
        <w:tc>
          <w:tcPr>
            <w:tcW w:w="3240" w:type="dxa"/>
            <w:vAlign w:val="bottom"/>
          </w:tcPr>
          <w:p>
            <w:pPr>
              <w:jc w:val="center"/>
              <w:spacing w:after="0"/>
              <w:rPr>
                <w:sz w:val="20"/>
                <w:szCs w:val="20"/>
                <w:color w:val="auto"/>
              </w:rPr>
            </w:pPr>
            <w:r>
              <w:rPr>
                <w:rFonts w:ascii="Arial" w:cs="Arial" w:eastAsia="Arial" w:hAnsi="Arial"/>
                <w:sz w:val="16"/>
                <w:szCs w:val="16"/>
                <w:color w:val="auto"/>
              </w:rPr>
              <w:t>Non-GAAP Operating Income (Loss)</w:t>
            </w:r>
          </w:p>
        </w:tc>
        <w:tc>
          <w:tcPr>
            <w:tcW w:w="3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bottom w:val="single" w:sz="8" w:color="auto"/>
            </w:tcBorders>
          </w:tcPr>
          <w:p>
            <w:pPr>
              <w:spacing w:after="0"/>
              <w:rPr>
                <w:sz w:val="19"/>
                <w:szCs w:val="19"/>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Relative TSR</w:t>
            </w:r>
          </w:p>
        </w:tc>
        <w:tc>
          <w:tcPr>
            <w:tcW w:w="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2674620</wp:posOffset>
            </wp:positionV>
            <wp:extent cx="334010" cy="162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49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2025 Director Compensation</w:t>
      </w:r>
    </w:p>
    <w:p>
      <w:pPr>
        <w:spacing w:after="0" w:line="119"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The table below sets forth, for each person who served as a non-employee director during 2025, information regarding compensation for service on our Board during 2025. Dr. Lin did not receive any compensation from the Company other than compensation received for serving as an executive officer of the Company.</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160" w:type="dxa"/>
            <w:vAlign w:val="bottom"/>
            <w:shd w:val="clear" w:color="auto" w:fill="4834BA"/>
          </w:tcPr>
          <w:p>
            <w:pPr>
              <w:spacing w:after="0"/>
              <w:rPr>
                <w:sz w:val="19"/>
                <w:szCs w:val="19"/>
                <w:color w:val="auto"/>
              </w:rPr>
            </w:pPr>
          </w:p>
        </w:tc>
        <w:tc>
          <w:tcPr>
            <w:tcW w:w="3560" w:type="dxa"/>
            <w:vAlign w:val="bottom"/>
            <w:shd w:val="clear" w:color="auto" w:fill="4834BA"/>
          </w:tcPr>
          <w:p>
            <w:pPr>
              <w:jc w:val="right"/>
              <w:ind w:right="99"/>
              <w:spacing w:after="0"/>
              <w:rPr>
                <w:sz w:val="20"/>
                <w:szCs w:val="20"/>
                <w:color w:val="auto"/>
              </w:rPr>
            </w:pPr>
            <w:r>
              <w:rPr>
                <w:rFonts w:ascii="Arial" w:cs="Arial" w:eastAsia="Arial" w:hAnsi="Arial"/>
                <w:sz w:val="16"/>
                <w:szCs w:val="16"/>
                <w:b w:val="1"/>
                <w:bCs w:val="1"/>
                <w:color w:val="FFFFFF"/>
              </w:rPr>
              <w:t>Fees Earned or</w:t>
            </w:r>
          </w:p>
        </w:tc>
        <w:tc>
          <w:tcPr>
            <w:tcW w:w="880" w:type="dxa"/>
            <w:vAlign w:val="bottom"/>
            <w:shd w:val="clear" w:color="auto" w:fill="4834BA"/>
          </w:tcPr>
          <w:p>
            <w:pPr>
              <w:jc w:val="right"/>
              <w:ind w:right="99"/>
              <w:spacing w:after="0"/>
              <w:rPr>
                <w:sz w:val="20"/>
                <w:szCs w:val="20"/>
                <w:color w:val="auto"/>
              </w:rPr>
            </w:pPr>
            <w:r>
              <w:rPr>
                <w:rFonts w:ascii="Arial" w:cs="Arial" w:eastAsia="Arial" w:hAnsi="Arial"/>
                <w:sz w:val="16"/>
                <w:szCs w:val="16"/>
                <w:b w:val="1"/>
                <w:bCs w:val="1"/>
                <w:color w:val="FFFFFF"/>
              </w:rPr>
              <w:t>Stock</w:t>
            </w:r>
          </w:p>
        </w:tc>
        <w:tc>
          <w:tcPr>
            <w:tcW w:w="800" w:type="dxa"/>
            <w:vAlign w:val="bottom"/>
            <w:vMerge w:val="restart"/>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76"/>
        </w:trPr>
        <w:tc>
          <w:tcPr>
            <w:tcW w:w="4160" w:type="dxa"/>
            <w:vAlign w:val="bottom"/>
            <w:shd w:val="clear" w:color="auto" w:fill="4834BA"/>
          </w:tcPr>
          <w:p>
            <w:pPr>
              <w:spacing w:after="0"/>
              <w:rPr>
                <w:sz w:val="15"/>
                <w:szCs w:val="15"/>
                <w:color w:val="auto"/>
              </w:rPr>
            </w:pPr>
          </w:p>
        </w:tc>
        <w:tc>
          <w:tcPr>
            <w:tcW w:w="3560" w:type="dxa"/>
            <w:vAlign w:val="bottom"/>
            <w:shd w:val="clear" w:color="auto" w:fill="4834BA"/>
          </w:tcPr>
          <w:p>
            <w:pPr>
              <w:jc w:val="right"/>
              <w:ind w:right="99"/>
              <w:spacing w:after="0" w:line="175" w:lineRule="exact"/>
              <w:rPr>
                <w:sz w:val="20"/>
                <w:szCs w:val="20"/>
                <w:color w:val="auto"/>
              </w:rPr>
            </w:pPr>
            <w:r>
              <w:rPr>
                <w:rFonts w:ascii="Arial" w:cs="Arial" w:eastAsia="Arial" w:hAnsi="Arial"/>
                <w:sz w:val="16"/>
                <w:szCs w:val="16"/>
                <w:b w:val="1"/>
                <w:bCs w:val="1"/>
                <w:color w:val="FFFFFF"/>
              </w:rPr>
              <w:t>Paid in Cash</w:t>
            </w:r>
          </w:p>
        </w:tc>
        <w:tc>
          <w:tcPr>
            <w:tcW w:w="880" w:type="dxa"/>
            <w:vAlign w:val="bottom"/>
            <w:shd w:val="clear" w:color="auto" w:fill="4834BA"/>
          </w:tcPr>
          <w:p>
            <w:pPr>
              <w:jc w:val="right"/>
              <w:ind w:right="99"/>
              <w:spacing w:after="0" w:line="175" w:lineRule="exact"/>
              <w:rPr>
                <w:sz w:val="20"/>
                <w:szCs w:val="20"/>
                <w:color w:val="auto"/>
              </w:rPr>
            </w:pPr>
            <w:r>
              <w:rPr>
                <w:rFonts w:ascii="Arial" w:cs="Arial" w:eastAsia="Arial" w:hAnsi="Arial"/>
                <w:sz w:val="16"/>
                <w:szCs w:val="16"/>
                <w:b w:val="1"/>
                <w:bCs w:val="1"/>
                <w:color w:val="FFFFFF"/>
              </w:rPr>
              <w:t>Awards</w:t>
            </w:r>
          </w:p>
        </w:tc>
        <w:tc>
          <w:tcPr>
            <w:tcW w:w="800" w:type="dxa"/>
            <w:vAlign w:val="bottom"/>
            <w:vMerge w:val="continue"/>
            <w:shd w:val="clear" w:color="auto" w:fill="4834BA"/>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160" w:type="dxa"/>
            <w:vAlign w:val="bottom"/>
            <w:shd w:val="clear" w:color="auto" w:fill="4834BA"/>
          </w:tcPr>
          <w:p>
            <w:pPr>
              <w:ind w:left="80"/>
              <w:spacing w:after="0"/>
              <w:rPr>
                <w:sz w:val="20"/>
                <w:szCs w:val="20"/>
                <w:color w:val="auto"/>
              </w:rPr>
            </w:pPr>
            <w:r>
              <w:rPr>
                <w:rFonts w:ascii="Arial" w:cs="Arial" w:eastAsia="Arial" w:hAnsi="Arial"/>
                <w:sz w:val="16"/>
                <w:szCs w:val="16"/>
                <w:b w:val="1"/>
                <w:bCs w:val="1"/>
                <w:color w:val="FFFFFF"/>
              </w:rPr>
              <w:t>Name</w:t>
            </w:r>
          </w:p>
        </w:tc>
        <w:tc>
          <w:tcPr>
            <w:tcW w:w="3560" w:type="dxa"/>
            <w:vAlign w:val="bottom"/>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9"/>
                <w:szCs w:val="19"/>
                <w:b w:val="1"/>
                <w:bCs w:val="1"/>
                <w:color w:val="FFFFFF"/>
                <w:vertAlign w:val="superscript"/>
              </w:rPr>
              <w:t>(1)</w:t>
            </w:r>
          </w:p>
        </w:tc>
        <w:tc>
          <w:tcPr>
            <w:tcW w:w="880" w:type="dxa"/>
            <w:vAlign w:val="bottom"/>
            <w:shd w:val="clear" w:color="auto" w:fill="4834BA"/>
          </w:tcPr>
          <w:p>
            <w:pPr>
              <w:jc w:val="right"/>
              <w:ind w:right="59"/>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9"/>
                <w:szCs w:val="19"/>
                <w:b w:val="1"/>
                <w:bCs w:val="1"/>
                <w:color w:val="FFFFFF"/>
                <w:vertAlign w:val="superscript"/>
              </w:rPr>
              <w:t>(2)</w:t>
            </w:r>
          </w:p>
        </w:tc>
        <w:tc>
          <w:tcPr>
            <w:tcW w:w="80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8"/>
        </w:trPr>
        <w:tc>
          <w:tcPr>
            <w:tcW w:w="4160" w:type="dxa"/>
            <w:vAlign w:val="bottom"/>
          </w:tcPr>
          <w:p>
            <w:pPr>
              <w:ind w:left="80"/>
              <w:spacing w:after="0"/>
              <w:rPr>
                <w:sz w:val="20"/>
                <w:szCs w:val="20"/>
                <w:color w:val="auto"/>
              </w:rPr>
            </w:pPr>
            <w:r>
              <w:rPr>
                <w:rFonts w:ascii="Arial" w:cs="Arial" w:eastAsia="Arial" w:hAnsi="Arial"/>
                <w:sz w:val="16"/>
                <w:szCs w:val="16"/>
                <w:color w:val="auto"/>
              </w:rPr>
              <w:t>William H. Yeh</w:t>
            </w:r>
          </w:p>
        </w:tc>
        <w:tc>
          <w:tcPr>
            <w:tcW w:w="3560" w:type="dxa"/>
            <w:vAlign w:val="bottom"/>
          </w:tcPr>
          <w:p>
            <w:pPr>
              <w:jc w:val="right"/>
              <w:ind w:right="59"/>
              <w:spacing w:after="0"/>
              <w:rPr>
                <w:sz w:val="20"/>
                <w:szCs w:val="20"/>
                <w:color w:val="auto"/>
              </w:rPr>
            </w:pPr>
            <w:r>
              <w:rPr>
                <w:rFonts w:ascii="Arial" w:cs="Arial" w:eastAsia="Arial" w:hAnsi="Arial"/>
                <w:sz w:val="16"/>
                <w:szCs w:val="16"/>
                <w:color w:val="auto"/>
              </w:rPr>
              <w:t>102,282</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189,987</w:t>
            </w:r>
          </w:p>
        </w:tc>
        <w:tc>
          <w:tcPr>
            <w:tcW w:w="800" w:type="dxa"/>
            <w:vAlign w:val="bottom"/>
          </w:tcPr>
          <w:p>
            <w:pPr>
              <w:jc w:val="right"/>
              <w:spacing w:after="0"/>
              <w:rPr>
                <w:sz w:val="20"/>
                <w:szCs w:val="20"/>
                <w:color w:val="auto"/>
              </w:rPr>
            </w:pPr>
            <w:r>
              <w:rPr>
                <w:rFonts w:ascii="Arial" w:cs="Arial" w:eastAsia="Arial" w:hAnsi="Arial"/>
                <w:sz w:val="16"/>
                <w:szCs w:val="16"/>
                <w:color w:val="auto"/>
              </w:rPr>
              <w:t>292,269</w:t>
            </w:r>
          </w:p>
        </w:tc>
        <w:tc>
          <w:tcPr>
            <w:tcW w:w="0" w:type="dxa"/>
            <w:vAlign w:val="bottom"/>
          </w:tcPr>
          <w:p>
            <w:pPr>
              <w:spacing w:after="0"/>
              <w:rPr>
                <w:sz w:val="1"/>
                <w:szCs w:val="1"/>
                <w:color w:val="auto"/>
              </w:rPr>
            </w:pPr>
          </w:p>
        </w:tc>
      </w:tr>
      <w:tr>
        <w:trPr>
          <w:trHeight w:val="29"/>
        </w:trPr>
        <w:tc>
          <w:tcPr>
            <w:tcW w:w="41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Richard B. Black</w:t>
            </w:r>
          </w:p>
        </w:tc>
        <w:tc>
          <w:tcPr>
            <w:tcW w:w="356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64,875</w:t>
            </w:r>
          </w:p>
        </w:tc>
        <w:tc>
          <w:tcPr>
            <w:tcW w:w="88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189,987</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254,862</w:t>
            </w:r>
          </w:p>
        </w:tc>
        <w:tc>
          <w:tcPr>
            <w:tcW w:w="0" w:type="dxa"/>
            <w:vAlign w:val="bottom"/>
          </w:tcPr>
          <w:p>
            <w:pPr>
              <w:spacing w:after="0"/>
              <w:rPr>
                <w:sz w:val="1"/>
                <w:szCs w:val="1"/>
                <w:color w:val="auto"/>
              </w:rPr>
            </w:pPr>
          </w:p>
        </w:tc>
      </w:tr>
      <w:tr>
        <w:trPr>
          <w:trHeight w:val="221"/>
        </w:trPr>
        <w:tc>
          <w:tcPr>
            <w:tcW w:w="41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Min-Chu (Mike) Chen</w:t>
            </w:r>
          </w:p>
        </w:tc>
        <w:tc>
          <w:tcPr>
            <w:tcW w:w="3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77,886</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189,987</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267,873</w:t>
            </w:r>
          </w:p>
        </w:tc>
        <w:tc>
          <w:tcPr>
            <w:tcW w:w="0" w:type="dxa"/>
            <w:vAlign w:val="bottom"/>
          </w:tcPr>
          <w:p>
            <w:pPr>
              <w:spacing w:after="0"/>
              <w:rPr>
                <w:sz w:val="1"/>
                <w:szCs w:val="1"/>
                <w:color w:val="auto"/>
              </w:rPr>
            </w:pPr>
          </w:p>
        </w:tc>
      </w:tr>
      <w:tr>
        <w:trPr>
          <w:trHeight w:val="29"/>
        </w:trPr>
        <w:tc>
          <w:tcPr>
            <w:tcW w:w="41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Cynthia (Cindy) DeLaney</w:t>
            </w:r>
          </w:p>
        </w:tc>
        <w:tc>
          <w:tcPr>
            <w:tcW w:w="356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82,330</w:t>
            </w:r>
          </w:p>
        </w:tc>
        <w:tc>
          <w:tcPr>
            <w:tcW w:w="88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189,987</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272,317</w:t>
            </w:r>
          </w:p>
        </w:tc>
        <w:tc>
          <w:tcPr>
            <w:tcW w:w="0" w:type="dxa"/>
            <w:vAlign w:val="bottom"/>
          </w:tcPr>
          <w:p>
            <w:pPr>
              <w:spacing w:after="0"/>
              <w:rPr>
                <w:sz w:val="1"/>
                <w:szCs w:val="1"/>
                <w:color w:val="auto"/>
              </w:rPr>
            </w:pPr>
          </w:p>
        </w:tc>
      </w:tr>
      <w:tr>
        <w:trPr>
          <w:trHeight w:val="221"/>
        </w:trPr>
        <w:tc>
          <w:tcPr>
            <w:tcW w:w="41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Che-Wei Lin</w:t>
            </w:r>
          </w:p>
        </w:tc>
        <w:tc>
          <w:tcPr>
            <w:tcW w:w="3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61,554</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189,987</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251,541</w:t>
            </w:r>
          </w:p>
        </w:tc>
        <w:tc>
          <w:tcPr>
            <w:tcW w:w="0" w:type="dxa"/>
            <w:vAlign w:val="bottom"/>
          </w:tcPr>
          <w:p>
            <w:pPr>
              <w:spacing w:after="0"/>
              <w:rPr>
                <w:sz w:val="1"/>
                <w:szCs w:val="1"/>
                <w:color w:val="auto"/>
              </w:rPr>
            </w:pPr>
          </w:p>
        </w:tc>
      </w:tr>
      <w:tr>
        <w:trPr>
          <w:trHeight w:val="29"/>
        </w:trPr>
        <w:tc>
          <w:tcPr>
            <w:tcW w:w="41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Elizabeth Loboa</w:t>
            </w:r>
          </w:p>
        </w:tc>
        <w:tc>
          <w:tcPr>
            <w:tcW w:w="3560" w:type="dxa"/>
            <w:vAlign w:val="bottom"/>
            <w:tcBorders>
              <w:bottom w:val="single" w:sz="8" w:color="auto"/>
            </w:tcBorders>
            <w:shd w:val="clear" w:color="auto" w:fill="E5E5E5"/>
          </w:tcPr>
          <w:p>
            <w:pPr>
              <w:jc w:val="right"/>
              <w:ind w:right="59"/>
              <w:spacing w:after="0"/>
              <w:rPr>
                <w:sz w:val="20"/>
                <w:szCs w:val="20"/>
                <w:color w:val="auto"/>
              </w:rPr>
            </w:pPr>
            <w:r>
              <w:rPr>
                <w:rFonts w:ascii="Arial" w:cs="Arial" w:eastAsia="Arial" w:hAnsi="Arial"/>
                <w:sz w:val="16"/>
                <w:szCs w:val="16"/>
                <w:color w:val="auto"/>
              </w:rPr>
              <w:t>60,430</w:t>
            </w:r>
          </w:p>
        </w:tc>
        <w:tc>
          <w:tcPr>
            <w:tcW w:w="880" w:type="dxa"/>
            <w:vAlign w:val="bottom"/>
            <w:tcBorders>
              <w:bottom w:val="single" w:sz="8" w:color="auto"/>
            </w:tcBorders>
            <w:shd w:val="clear" w:color="auto" w:fill="E5E5E5"/>
          </w:tcPr>
          <w:p>
            <w:pPr>
              <w:jc w:val="right"/>
              <w:ind w:right="59"/>
              <w:spacing w:after="0"/>
              <w:rPr>
                <w:sz w:val="20"/>
                <w:szCs w:val="20"/>
                <w:color w:val="auto"/>
              </w:rPr>
            </w:pPr>
            <w:r>
              <w:rPr>
                <w:rFonts w:ascii="Arial" w:cs="Arial" w:eastAsia="Arial" w:hAnsi="Arial"/>
                <w:sz w:val="16"/>
                <w:szCs w:val="16"/>
                <w:color w:val="auto"/>
              </w:rPr>
              <w:t>189,987</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250,417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240" w:right="500" w:hanging="358"/>
        <w:spacing w:after="0" w:line="328" w:lineRule="auto"/>
        <w:tabs>
          <w:tab w:leader="none" w:pos="12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Reflects the aggregate dollar amount of fees earned or paid in cash for services as a non-employee director, including committee membership fees, fees for serving as a committee chairperson, and board and committee meeting fees.</w:t>
      </w:r>
    </w:p>
    <w:p>
      <w:pPr>
        <w:spacing w:after="0" w:line="1" w:lineRule="exact"/>
        <w:rPr>
          <w:rFonts w:ascii="Arial" w:cs="Arial" w:eastAsia="Arial" w:hAnsi="Arial"/>
          <w:sz w:val="15"/>
          <w:szCs w:val="15"/>
          <w:color w:val="auto"/>
        </w:rPr>
      </w:pPr>
    </w:p>
    <w:p>
      <w:pPr>
        <w:ind w:left="1240" w:right="20" w:hanging="358"/>
        <w:spacing w:after="0" w:line="265" w:lineRule="auto"/>
        <w:tabs>
          <w:tab w:leader="none" w:pos="1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aggregate grant date fair value computed in accordance with FASB ASC Topic 718 of RSUs granted in 2025. The assumptions used in calculating the grant date fair value of the RSUs are reported in Note B to the consolidated financial statements included in the Annual Report. The amounts reported in this column reflect the accounting cost for these RSUs and do not correspond to the actual economic value that may be received by the non-employee directors for the RSUs. As of December 31, 2025, each of the current non-employee directors held the following number of outstanding RSUs: Mr. Yeh, 6,141; Mr. Black, 6,141; Dr. Chen, 6,141; Ms. DeLaney, 6,141; Mr. Lin, 6,141 and Dr. Loboa, 6,141.</w:t>
      </w:r>
    </w:p>
    <w:p>
      <w:pPr>
        <w:spacing w:after="0" w:line="77" w:lineRule="exact"/>
        <w:rPr>
          <w:sz w:val="20"/>
          <w:szCs w:val="20"/>
          <w:color w:val="auto"/>
        </w:rPr>
      </w:pPr>
    </w:p>
    <w:p>
      <w:pPr>
        <w:jc w:val="both"/>
        <w:ind w:left="660" w:right="440"/>
        <w:spacing w:after="0" w:line="265" w:lineRule="auto"/>
        <w:rPr>
          <w:sz w:val="20"/>
          <w:szCs w:val="20"/>
          <w:color w:val="auto"/>
        </w:rPr>
      </w:pPr>
      <w:r>
        <w:rPr>
          <w:rFonts w:ascii="Arial" w:cs="Arial" w:eastAsia="Arial" w:hAnsi="Arial"/>
          <w:sz w:val="16"/>
          <w:szCs w:val="16"/>
          <w:color w:val="auto"/>
        </w:rPr>
        <w:t>In the first quarter of 2025, the compensation committee engaged Aon to assess the market competitiveness of the Company’s Board compensation program relative to the 2025 Peer Group. Based on an assessment of peer group practices and improved Company financial performance, the compensation committee approved changes to the 2025 Board compensation program. A summary of 2024 and 2025 Board compensation is summarized in the table below:</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277"/>
        </w:trPr>
        <w:tc>
          <w:tcPr>
            <w:tcW w:w="7600" w:type="dxa"/>
            <w:vAlign w:val="bottom"/>
            <w:tcBorders>
              <w:bottom w:val="single" w:sz="8" w:color="4834BA"/>
            </w:tcBorders>
            <w:gridSpan w:val="2"/>
            <w:shd w:val="clear" w:color="auto" w:fill="4834BA"/>
          </w:tcPr>
          <w:p>
            <w:pPr>
              <w:ind w:left="80"/>
              <w:spacing w:after="0"/>
              <w:rPr>
                <w:sz w:val="20"/>
                <w:szCs w:val="20"/>
                <w:color w:val="auto"/>
              </w:rPr>
            </w:pPr>
            <w:r>
              <w:rPr>
                <w:rFonts w:ascii="Arial" w:cs="Arial" w:eastAsia="Arial" w:hAnsi="Arial"/>
                <w:sz w:val="16"/>
                <w:szCs w:val="16"/>
                <w:b w:val="1"/>
                <w:bCs w:val="1"/>
                <w:color w:val="FFFFFF"/>
              </w:rPr>
              <w:t>Board Compensation Element</w:t>
            </w:r>
          </w:p>
        </w:tc>
        <w:tc>
          <w:tcPr>
            <w:tcW w:w="120" w:type="dxa"/>
            <w:vAlign w:val="bottom"/>
            <w:tcBorders>
              <w:bottom w:val="single" w:sz="8" w:color="4834BA"/>
            </w:tcBorders>
            <w:shd w:val="clear" w:color="auto" w:fill="4834BA"/>
          </w:tcPr>
          <w:p>
            <w:pPr>
              <w:spacing w:after="0"/>
              <w:rPr>
                <w:sz w:val="24"/>
                <w:szCs w:val="24"/>
                <w:color w:val="auto"/>
              </w:rPr>
            </w:pPr>
          </w:p>
        </w:tc>
        <w:tc>
          <w:tcPr>
            <w:tcW w:w="100" w:type="dxa"/>
            <w:vAlign w:val="bottom"/>
            <w:tcBorders>
              <w:bottom w:val="single" w:sz="8" w:color="4834BA"/>
            </w:tcBorders>
            <w:shd w:val="clear" w:color="auto" w:fill="4834BA"/>
          </w:tcPr>
          <w:p>
            <w:pPr>
              <w:spacing w:after="0"/>
              <w:rPr>
                <w:sz w:val="24"/>
                <w:szCs w:val="24"/>
                <w:color w:val="auto"/>
              </w:rPr>
            </w:pPr>
          </w:p>
        </w:tc>
        <w:tc>
          <w:tcPr>
            <w:tcW w:w="720" w:type="dxa"/>
            <w:vAlign w:val="bottom"/>
            <w:tcBorders>
              <w:bottom w:val="single" w:sz="8" w:color="4834BA"/>
            </w:tcBorders>
            <w:shd w:val="clear" w:color="auto" w:fill="4834BA"/>
          </w:tcPr>
          <w:p>
            <w:pPr>
              <w:jc w:val="right"/>
              <w:ind w:right="39"/>
              <w:spacing w:after="0"/>
              <w:rPr>
                <w:sz w:val="20"/>
                <w:szCs w:val="20"/>
                <w:color w:val="auto"/>
              </w:rPr>
            </w:pPr>
            <w:r>
              <w:rPr>
                <w:rFonts w:ascii="Arial" w:cs="Arial" w:eastAsia="Arial" w:hAnsi="Arial"/>
                <w:sz w:val="16"/>
                <w:szCs w:val="16"/>
                <w:b w:val="1"/>
                <w:bCs w:val="1"/>
                <w:color w:val="FFFFFF"/>
              </w:rPr>
              <w:t>2024</w:t>
            </w:r>
          </w:p>
        </w:tc>
        <w:tc>
          <w:tcPr>
            <w:tcW w:w="200" w:type="dxa"/>
            <w:vAlign w:val="bottom"/>
            <w:tcBorders>
              <w:bottom w:val="single" w:sz="8" w:color="4834BA"/>
            </w:tcBorders>
            <w:shd w:val="clear" w:color="auto" w:fill="4834BA"/>
          </w:tcPr>
          <w:p>
            <w:pPr>
              <w:spacing w:after="0"/>
              <w:rPr>
                <w:sz w:val="24"/>
                <w:szCs w:val="24"/>
                <w:color w:val="auto"/>
              </w:rPr>
            </w:pPr>
          </w:p>
        </w:tc>
        <w:tc>
          <w:tcPr>
            <w:tcW w:w="660" w:type="dxa"/>
            <w:vAlign w:val="bottom"/>
            <w:tcBorders>
              <w:bottom w:val="single" w:sz="8" w:color="4834BA"/>
            </w:tcBorders>
            <w:shd w:val="clear" w:color="auto" w:fill="4834BA"/>
          </w:tcPr>
          <w:p>
            <w:pPr>
              <w:jc w:val="right"/>
              <w:spacing w:after="0"/>
              <w:rPr>
                <w:sz w:val="20"/>
                <w:szCs w:val="20"/>
                <w:color w:val="auto"/>
              </w:rPr>
            </w:pPr>
            <w:r>
              <w:rPr>
                <w:rFonts w:ascii="Arial" w:cs="Arial" w:eastAsia="Arial" w:hAnsi="Arial"/>
                <w:sz w:val="16"/>
                <w:szCs w:val="16"/>
                <w:b w:val="1"/>
                <w:bCs w:val="1"/>
                <w:color w:val="FFFFFF"/>
              </w:rPr>
              <w:t>2025</w:t>
            </w:r>
          </w:p>
        </w:tc>
        <w:tc>
          <w:tcPr>
            <w:tcW w:w="0" w:type="dxa"/>
            <w:vAlign w:val="bottom"/>
          </w:tcPr>
          <w:p>
            <w:pPr>
              <w:spacing w:after="0"/>
              <w:rPr>
                <w:sz w:val="1"/>
                <w:szCs w:val="1"/>
                <w:color w:val="auto"/>
              </w:rPr>
            </w:pPr>
          </w:p>
        </w:tc>
      </w:tr>
      <w:tr>
        <w:trPr>
          <w:trHeight w:val="228"/>
        </w:trPr>
        <w:tc>
          <w:tcPr>
            <w:tcW w:w="7600" w:type="dxa"/>
            <w:vAlign w:val="bottom"/>
            <w:gridSpan w:val="2"/>
          </w:tcPr>
          <w:p>
            <w:pPr>
              <w:ind w:left="80"/>
              <w:spacing w:after="0"/>
              <w:rPr>
                <w:sz w:val="20"/>
                <w:szCs w:val="20"/>
                <w:color w:val="auto"/>
              </w:rPr>
            </w:pPr>
            <w:r>
              <w:rPr>
                <w:rFonts w:ascii="Arial" w:cs="Arial" w:eastAsia="Arial" w:hAnsi="Arial"/>
                <w:sz w:val="16"/>
                <w:szCs w:val="16"/>
                <w:color w:val="auto"/>
              </w:rPr>
              <w:t>Annual Cash Retainer</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9"/>
        </w:trPr>
        <w:tc>
          <w:tcPr>
            <w:tcW w:w="7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00" w:type="dxa"/>
            <w:vAlign w:val="bottom"/>
            <w:tcBorders>
              <w:bottom w:val="single" w:sz="8" w:color="E5E5E5"/>
            </w:tcBorders>
            <w:gridSpan w:val="2"/>
            <w:shd w:val="clear" w:color="auto" w:fill="E5E5E5"/>
          </w:tcPr>
          <w:p>
            <w:pPr>
              <w:ind w:left="80"/>
              <w:spacing w:after="0"/>
              <w:rPr>
                <w:sz w:val="20"/>
                <w:szCs w:val="20"/>
                <w:color w:val="auto"/>
              </w:rPr>
            </w:pPr>
            <w:r>
              <w:rPr>
                <w:rFonts w:ascii="Arial" w:cs="Arial" w:eastAsia="Arial" w:hAnsi="Arial"/>
                <w:sz w:val="16"/>
                <w:szCs w:val="16"/>
                <w:color w:val="auto"/>
              </w:rPr>
              <w:t>Lead Independent Director Retainer</w:t>
            </w:r>
          </w:p>
        </w:tc>
        <w:tc>
          <w:tcPr>
            <w:tcW w:w="22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25,000</w:t>
            </w:r>
          </w:p>
        </w:tc>
        <w:tc>
          <w:tcPr>
            <w:tcW w:w="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48"/>
        </w:trPr>
        <w:tc>
          <w:tcPr>
            <w:tcW w:w="76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color w:val="auto"/>
              </w:rPr>
              <w:t>Audit Committee Compensation</w:t>
            </w:r>
          </w:p>
        </w:tc>
        <w:tc>
          <w:tcPr>
            <w:tcW w:w="2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20,000</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28,000</w:t>
            </w:r>
          </w:p>
        </w:tc>
        <w:tc>
          <w:tcPr>
            <w:tcW w:w="0" w:type="dxa"/>
            <w:vAlign w:val="bottom"/>
          </w:tcPr>
          <w:p>
            <w:pPr>
              <w:spacing w:after="0"/>
              <w:rPr>
                <w:sz w:val="1"/>
                <w:szCs w:val="1"/>
                <w:color w:val="auto"/>
              </w:rPr>
            </w:pPr>
          </w:p>
        </w:tc>
      </w:tr>
      <w:tr>
        <w:trPr>
          <w:trHeight w:val="162"/>
        </w:trPr>
        <w:tc>
          <w:tcPr>
            <w:tcW w:w="360" w:type="dxa"/>
            <w:vAlign w:val="bottom"/>
            <w:vMerge w:val="restart"/>
          </w:tcPr>
          <w:p>
            <w:pPr>
              <w:ind w:left="240"/>
              <w:spacing w:after="0"/>
              <w:rPr>
                <w:sz w:val="20"/>
                <w:szCs w:val="20"/>
                <w:color w:val="auto"/>
              </w:rPr>
            </w:pPr>
            <w:r>
              <w:rPr>
                <w:rFonts w:ascii="Arial" w:cs="Arial" w:eastAsia="Arial" w:hAnsi="Arial"/>
                <w:sz w:val="9"/>
                <w:szCs w:val="9"/>
                <w:color w:val="auto"/>
              </w:rPr>
              <w:t>●</w:t>
            </w:r>
          </w:p>
        </w:tc>
        <w:tc>
          <w:tcPr>
            <w:tcW w:w="7240" w:type="dxa"/>
            <w:vAlign w:val="bottom"/>
            <w:vMerge w:val="restart"/>
          </w:tcPr>
          <w:p>
            <w:pPr>
              <w:ind w:left="60"/>
              <w:spacing w:after="0"/>
              <w:rPr>
                <w:sz w:val="20"/>
                <w:szCs w:val="20"/>
                <w:color w:val="auto"/>
              </w:rPr>
            </w:pPr>
            <w:r>
              <w:rPr>
                <w:rFonts w:ascii="Arial" w:cs="Arial" w:eastAsia="Arial" w:hAnsi="Arial"/>
                <w:sz w:val="16"/>
                <w:szCs w:val="16"/>
                <w:color w:val="auto"/>
              </w:rPr>
              <w:t>Chair</w:t>
            </w: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vMerge w:val="continue"/>
          </w:tcPr>
          <w:p>
            <w:pPr>
              <w:spacing w:after="0"/>
              <w:rPr>
                <w:sz w:val="10"/>
                <w:szCs w:val="10"/>
                <w:color w:val="auto"/>
              </w:rPr>
            </w:pPr>
          </w:p>
        </w:tc>
        <w:tc>
          <w:tcPr>
            <w:tcW w:w="7240" w:type="dxa"/>
            <w:vAlign w:val="bottom"/>
            <w:vMerge w:val="continue"/>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10,000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14,000</w:t>
            </w:r>
          </w:p>
        </w:tc>
        <w:tc>
          <w:tcPr>
            <w:tcW w:w="0" w:type="dxa"/>
            <w:vAlign w:val="bottom"/>
          </w:tcPr>
          <w:p>
            <w:pPr>
              <w:spacing w:after="0"/>
              <w:rPr>
                <w:sz w:val="1"/>
                <w:szCs w:val="1"/>
                <w:color w:val="auto"/>
              </w:rPr>
            </w:pPr>
          </w:p>
        </w:tc>
      </w:tr>
      <w:tr>
        <w:trPr>
          <w:trHeight w:val="265"/>
        </w:trPr>
        <w:tc>
          <w:tcPr>
            <w:tcW w:w="360" w:type="dxa"/>
            <w:vAlign w:val="bottom"/>
            <w:tcBorders>
              <w:bottom w:val="single" w:sz="8" w:color="auto"/>
            </w:tcBorders>
          </w:tcPr>
          <w:p>
            <w:pPr>
              <w:ind w:left="240"/>
              <w:spacing w:after="0"/>
              <w:rPr>
                <w:sz w:val="20"/>
                <w:szCs w:val="20"/>
                <w:color w:val="auto"/>
              </w:rPr>
            </w:pPr>
            <w:r>
              <w:rPr>
                <w:rFonts w:ascii="Arial" w:cs="Arial" w:eastAsia="Arial" w:hAnsi="Arial"/>
                <w:sz w:val="9"/>
                <w:szCs w:val="9"/>
                <w:color w:val="auto"/>
              </w:rPr>
              <w:t>●</w:t>
            </w:r>
          </w:p>
        </w:tc>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Member</w:t>
            </w:r>
          </w:p>
        </w:tc>
        <w:tc>
          <w:tcPr>
            <w:tcW w:w="220" w:type="dxa"/>
            <w:vAlign w:val="bottom"/>
            <w:tcBorders>
              <w:bottom w:val="single" w:sz="8" w:color="auto"/>
            </w:tcBorders>
            <w:gridSpan w:val="2"/>
            <w:vMerge w:val="continue"/>
          </w:tcPr>
          <w:p>
            <w:pPr>
              <w:spacing w:after="0"/>
              <w:rPr>
                <w:sz w:val="23"/>
                <w:szCs w:val="23"/>
                <w:color w:val="auto"/>
              </w:rPr>
            </w:pPr>
          </w:p>
        </w:tc>
        <w:tc>
          <w:tcPr>
            <w:tcW w:w="720" w:type="dxa"/>
            <w:vAlign w:val="bottom"/>
            <w:tcBorders>
              <w:bottom w:val="single" w:sz="8" w:color="auto"/>
            </w:tcBorders>
            <w:vMerge w:val="continue"/>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60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Compensation Committee Compensation</w:t>
            </w:r>
          </w:p>
        </w:tc>
        <w:tc>
          <w:tcPr>
            <w:tcW w:w="120" w:type="dxa"/>
            <w:vAlign w:val="bottom"/>
            <w:shd w:val="clear" w:color="auto" w:fill="E5E5E5"/>
          </w:tcPr>
          <w:p>
            <w:pPr>
              <w:spacing w:after="0"/>
              <w:rPr>
                <w:sz w:val="22"/>
                <w:szCs w:val="22"/>
                <w:color w:val="auto"/>
              </w:rPr>
            </w:pP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E5E5E5"/>
          </w:tcPr>
          <w:p>
            <w:pPr>
              <w:jc w:val="right"/>
              <w:ind w:right="39"/>
              <w:spacing w:after="0"/>
              <w:rPr>
                <w:sz w:val="20"/>
                <w:szCs w:val="20"/>
                <w:color w:val="auto"/>
              </w:rPr>
            </w:pPr>
            <w:r>
              <w:rPr>
                <w:rFonts w:ascii="Arial" w:cs="Arial" w:eastAsia="Arial" w:hAnsi="Arial"/>
                <w:sz w:val="16"/>
                <w:szCs w:val="16"/>
                <w:color w:val="auto"/>
              </w:rPr>
              <w:t>15,500</w:t>
            </w:r>
          </w:p>
        </w:tc>
        <w:tc>
          <w:tcPr>
            <w:tcW w:w="20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162"/>
        </w:trPr>
        <w:tc>
          <w:tcPr>
            <w:tcW w:w="360" w:type="dxa"/>
            <w:vAlign w:val="bottom"/>
            <w:vMerge w:val="restart"/>
            <w:shd w:val="clear" w:color="auto" w:fill="E5E5E5"/>
          </w:tcPr>
          <w:p>
            <w:pPr>
              <w:ind w:left="240"/>
              <w:spacing w:after="0"/>
              <w:rPr>
                <w:sz w:val="20"/>
                <w:szCs w:val="20"/>
                <w:color w:val="auto"/>
              </w:rPr>
            </w:pPr>
            <w:r>
              <w:rPr>
                <w:rFonts w:ascii="Arial" w:cs="Arial" w:eastAsia="Arial" w:hAnsi="Arial"/>
                <w:sz w:val="9"/>
                <w:szCs w:val="9"/>
                <w:color w:val="auto"/>
              </w:rPr>
              <w:t>●</w:t>
            </w:r>
          </w:p>
        </w:tc>
        <w:tc>
          <w:tcPr>
            <w:tcW w:w="724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Chair</w:t>
            </w:r>
          </w:p>
        </w:tc>
        <w:tc>
          <w:tcPr>
            <w:tcW w:w="120" w:type="dxa"/>
            <w:vAlign w:val="bottom"/>
            <w:shd w:val="clear" w:color="auto" w:fill="E5E5E5"/>
          </w:tcPr>
          <w:p>
            <w:pPr>
              <w:spacing w:after="0"/>
              <w:rPr>
                <w:sz w:val="14"/>
                <w:szCs w:val="14"/>
                <w:color w:val="auto"/>
              </w:rPr>
            </w:pPr>
          </w:p>
        </w:tc>
        <w:tc>
          <w:tcPr>
            <w:tcW w:w="100" w:type="dxa"/>
            <w:vAlign w:val="bottom"/>
            <w:vMerge w:val="continue"/>
            <w:shd w:val="clear" w:color="auto" w:fill="E5E5E5"/>
          </w:tcPr>
          <w:p>
            <w:pPr>
              <w:spacing w:after="0"/>
              <w:rPr>
                <w:sz w:val="14"/>
                <w:szCs w:val="14"/>
                <w:color w:val="auto"/>
              </w:rPr>
            </w:pPr>
          </w:p>
        </w:tc>
        <w:tc>
          <w:tcPr>
            <w:tcW w:w="720" w:type="dxa"/>
            <w:vAlign w:val="bottom"/>
            <w:vMerge w:val="continue"/>
            <w:shd w:val="clear" w:color="auto" w:fill="E5E5E5"/>
          </w:tcPr>
          <w:p>
            <w:pPr>
              <w:spacing w:after="0"/>
              <w:rPr>
                <w:sz w:val="14"/>
                <w:szCs w:val="14"/>
                <w:color w:val="auto"/>
              </w:rPr>
            </w:pPr>
          </w:p>
        </w:tc>
        <w:tc>
          <w:tcPr>
            <w:tcW w:w="200" w:type="dxa"/>
            <w:vAlign w:val="bottom"/>
            <w:vMerge w:val="continue"/>
            <w:shd w:val="clear" w:color="auto" w:fill="E5E5E5"/>
          </w:tcPr>
          <w:p>
            <w:pPr>
              <w:spacing w:after="0"/>
              <w:rPr>
                <w:sz w:val="14"/>
                <w:szCs w:val="14"/>
                <w:color w:val="auto"/>
              </w:rPr>
            </w:pPr>
          </w:p>
        </w:tc>
        <w:tc>
          <w:tcPr>
            <w:tcW w:w="66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60" w:type="dxa"/>
            <w:vAlign w:val="bottom"/>
            <w:vMerge w:val="continue"/>
            <w:shd w:val="clear" w:color="auto" w:fill="E5E5E5"/>
          </w:tcPr>
          <w:p>
            <w:pPr>
              <w:spacing w:after="0"/>
              <w:rPr>
                <w:sz w:val="7"/>
                <w:szCs w:val="7"/>
                <w:color w:val="auto"/>
              </w:rPr>
            </w:pPr>
          </w:p>
        </w:tc>
        <w:tc>
          <w:tcPr>
            <w:tcW w:w="724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E5E5E5"/>
          </w:tcPr>
          <w:p>
            <w:pPr>
              <w:jc w:val="right"/>
              <w:ind w:right="39"/>
              <w:spacing w:after="0"/>
              <w:rPr>
                <w:sz w:val="20"/>
                <w:szCs w:val="20"/>
                <w:color w:val="auto"/>
              </w:rPr>
            </w:pPr>
            <w:r>
              <w:rPr>
                <w:rFonts w:ascii="Arial" w:cs="Arial" w:eastAsia="Arial" w:hAnsi="Arial"/>
                <w:sz w:val="16"/>
                <w:szCs w:val="16"/>
                <w:color w:val="auto"/>
              </w:rPr>
              <w:t>8,000</w:t>
            </w:r>
          </w:p>
        </w:tc>
        <w:tc>
          <w:tcPr>
            <w:tcW w:w="20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304"/>
        </w:trPr>
        <w:tc>
          <w:tcPr>
            <w:tcW w:w="36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9"/>
                <w:szCs w:val="9"/>
                <w:color w:val="auto"/>
              </w:rPr>
              <w:t>●</w:t>
            </w:r>
          </w:p>
        </w:tc>
        <w:tc>
          <w:tcPr>
            <w:tcW w:w="72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Member</w:t>
            </w:r>
          </w:p>
        </w:tc>
        <w:tc>
          <w:tcPr>
            <w:tcW w:w="120" w:type="dxa"/>
            <w:vAlign w:val="bottom"/>
            <w:tcBorders>
              <w:bottom w:val="single" w:sz="8" w:color="auto"/>
            </w:tcBorders>
            <w:shd w:val="clear" w:color="auto" w:fill="E5E5E5"/>
          </w:tcPr>
          <w:p>
            <w:pPr>
              <w:spacing w:after="0"/>
              <w:rPr>
                <w:sz w:val="24"/>
                <w:szCs w:val="24"/>
                <w:color w:val="auto"/>
              </w:rPr>
            </w:pPr>
          </w:p>
        </w:tc>
        <w:tc>
          <w:tcPr>
            <w:tcW w:w="100" w:type="dxa"/>
            <w:vAlign w:val="bottom"/>
            <w:tcBorders>
              <w:bottom w:val="single" w:sz="8" w:color="auto"/>
            </w:tcBorders>
            <w:vMerge w:val="continue"/>
            <w:shd w:val="clear" w:color="auto" w:fill="E5E5E5"/>
          </w:tcPr>
          <w:p>
            <w:pPr>
              <w:spacing w:after="0"/>
              <w:rPr>
                <w:sz w:val="24"/>
                <w:szCs w:val="24"/>
                <w:color w:val="auto"/>
              </w:rPr>
            </w:pPr>
          </w:p>
        </w:tc>
        <w:tc>
          <w:tcPr>
            <w:tcW w:w="720" w:type="dxa"/>
            <w:vAlign w:val="bottom"/>
            <w:tcBorders>
              <w:bottom w:val="single" w:sz="8" w:color="auto"/>
            </w:tcBorders>
            <w:vMerge w:val="continue"/>
            <w:shd w:val="clear" w:color="auto" w:fill="E5E5E5"/>
          </w:tcPr>
          <w:p>
            <w:pPr>
              <w:spacing w:after="0"/>
              <w:rPr>
                <w:sz w:val="24"/>
                <w:szCs w:val="24"/>
                <w:color w:val="auto"/>
              </w:rPr>
            </w:pPr>
          </w:p>
        </w:tc>
        <w:tc>
          <w:tcPr>
            <w:tcW w:w="200" w:type="dxa"/>
            <w:vAlign w:val="bottom"/>
            <w:tcBorders>
              <w:bottom w:val="single" w:sz="8" w:color="auto"/>
            </w:tcBorders>
            <w:vMerge w:val="continue"/>
            <w:shd w:val="clear" w:color="auto" w:fill="E5E5E5"/>
          </w:tcPr>
          <w:p>
            <w:pPr>
              <w:spacing w:after="0"/>
              <w:rPr>
                <w:sz w:val="24"/>
                <w:szCs w:val="24"/>
                <w:color w:val="auto"/>
              </w:rPr>
            </w:pPr>
          </w:p>
        </w:tc>
        <w:tc>
          <w:tcPr>
            <w:tcW w:w="660" w:type="dxa"/>
            <w:vAlign w:val="bottom"/>
            <w:tcBorders>
              <w:bottom w:val="single" w:sz="8" w:color="auto"/>
            </w:tcBorders>
            <w:vMerge w:val="continue"/>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600" w:type="dxa"/>
            <w:vAlign w:val="bottom"/>
            <w:gridSpan w:val="2"/>
          </w:tcPr>
          <w:p>
            <w:pPr>
              <w:ind w:left="80"/>
              <w:spacing w:after="0"/>
              <w:rPr>
                <w:sz w:val="20"/>
                <w:szCs w:val="20"/>
                <w:color w:val="auto"/>
              </w:rPr>
            </w:pPr>
            <w:r>
              <w:rPr>
                <w:rFonts w:ascii="Arial" w:cs="Arial" w:eastAsia="Arial" w:hAnsi="Arial"/>
                <w:sz w:val="16"/>
                <w:szCs w:val="16"/>
                <w:color w:val="auto"/>
              </w:rPr>
              <w:t>Nominating and Corporate Governance Committee Compensation</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10,000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11,000</w:t>
            </w:r>
          </w:p>
        </w:tc>
        <w:tc>
          <w:tcPr>
            <w:tcW w:w="0" w:type="dxa"/>
            <w:vAlign w:val="bottom"/>
          </w:tcPr>
          <w:p>
            <w:pPr>
              <w:spacing w:after="0"/>
              <w:rPr>
                <w:sz w:val="1"/>
                <w:szCs w:val="1"/>
                <w:color w:val="auto"/>
              </w:rPr>
            </w:pPr>
          </w:p>
        </w:tc>
      </w:tr>
      <w:tr>
        <w:trPr>
          <w:trHeight w:val="162"/>
        </w:trPr>
        <w:tc>
          <w:tcPr>
            <w:tcW w:w="360" w:type="dxa"/>
            <w:vAlign w:val="bottom"/>
            <w:vMerge w:val="restart"/>
          </w:tcPr>
          <w:p>
            <w:pPr>
              <w:ind w:left="240"/>
              <w:spacing w:after="0"/>
              <w:rPr>
                <w:sz w:val="20"/>
                <w:szCs w:val="20"/>
                <w:color w:val="auto"/>
              </w:rPr>
            </w:pPr>
            <w:r>
              <w:rPr>
                <w:rFonts w:ascii="Arial" w:cs="Arial" w:eastAsia="Arial" w:hAnsi="Arial"/>
                <w:sz w:val="9"/>
                <w:szCs w:val="9"/>
                <w:color w:val="auto"/>
              </w:rPr>
              <w:t>●</w:t>
            </w:r>
          </w:p>
        </w:tc>
        <w:tc>
          <w:tcPr>
            <w:tcW w:w="7240" w:type="dxa"/>
            <w:vAlign w:val="bottom"/>
            <w:vMerge w:val="restart"/>
          </w:tcPr>
          <w:p>
            <w:pPr>
              <w:ind w:left="60"/>
              <w:spacing w:after="0"/>
              <w:rPr>
                <w:sz w:val="20"/>
                <w:szCs w:val="20"/>
                <w:color w:val="auto"/>
              </w:rPr>
            </w:pPr>
            <w:r>
              <w:rPr>
                <w:rFonts w:ascii="Arial" w:cs="Arial" w:eastAsia="Arial" w:hAnsi="Arial"/>
                <w:sz w:val="16"/>
                <w:szCs w:val="16"/>
                <w:color w:val="auto"/>
              </w:rPr>
              <w:t>Chair</w:t>
            </w: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vMerge w:val="continue"/>
          </w:tcPr>
          <w:p>
            <w:pPr>
              <w:spacing w:after="0"/>
              <w:rPr>
                <w:sz w:val="10"/>
                <w:szCs w:val="10"/>
                <w:color w:val="auto"/>
              </w:rPr>
            </w:pPr>
          </w:p>
        </w:tc>
        <w:tc>
          <w:tcPr>
            <w:tcW w:w="7240" w:type="dxa"/>
            <w:vAlign w:val="bottom"/>
            <w:vMerge w:val="continue"/>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5,000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65"/>
        </w:trPr>
        <w:tc>
          <w:tcPr>
            <w:tcW w:w="360" w:type="dxa"/>
            <w:vAlign w:val="bottom"/>
            <w:tcBorders>
              <w:bottom w:val="single" w:sz="8" w:color="auto"/>
            </w:tcBorders>
          </w:tcPr>
          <w:p>
            <w:pPr>
              <w:ind w:left="240"/>
              <w:spacing w:after="0"/>
              <w:rPr>
                <w:sz w:val="20"/>
                <w:szCs w:val="20"/>
                <w:color w:val="auto"/>
              </w:rPr>
            </w:pPr>
            <w:r>
              <w:rPr>
                <w:rFonts w:ascii="Arial" w:cs="Arial" w:eastAsia="Arial" w:hAnsi="Arial"/>
                <w:sz w:val="9"/>
                <w:szCs w:val="9"/>
                <w:color w:val="auto"/>
              </w:rPr>
              <w:t>●</w:t>
            </w:r>
          </w:p>
        </w:tc>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Member</w:t>
            </w:r>
          </w:p>
        </w:tc>
        <w:tc>
          <w:tcPr>
            <w:tcW w:w="220" w:type="dxa"/>
            <w:vAlign w:val="bottom"/>
            <w:tcBorders>
              <w:bottom w:val="single" w:sz="8" w:color="auto"/>
            </w:tcBorders>
            <w:gridSpan w:val="2"/>
            <w:vMerge w:val="continue"/>
          </w:tcPr>
          <w:p>
            <w:pPr>
              <w:spacing w:after="0"/>
              <w:rPr>
                <w:sz w:val="23"/>
                <w:szCs w:val="23"/>
                <w:color w:val="auto"/>
              </w:rPr>
            </w:pPr>
          </w:p>
        </w:tc>
        <w:tc>
          <w:tcPr>
            <w:tcW w:w="720" w:type="dxa"/>
            <w:vAlign w:val="bottom"/>
            <w:tcBorders>
              <w:bottom w:val="single" w:sz="8" w:color="auto"/>
            </w:tcBorders>
            <w:vMerge w:val="continue"/>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760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Annual Equity Retainer</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150,000</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190,000</w:t>
            </w:r>
          </w:p>
        </w:tc>
        <w:tc>
          <w:tcPr>
            <w:tcW w:w="0" w:type="dxa"/>
            <w:vAlign w:val="bottom"/>
          </w:tcPr>
          <w:p>
            <w:pPr>
              <w:spacing w:after="0"/>
              <w:rPr>
                <w:sz w:val="1"/>
                <w:szCs w:val="1"/>
                <w:color w:val="auto"/>
              </w:rPr>
            </w:pPr>
          </w:p>
        </w:tc>
      </w:tr>
      <w:tr>
        <w:trPr>
          <w:trHeight w:val="97"/>
        </w:trPr>
        <w:tc>
          <w:tcPr>
            <w:tcW w:w="360" w:type="dxa"/>
            <w:vAlign w:val="bottom"/>
            <w:tcBorders>
              <w:bottom w:val="single" w:sz="8" w:color="auto"/>
            </w:tcBorders>
            <w:shd w:val="clear" w:color="auto" w:fill="E5E5E5"/>
          </w:tcPr>
          <w:p>
            <w:pPr>
              <w:spacing w:after="0"/>
              <w:rPr>
                <w:sz w:val="8"/>
                <w:szCs w:val="8"/>
                <w:color w:val="auto"/>
              </w:rPr>
            </w:pPr>
          </w:p>
        </w:tc>
        <w:tc>
          <w:tcPr>
            <w:tcW w:w="7240" w:type="dxa"/>
            <w:vAlign w:val="bottom"/>
            <w:tcBorders>
              <w:bottom w:val="single" w:sz="8" w:color="auto"/>
            </w:tcBorders>
            <w:shd w:val="clear" w:color="auto" w:fill="E5E5E5"/>
          </w:tcPr>
          <w:p>
            <w:pPr>
              <w:spacing w:after="0"/>
              <w:rPr>
                <w:sz w:val="8"/>
                <w:szCs w:val="8"/>
                <w:color w:val="auto"/>
              </w:rPr>
            </w:pPr>
          </w:p>
        </w:tc>
        <w:tc>
          <w:tcPr>
            <w:tcW w:w="120" w:type="dxa"/>
            <w:vAlign w:val="bottom"/>
            <w:tcBorders>
              <w:bottom w:val="single" w:sz="8" w:color="auto"/>
            </w:tcBorders>
            <w:shd w:val="clear" w:color="auto" w:fill="E5E5E5"/>
          </w:tcPr>
          <w:p>
            <w:pPr>
              <w:spacing w:after="0"/>
              <w:rPr>
                <w:sz w:val="8"/>
                <w:szCs w:val="8"/>
                <w:color w:val="auto"/>
              </w:rPr>
            </w:pPr>
          </w:p>
        </w:tc>
        <w:tc>
          <w:tcPr>
            <w:tcW w:w="100" w:type="dxa"/>
            <w:vAlign w:val="bottom"/>
            <w:tcBorders>
              <w:bottom w:val="single" w:sz="8" w:color="auto"/>
            </w:tcBorders>
            <w:shd w:val="clear" w:color="auto" w:fill="E5E5E5"/>
          </w:tcPr>
          <w:p>
            <w:pPr>
              <w:spacing w:after="0"/>
              <w:rPr>
                <w:sz w:val="8"/>
                <w:szCs w:val="8"/>
                <w:color w:val="auto"/>
              </w:rPr>
            </w:pPr>
          </w:p>
        </w:tc>
        <w:tc>
          <w:tcPr>
            <w:tcW w:w="720" w:type="dxa"/>
            <w:vAlign w:val="bottom"/>
            <w:tcBorders>
              <w:bottom w:val="single" w:sz="8" w:color="auto"/>
            </w:tcBorders>
            <w:shd w:val="clear" w:color="auto" w:fill="E5E5E5"/>
          </w:tcPr>
          <w:p>
            <w:pPr>
              <w:spacing w:after="0"/>
              <w:rPr>
                <w:sz w:val="8"/>
                <w:szCs w:val="8"/>
                <w:color w:val="auto"/>
              </w:rPr>
            </w:pPr>
          </w:p>
        </w:tc>
        <w:tc>
          <w:tcPr>
            <w:tcW w:w="200" w:type="dxa"/>
            <w:vAlign w:val="bottom"/>
            <w:tcBorders>
              <w:bottom w:val="single" w:sz="8" w:color="auto"/>
            </w:tcBorders>
            <w:shd w:val="clear" w:color="auto" w:fill="E5E5E5"/>
          </w:tcPr>
          <w:p>
            <w:pPr>
              <w:spacing w:after="0"/>
              <w:rPr>
                <w:sz w:val="8"/>
                <w:szCs w:val="8"/>
                <w:color w:val="auto"/>
              </w:rPr>
            </w:pPr>
          </w:p>
        </w:tc>
        <w:tc>
          <w:tcPr>
            <w:tcW w:w="660" w:type="dxa"/>
            <w:vAlign w:val="bottom"/>
            <w:tcBorders>
              <w:bottom w:val="single" w:sz="8" w:color="auto"/>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retainers paid to non-employee directors were paid on a quarterly basis and pro-rated for time served, as appropriate.</w:t>
      </w:r>
    </w:p>
    <w:p>
      <w:pPr>
        <w:spacing w:after="0" w:line="127" w:lineRule="exact"/>
        <w:rPr>
          <w:sz w:val="20"/>
          <w:szCs w:val="20"/>
          <w:color w:val="auto"/>
        </w:rPr>
      </w:pPr>
    </w:p>
    <w:p>
      <w:pPr>
        <w:ind w:left="660" w:right="20"/>
        <w:spacing w:after="0" w:line="265" w:lineRule="auto"/>
        <w:rPr>
          <w:sz w:val="20"/>
          <w:szCs w:val="20"/>
          <w:color w:val="auto"/>
        </w:rPr>
      </w:pPr>
      <w:r>
        <w:rPr>
          <w:rFonts w:ascii="Arial" w:cs="Arial" w:eastAsia="Arial" w:hAnsi="Arial"/>
          <w:sz w:val="16"/>
          <w:szCs w:val="16"/>
          <w:color w:val="auto"/>
        </w:rPr>
        <w:t>In addition, the number of equity awards granted to our non-employee directors for 2025 under the 2021 Plan was calculated by dividing $190,000 by the closing price of our common stock on the date of grant. All RSUs granted to our non-employee directors vest in equal monthly amounts over the first twelve months following the date of grant, subject to early termination in accordance with their terms. The grant of RSUs was made following the election of directors at the 2025 Annual Meeting with a grant date of June 13, 2025.</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Directors were also reimbursed for out-of-pocket expenses incurred in the course of their service on the Board or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569595</wp:posOffset>
            </wp:positionV>
            <wp:extent cx="334010" cy="162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50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6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3217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right="360"/>
        <w:spacing w:after="0" w:line="255" w:lineRule="auto"/>
        <w:rPr>
          <w:sz w:val="20"/>
          <w:szCs w:val="20"/>
          <w:color w:val="auto"/>
        </w:rPr>
      </w:pPr>
      <w:r>
        <w:rPr>
          <w:rFonts w:ascii="Arial" w:cs="Arial" w:eastAsia="Arial" w:hAnsi="Arial"/>
          <w:sz w:val="29"/>
          <w:szCs w:val="29"/>
          <w:b w:val="1"/>
          <w:bCs w:val="1"/>
          <w:color w:val="4834BA"/>
        </w:rPr>
        <w:t>APPROVE AMENDMENT OF OUR CERTIFICATE OF INCORPORATION TO CLARIFY THE VOTING STANDARD THAT APPLIES TO CERTAIN FUTURE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92710</wp:posOffset>
            </wp:positionV>
            <wp:extent cx="5966460" cy="660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66460" cy="660400"/>
                    </a:xfrm>
                    <a:prstGeom prst="rect">
                      <a:avLst/>
                    </a:prstGeom>
                    <a:noFill/>
                  </pic:spPr>
                </pic:pic>
              </a:graphicData>
            </a:graphic>
          </wp:anchor>
        </w:drawing>
      </w:r>
    </w:p>
    <w:p>
      <w:pPr>
        <w:spacing w:after="0" w:line="246" w:lineRule="exact"/>
        <w:rPr>
          <w:sz w:val="20"/>
          <w:szCs w:val="20"/>
          <w:color w:val="auto"/>
        </w:rPr>
      </w:pPr>
    </w:p>
    <w:p>
      <w:pPr>
        <w:ind w:left="780" w:right="1120"/>
        <w:spacing w:after="0" w:line="258" w:lineRule="auto"/>
        <w:rPr>
          <w:sz w:val="20"/>
          <w:szCs w:val="20"/>
          <w:color w:val="auto"/>
        </w:rPr>
      </w:pPr>
      <w:r>
        <w:rPr>
          <w:rFonts w:ascii="Arial" w:cs="Arial" w:eastAsia="Arial" w:hAnsi="Arial"/>
          <w:sz w:val="22"/>
          <w:szCs w:val="22"/>
          <w:b w:val="1"/>
          <w:bCs w:val="1"/>
          <w:color w:val="FFFFFF"/>
        </w:rPr>
        <w:t>The Board of Directors unanimously recommends that you vote “FOR” the amendment to our certificate of incorporation to clarify the voting standard that applies to certain future amendments.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Overview</w:t>
      </w:r>
    </w:p>
    <w:p>
      <w:pPr>
        <w:spacing w:after="0" w:line="126" w:lineRule="exact"/>
        <w:rPr>
          <w:sz w:val="20"/>
          <w:szCs w:val="20"/>
          <w:color w:val="auto"/>
        </w:rPr>
      </w:pPr>
    </w:p>
    <w:p>
      <w:pPr>
        <w:jc w:val="both"/>
        <w:ind w:left="660" w:right="20"/>
        <w:spacing w:after="0" w:line="275" w:lineRule="auto"/>
        <w:rPr>
          <w:sz w:val="20"/>
          <w:szCs w:val="20"/>
          <w:color w:val="auto"/>
        </w:rPr>
      </w:pPr>
      <w:r>
        <w:rPr>
          <w:rFonts w:ascii="Arial" w:cs="Arial" w:eastAsia="Arial" w:hAnsi="Arial"/>
          <w:sz w:val="16"/>
          <w:szCs w:val="16"/>
          <w:color w:val="auto"/>
        </w:rPr>
        <w:t>On April 10, 2026, our Board approved the amendment of our Certificate of Incorporation to clarify the voting standard that applies to future changes to the number of shares of our common stock authorized for issuance and to reverse stock splits of the issued shares of our common stock (the “Vote Clarification Amendment”).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ARTICLE X of our Certificate of Incorporation currently provides, in relevant part, that:</w:t>
      </w:r>
    </w:p>
    <w:p>
      <w:pPr>
        <w:spacing w:after="0" w:line="113" w:lineRule="exact"/>
        <w:rPr>
          <w:sz w:val="20"/>
          <w:szCs w:val="20"/>
          <w:color w:val="auto"/>
        </w:rPr>
      </w:pPr>
    </w:p>
    <w:p>
      <w:pPr>
        <w:ind w:left="880"/>
        <w:spacing w:after="0" w:line="243" w:lineRule="auto"/>
        <w:rPr>
          <w:sz w:val="20"/>
          <w:szCs w:val="20"/>
          <w:color w:val="auto"/>
        </w:rPr>
      </w:pPr>
      <w:r>
        <w:rPr>
          <w:rFonts w:ascii="Arial" w:cs="Arial" w:eastAsia="Arial" w:hAnsi="Arial"/>
          <w:sz w:val="16"/>
          <w:szCs w:val="16"/>
          <w:color w:val="auto"/>
        </w:rPr>
        <w:t>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provided, however, that the affirmative vote of not less than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outstanding shares of capital stock entitled to vote on such amendment or repeal, and the affirmative vote of not less than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outstanding shares of each class entitled to vote thereon as a class, shall be required to amend or repeal any provision of Article V, Article VI, Article VII, Article VIII, Article IX or Article X of this Certificate.</w:t>
      </w:r>
    </w:p>
    <w:p>
      <w:pPr>
        <w:spacing w:after="0" w:line="98" w:lineRule="exact"/>
        <w:rPr>
          <w:sz w:val="20"/>
          <w:szCs w:val="20"/>
          <w:color w:val="auto"/>
        </w:rPr>
      </w:pPr>
    </w:p>
    <w:p>
      <w:pPr>
        <w:ind w:left="660"/>
        <w:spacing w:after="0" w:line="282" w:lineRule="auto"/>
        <w:rPr>
          <w:sz w:val="20"/>
          <w:szCs w:val="20"/>
          <w:color w:val="auto"/>
        </w:rPr>
      </w:pPr>
      <w:r>
        <w:rPr>
          <w:rFonts w:ascii="Arial" w:cs="Arial" w:eastAsia="Arial" w:hAnsi="Arial"/>
          <w:sz w:val="15"/>
          <w:szCs w:val="15"/>
          <w:color w:val="auto"/>
        </w:rPr>
        <w:t>Effective as of August 1, 2023, Section 242 of the Delaware General Corporation Law (the “DGCL”) was amended to permit a lower voting standard to effect certain share increases and reverse stock splits and to eliminate the need for stockholder approval of certain forward stock splits. Specifically, amended Section 242(d) of the DGCL permits a corporation to increase or decrease the authorized number of shares of a class of stock, or to reclassify by combining the issued shares of a class of capital stock into a lesser number of issued shares (that is, a reverse stock split) if, among other things, (a) the class of stock is listed on a national securities exchange and will meet the listing requirements of that exchange relating to the minimum number of holders immediately after the amendment becomes effective and (b) the votes cast “for” the amendment exceed the votes cast “against” the amendment at a meeting at which a quorum of the stockholders is present in person or by proxy. Amended Section 242(d) also permits a corporation that has only one outstanding class of stock that is not divided into series to effect certain forward stock splits without a stockholder vote.</w:t>
      </w:r>
    </w:p>
    <w:p>
      <w:pPr>
        <w:spacing w:after="0" w:line="52" w:lineRule="exact"/>
        <w:rPr>
          <w:sz w:val="20"/>
          <w:szCs w:val="20"/>
          <w:color w:val="auto"/>
        </w:rPr>
      </w:pPr>
    </w:p>
    <w:p>
      <w:pPr>
        <w:ind w:left="660" w:right="160"/>
        <w:spacing w:after="0" w:line="265" w:lineRule="auto"/>
        <w:rPr>
          <w:sz w:val="20"/>
          <w:szCs w:val="20"/>
          <w:color w:val="auto"/>
        </w:rPr>
      </w:pPr>
      <w:r>
        <w:rPr>
          <w:rFonts w:ascii="Arial" w:cs="Arial" w:eastAsia="Arial" w:hAnsi="Arial"/>
          <w:sz w:val="16"/>
          <w:szCs w:val="16"/>
          <w:color w:val="auto"/>
        </w:rPr>
        <w:t>The Vote Clarification Amendment would provide that the Company expressly elects to be governed by amended Section 242(d) of the DGCL and clarify the voting standard applicable for stockholders to approve changes in the authorized number, and reverse stock splits, of our common stock. If the Vote Clarification Amendment is adopted, then, so long as the requirements of</w:t>
      </w:r>
    </w:p>
    <w:p>
      <w:pPr>
        <w:spacing w:after="0" w:line="1" w:lineRule="exact"/>
        <w:rPr>
          <w:sz w:val="20"/>
          <w:szCs w:val="20"/>
          <w:color w:val="auto"/>
        </w:rPr>
      </w:pPr>
    </w:p>
    <w:p>
      <w:pPr>
        <w:ind w:left="660" w:right="40"/>
        <w:spacing w:after="0" w:line="264" w:lineRule="auto"/>
        <w:rPr>
          <w:sz w:val="20"/>
          <w:szCs w:val="20"/>
          <w:color w:val="auto"/>
        </w:rPr>
      </w:pPr>
      <w:r>
        <w:rPr>
          <w:rFonts w:ascii="Arial" w:cs="Arial" w:eastAsia="Arial" w:hAnsi="Arial"/>
          <w:sz w:val="16"/>
          <w:szCs w:val="16"/>
          <w:color w:val="auto"/>
        </w:rPr>
        <w:t>Section 242(d) are satisfied, amendments to increase or decrease the authorized number of shares, or to effect a reverse stock split, of our common stock may be approved by the votes cast standard described above. As a result, once a quorum is present, for future proposed amendments of this type, broker non-votes, abstentions, and shares not present in person or by proxy at a stockholder meeting would have no effect on the outcome of whether these amendments are approved by stockholders.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Purpose of the Vote Clarification Amendment</w:t>
      </w:r>
    </w:p>
    <w:p>
      <w:pPr>
        <w:spacing w:after="0" w:line="126"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In deciding to approve the Vote Clarification Amendment and recommend it for stockholder approval, our Board considered a number of factors, including:</w:t>
      </w:r>
    </w:p>
    <w:p>
      <w:pPr>
        <w:spacing w:after="0" w:line="61" w:lineRule="exact"/>
        <w:rPr>
          <w:sz w:val="20"/>
          <w:szCs w:val="20"/>
          <w:color w:val="auto"/>
        </w:rPr>
      </w:pPr>
    </w:p>
    <w:p>
      <w:pPr>
        <w:ind w:left="1060" w:right="140" w:hanging="178"/>
        <w:spacing w:after="0" w:line="271" w:lineRule="auto"/>
        <w:tabs>
          <w:tab w:leader="none" w:pos="1060" w:val="left"/>
        </w:tabs>
        <w:numPr>
          <w:ilvl w:val="0"/>
          <w:numId w:val="32"/>
        </w:numPr>
        <w:rPr>
          <w:rFonts w:ascii="Arial" w:cs="Arial" w:eastAsia="Arial" w:hAnsi="Arial"/>
          <w:sz w:val="9"/>
          <w:szCs w:val="9"/>
          <w:color w:val="auto"/>
        </w:rPr>
      </w:pPr>
      <w:r>
        <w:rPr>
          <w:rFonts w:ascii="Arial" w:cs="Arial" w:eastAsia="Arial" w:hAnsi="Arial"/>
          <w:sz w:val="16"/>
          <w:szCs w:val="16"/>
          <w:color w:val="auto"/>
        </w:rPr>
        <w:t>By adopting the Vote Clarification Amendment and the accompanying “votes cast” standard, shares held by stockholders who do not vote or return proxies will no longer count as votes against changes to the number of shares of common stock and reverse splits of common stock. However, stockholders may continue to register their dissent against these actions by casting votes “against” any of these actions, if they are taken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201295</wp:posOffset>
            </wp:positionV>
            <wp:extent cx="334010" cy="162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28"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51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5" w:lineRule="exact"/>
        <w:rPr>
          <w:sz w:val="20"/>
          <w:szCs w:val="20"/>
          <w:color w:val="auto"/>
        </w:rPr>
      </w:pPr>
    </w:p>
    <w:p>
      <w:pPr>
        <w:ind w:left="1060" w:right="40" w:hanging="178"/>
        <w:spacing w:after="0" w:line="269" w:lineRule="auto"/>
        <w:tabs>
          <w:tab w:leader="none" w:pos="1060" w:val="left"/>
        </w:tabs>
        <w:numPr>
          <w:ilvl w:val="0"/>
          <w:numId w:val="33"/>
        </w:numPr>
        <w:rPr>
          <w:rFonts w:ascii="Arial" w:cs="Arial" w:eastAsia="Arial" w:hAnsi="Arial"/>
          <w:sz w:val="9"/>
          <w:szCs w:val="9"/>
          <w:color w:val="auto"/>
        </w:rPr>
      </w:pPr>
      <w:r>
        <w:rPr>
          <w:rFonts w:ascii="Arial" w:cs="Arial" w:eastAsia="Arial" w:hAnsi="Arial"/>
          <w:sz w:val="16"/>
          <w:szCs w:val="16"/>
          <w:color w:val="auto"/>
        </w:rPr>
        <w:t>The currently applicable voting standards and requirements for reverse stock splits or increases or decreases to the authorized number of shares of common stock may require us to expend significant time and resources, including with respect to the engagement of proxy solicitors to help solicit the requisite votes or, if we are not able to reach the required voting thresholds, could result in such proposals either not receiving stockholder approval or requiring the adjournment of the meeting for further solicitation.</w:t>
      </w:r>
    </w:p>
    <w:p>
      <w:pPr>
        <w:spacing w:after="0" w:line="62" w:lineRule="exact"/>
        <w:rPr>
          <w:rFonts w:ascii="Arial" w:cs="Arial" w:eastAsia="Arial" w:hAnsi="Arial"/>
          <w:sz w:val="9"/>
          <w:szCs w:val="9"/>
          <w:color w:val="auto"/>
        </w:rPr>
      </w:pPr>
    </w:p>
    <w:p>
      <w:pPr>
        <w:ind w:left="1060" w:right="100" w:hanging="178"/>
        <w:spacing w:after="0" w:line="304" w:lineRule="auto"/>
        <w:tabs>
          <w:tab w:leader="none" w:pos="1060" w:val="left"/>
        </w:tabs>
        <w:numPr>
          <w:ilvl w:val="0"/>
          <w:numId w:val="33"/>
        </w:numPr>
        <w:rPr>
          <w:rFonts w:ascii="Arial" w:cs="Arial" w:eastAsia="Arial" w:hAnsi="Arial"/>
          <w:sz w:val="9"/>
          <w:szCs w:val="9"/>
          <w:color w:val="auto"/>
        </w:rPr>
      </w:pPr>
      <w:r>
        <w:rPr>
          <w:rFonts w:ascii="Arial" w:cs="Arial" w:eastAsia="Arial" w:hAnsi="Arial"/>
          <w:sz w:val="16"/>
          <w:szCs w:val="16"/>
          <w:color w:val="auto"/>
        </w:rPr>
        <w:t>Our ability to offer equity incentives to our directors, officers, and employees, conduct equity offerings, and engage in strategic transactions may also require us to increase the number of shares of our common stock.</w:t>
      </w:r>
    </w:p>
    <w:p>
      <w:pPr>
        <w:spacing w:after="0" w:line="46" w:lineRule="exact"/>
        <w:rPr>
          <w:rFonts w:ascii="Arial" w:cs="Arial" w:eastAsia="Arial" w:hAnsi="Arial"/>
          <w:sz w:val="9"/>
          <w:szCs w:val="9"/>
          <w:color w:val="auto"/>
        </w:rPr>
      </w:pPr>
    </w:p>
    <w:p>
      <w:pPr>
        <w:ind w:left="1060" w:right="180" w:hanging="178"/>
        <w:spacing w:after="0" w:line="286" w:lineRule="auto"/>
        <w:tabs>
          <w:tab w:leader="none" w:pos="1060" w:val="left"/>
        </w:tabs>
        <w:numPr>
          <w:ilvl w:val="0"/>
          <w:numId w:val="33"/>
        </w:numPr>
        <w:rPr>
          <w:rFonts w:ascii="Arial" w:cs="Arial" w:eastAsia="Arial" w:hAnsi="Arial"/>
          <w:sz w:val="9"/>
          <w:szCs w:val="9"/>
          <w:color w:val="auto"/>
        </w:rPr>
      </w:pPr>
      <w:r>
        <w:rPr>
          <w:rFonts w:ascii="Arial" w:cs="Arial" w:eastAsia="Arial" w:hAnsi="Arial"/>
          <w:sz w:val="16"/>
          <w:szCs w:val="16"/>
          <w:color w:val="auto"/>
        </w:rPr>
        <w:t>In the future we may need to implement reverse stock splits in order to comply with Nasdaq continued listing requirements or implement forward stock splits or reverse stock splits for other strategic reasons.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Vote Clarification Amendment</w:t>
      </w:r>
    </w:p>
    <w:p>
      <w:pPr>
        <w:spacing w:after="0" w:line="126" w:lineRule="exact"/>
        <w:rPr>
          <w:sz w:val="20"/>
          <w:szCs w:val="20"/>
          <w:color w:val="auto"/>
        </w:rPr>
      </w:pPr>
    </w:p>
    <w:p>
      <w:pPr>
        <w:ind w:left="660" w:right="40"/>
        <w:spacing w:after="0" w:line="262" w:lineRule="auto"/>
        <w:rPr>
          <w:sz w:val="20"/>
          <w:szCs w:val="20"/>
          <w:color w:val="auto"/>
        </w:rPr>
      </w:pPr>
      <w:r>
        <w:rPr>
          <w:rFonts w:ascii="Arial" w:cs="Arial" w:eastAsia="Arial" w:hAnsi="Arial"/>
          <w:sz w:val="16"/>
          <w:szCs w:val="16"/>
          <w:color w:val="auto"/>
        </w:rPr>
        <w:t>If effected, the Vote Clarification Amendment would (i) amend ARTICLE X to provide that the Company expressly elects to be governed by amended Section 242(d) of the DGCL and clarify the voting standard applicable for stockholders to approve changes in the authorized number, and reverse stock splits, of our common stock and (ii) amend Article IV to effect a conforming change. The proposed text of amended ARTICLES X and IV is set forth on Appendix B to this Proxy Statement (with additions shown as underlined and deletions shown as strike-outs) and incorporated herein by reference. The Company encourages stockholders to review the full text of the Vote Clarification Amendment. The general description of our Certificate of Incorporation and the Vote Clarification Amendment set forth herein is qualified in its entirety by reference to the text of Appendix B. Section 242(d) is publicly available at https://delcode.delaware.gov/title8/c001/sc08/index.html, and the description of Section 242(d) is qualified by reference to the text of that section.</w:t>
      </w:r>
    </w:p>
    <w:p>
      <w:pPr>
        <w:spacing w:after="0" w:line="69" w:lineRule="exact"/>
        <w:rPr>
          <w:sz w:val="20"/>
          <w:szCs w:val="20"/>
          <w:color w:val="auto"/>
        </w:rPr>
      </w:pPr>
    </w:p>
    <w:p>
      <w:pPr>
        <w:ind w:left="660" w:right="40"/>
        <w:spacing w:after="0" w:line="269" w:lineRule="auto"/>
        <w:rPr>
          <w:sz w:val="20"/>
          <w:szCs w:val="20"/>
          <w:color w:val="auto"/>
        </w:rPr>
      </w:pPr>
      <w:r>
        <w:rPr>
          <w:rFonts w:ascii="Arial" w:cs="Arial" w:eastAsia="Arial" w:hAnsi="Arial"/>
          <w:sz w:val="16"/>
          <w:szCs w:val="16"/>
          <w:color w:val="auto"/>
        </w:rPr>
        <w:t>If this proposal is not approved by the Company’s stockholders, the approval of amendments to our Certificate of Incorporation to effect reverse stock splits or increases or decreases to the number of shares of our common stock will continue to require the affirmative vote of a majority of the outstanding shares of capital stock entitled to vote on such amendment, and the affirmative vote of a majority of the outstanding shares of each class entitled to vote thereon as a class, at a duly constituted meeting of stockholders called expressly for such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Timing of Effectiveness of Amendment</w:t>
      </w:r>
    </w:p>
    <w:p>
      <w:pPr>
        <w:spacing w:after="0" w:line="112" w:lineRule="exact"/>
        <w:rPr>
          <w:sz w:val="20"/>
          <w:szCs w:val="20"/>
          <w:color w:val="auto"/>
        </w:rPr>
      </w:pPr>
    </w:p>
    <w:p>
      <w:pPr>
        <w:ind w:left="660" w:right="60"/>
        <w:spacing w:after="0" w:line="268" w:lineRule="auto"/>
        <w:rPr>
          <w:sz w:val="20"/>
          <w:szCs w:val="20"/>
          <w:color w:val="auto"/>
        </w:rPr>
      </w:pPr>
      <w:r>
        <w:rPr>
          <w:rFonts w:ascii="Arial" w:cs="Arial" w:eastAsia="Arial" w:hAnsi="Arial"/>
          <w:sz w:val="16"/>
          <w:szCs w:val="16"/>
          <w:color w:val="auto"/>
        </w:rPr>
        <w:t>Approval of this proposal is not contingent on the approval of any other proposals in this Proxy Statement. If the Vote Clarification Amendment is approved by stockholders, then we intend to file a certificate of amendment to the Certificate of Incorporation with the Secretary of State of the State of Delaware setting forth the Vote Clarification Amendment, which will become effective upon filing. However, the Board of Directors retains the discretion to abandon and not implement the Vote Clarification Amendment at any time before it becomes effective. In addition, we intend to file a restated certificate of incorporation to integrate into a single document the proposed amendments discussed in this Proxy Statement that are approved by our stockholders.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 and Board of Directors Recommendation</w:t>
      </w:r>
    </w:p>
    <w:p>
      <w:pPr>
        <w:spacing w:after="0" w:line="126" w:lineRule="exact"/>
        <w:rPr>
          <w:sz w:val="20"/>
          <w:szCs w:val="20"/>
          <w:color w:val="auto"/>
        </w:rPr>
      </w:pPr>
    </w:p>
    <w:p>
      <w:pPr>
        <w:jc w:val="both"/>
        <w:ind w:left="660" w:right="20"/>
        <w:spacing w:after="0" w:line="220" w:lineRule="auto"/>
        <w:rPr>
          <w:sz w:val="20"/>
          <w:szCs w:val="20"/>
          <w:color w:val="auto"/>
        </w:rPr>
      </w:pPr>
      <w:r>
        <w:rPr>
          <w:rFonts w:ascii="Arial" w:cs="Arial" w:eastAsia="Arial" w:hAnsi="Arial"/>
          <w:sz w:val="16"/>
          <w:szCs w:val="16"/>
          <w:color w:val="auto"/>
        </w:rPr>
        <w:t>The affirmative vote of not less than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outstanding shares of capital stock entitled to vote thereon and the affirmative vote of not less than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outstanding shares of each class entitled to vote thereon as a class are required for the approval of this Proposal No. 4. Abstentions and broker non-votes will have the same effect as votes AGAINST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2625090</wp:posOffset>
            </wp:positionV>
            <wp:extent cx="334010" cy="162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52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6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3217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APPROVE THE 2026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75565</wp:posOffset>
            </wp:positionV>
            <wp:extent cx="5966460" cy="4546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66460" cy="454660"/>
                    </a:xfrm>
                    <a:prstGeom prst="rect">
                      <a:avLst/>
                    </a:prstGeom>
                    <a:noFill/>
                  </pic:spPr>
                </pic:pic>
              </a:graphicData>
            </a:graphic>
          </wp:anchor>
        </w:drawing>
      </w:r>
    </w:p>
    <w:p>
      <w:pPr>
        <w:spacing w:after="0" w:line="165" w:lineRule="exact"/>
        <w:rPr>
          <w:sz w:val="20"/>
          <w:szCs w:val="20"/>
          <w:color w:val="auto"/>
        </w:rPr>
      </w:pPr>
    </w:p>
    <w:p>
      <w:pPr>
        <w:ind w:left="780" w:right="1100"/>
        <w:spacing w:after="0" w:line="272" w:lineRule="auto"/>
        <w:rPr>
          <w:sz w:val="20"/>
          <w:szCs w:val="20"/>
          <w:color w:val="auto"/>
        </w:rPr>
      </w:pPr>
      <w:r>
        <w:rPr>
          <w:rFonts w:ascii="Arial" w:cs="Arial" w:eastAsia="Arial" w:hAnsi="Arial"/>
          <w:sz w:val="22"/>
          <w:szCs w:val="22"/>
          <w:b w:val="1"/>
          <w:bCs w:val="1"/>
          <w:color w:val="FFFFFF"/>
        </w:rPr>
        <w:t>The Board of Directors unanimously recommends that you vote “FOR” the approval of the 2026 Equity Incentive Plan.</w:t>
      </w:r>
    </w:p>
    <w:p>
      <w:pPr>
        <w:spacing w:after="0" w:line="264" w:lineRule="exact"/>
        <w:rPr>
          <w:sz w:val="20"/>
          <w:szCs w:val="20"/>
          <w:color w:val="auto"/>
        </w:rPr>
      </w:pPr>
    </w:p>
    <w:p>
      <w:pPr>
        <w:ind w:left="660" w:right="60"/>
        <w:spacing w:after="0" w:line="268" w:lineRule="auto"/>
        <w:rPr>
          <w:sz w:val="20"/>
          <w:szCs w:val="20"/>
          <w:color w:val="auto"/>
        </w:rPr>
      </w:pPr>
      <w:r>
        <w:rPr>
          <w:rFonts w:ascii="Arial" w:cs="Arial" w:eastAsia="Arial" w:hAnsi="Arial"/>
          <w:sz w:val="16"/>
          <w:szCs w:val="16"/>
          <w:color w:val="auto"/>
        </w:rPr>
        <w:t>The Board, upon the recommendation of the compensation committee, has adopted, and is asking our stockholders to approve, the 2026 Equity Incentive Plan (the “</w:t>
      </w:r>
      <w:r>
        <w:rPr>
          <w:rFonts w:ascii="Arial" w:cs="Arial" w:eastAsia="Arial" w:hAnsi="Arial"/>
          <w:sz w:val="16"/>
          <w:szCs w:val="16"/>
          <w:b w:val="1"/>
          <w:bCs w:val="1"/>
          <w:color w:val="auto"/>
        </w:rPr>
        <w:t>2026 Plan</w:t>
      </w:r>
      <w:r>
        <w:rPr>
          <w:rFonts w:ascii="Arial" w:cs="Arial" w:eastAsia="Arial" w:hAnsi="Arial"/>
          <w:sz w:val="16"/>
          <w:szCs w:val="16"/>
          <w:color w:val="auto"/>
        </w:rPr>
        <w:t>”). The 2026 Plan is intended to be the successor to the Company’s Amended and Restated 2021 Equity Incentive Plan (the “</w:t>
      </w:r>
      <w:r>
        <w:rPr>
          <w:rFonts w:ascii="Arial" w:cs="Arial" w:eastAsia="Arial" w:hAnsi="Arial"/>
          <w:sz w:val="16"/>
          <w:szCs w:val="16"/>
          <w:b w:val="1"/>
          <w:bCs w:val="1"/>
          <w:color w:val="auto"/>
        </w:rPr>
        <w:t>2021 Plan</w:t>
      </w:r>
      <w:r>
        <w:rPr>
          <w:rFonts w:ascii="Arial" w:cs="Arial" w:eastAsia="Arial" w:hAnsi="Arial"/>
          <w:sz w:val="16"/>
          <w:szCs w:val="16"/>
          <w:color w:val="auto"/>
        </w:rPr>
        <w:t>”) and the Amended and Restated 2013 Equity Incentive Plan (the “</w:t>
      </w:r>
      <w:r>
        <w:rPr>
          <w:rFonts w:ascii="Arial" w:cs="Arial" w:eastAsia="Arial" w:hAnsi="Arial"/>
          <w:sz w:val="16"/>
          <w:szCs w:val="16"/>
          <w:b w:val="1"/>
          <w:bCs w:val="1"/>
          <w:color w:val="auto"/>
        </w:rPr>
        <w:t>2013 Plan</w:t>
      </w:r>
      <w:r>
        <w:rPr>
          <w:rFonts w:ascii="Arial" w:cs="Arial" w:eastAsia="Arial" w:hAnsi="Arial"/>
          <w:sz w:val="16"/>
          <w:szCs w:val="16"/>
          <w:color w:val="auto"/>
        </w:rPr>
        <w:t>,” and together with the 2021 Plan, the “</w:t>
      </w:r>
      <w:r>
        <w:rPr>
          <w:rFonts w:ascii="Arial" w:cs="Arial" w:eastAsia="Arial" w:hAnsi="Arial"/>
          <w:sz w:val="16"/>
          <w:szCs w:val="16"/>
          <w:b w:val="1"/>
          <w:bCs w:val="1"/>
          <w:color w:val="auto"/>
        </w:rPr>
        <w:t>Prior Plans</w:t>
      </w:r>
      <w:r>
        <w:rPr>
          <w:rFonts w:ascii="Arial" w:cs="Arial" w:eastAsia="Arial" w:hAnsi="Arial"/>
          <w:sz w:val="16"/>
          <w:szCs w:val="16"/>
          <w:color w:val="auto"/>
        </w:rPr>
        <w:t>”). If our stockholders approve the 2026 Plan, it will become effective as of the date of the Annual Meeting and no new awards may be granted under the Prior Plans from and after such date. If our stockholders do not approve the 2026 Plan, the Prior Plans will remain in effect with their current terms and conditions.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Why Stockholders Should Vote to Approve the 2026 Plan</w:t>
      </w:r>
    </w:p>
    <w:p>
      <w:pPr>
        <w:spacing w:after="0" w:line="126" w:lineRule="exact"/>
        <w:rPr>
          <w:sz w:val="20"/>
          <w:szCs w:val="20"/>
          <w:color w:val="auto"/>
        </w:rPr>
      </w:pPr>
    </w:p>
    <w:p>
      <w:pPr>
        <w:ind w:left="660" w:right="180"/>
        <w:spacing w:after="0" w:line="285" w:lineRule="auto"/>
        <w:rPr>
          <w:sz w:val="20"/>
          <w:szCs w:val="20"/>
          <w:color w:val="auto"/>
        </w:rPr>
      </w:pPr>
      <w:r>
        <w:rPr>
          <w:rFonts w:ascii="Arial" w:cs="Arial" w:eastAsia="Arial" w:hAnsi="Arial"/>
          <w:sz w:val="15"/>
          <w:szCs w:val="15"/>
          <w:color w:val="auto"/>
        </w:rPr>
        <w:t>The use of broad-based equity incentive programs such as those made available through the 2026 Plan forms an important component of the Company’s compensation and incentive philosophy. This philosophy emphasizes the alignment of compensation and incentives with stockholder interests, and using long-term equity incentives to make a greater portion of each individual’s compensation dependent upon Company performance as the level of individual employee responsibility increases. We believe that the proposed adoption of the 2026 Plan is necessary to enable the Company to continue to provide these incentives in amounts determined to be appropriate by our compensation committee. If our stockholders do not approve the 2026 Plan, we believe we would be at a significant disadvantage for recruiting, retaining and motivating those individuals who are critical to our success.</w:t>
      </w:r>
    </w:p>
    <w:p>
      <w:pPr>
        <w:spacing w:after="0" w:line="51" w:lineRule="exact"/>
        <w:rPr>
          <w:sz w:val="20"/>
          <w:szCs w:val="20"/>
          <w:color w:val="auto"/>
        </w:rPr>
      </w:pPr>
    </w:p>
    <w:p>
      <w:pPr>
        <w:ind w:left="660" w:right="120"/>
        <w:spacing w:after="0" w:line="285" w:lineRule="auto"/>
        <w:rPr>
          <w:sz w:val="20"/>
          <w:szCs w:val="20"/>
          <w:color w:val="auto"/>
        </w:rPr>
      </w:pPr>
      <w:r>
        <w:rPr>
          <w:rFonts w:ascii="Arial" w:cs="Arial" w:eastAsia="Arial" w:hAnsi="Arial"/>
          <w:sz w:val="15"/>
          <w:szCs w:val="15"/>
          <w:color w:val="auto"/>
        </w:rPr>
        <w:t xml:space="preserve">We are asking our stockholders to approve an additional </w:t>
      </w:r>
      <w:r>
        <w:rPr>
          <w:rFonts w:ascii="Arial" w:cs="Arial" w:eastAsia="Arial" w:hAnsi="Arial"/>
          <w:sz w:val="15"/>
          <w:szCs w:val="15"/>
          <w:b w:val="1"/>
          <w:bCs w:val="1"/>
          <w:color w:val="auto"/>
        </w:rPr>
        <w:t>2,500,000</w:t>
      </w:r>
      <w:r>
        <w:rPr>
          <w:rFonts w:ascii="Arial" w:cs="Arial" w:eastAsia="Arial" w:hAnsi="Arial"/>
          <w:sz w:val="15"/>
          <w:szCs w:val="15"/>
          <w:color w:val="auto"/>
        </w:rPr>
        <w:t xml:space="preserve"> shares of common stock for issuance under the 2026 Plan. In addition to these newly authorized shares, any shares previously reserved and available for issuance, but not issued or subject to outstanding awards, under the Prior Plans as of the effective date of the 2026 Plan will become available for issuance under the 2026 Plan, as will up to 2,838,711 shares that are subject to outstanding awards under the Prior Plans as of the effective date of the 2026 Plan to the extent such shares would otherwise return to the share reserves of the Prior Plans (excluding shares tendered or withheld to pay the exercise or purchase price of or withholding taxes due on an award granted under the Prior Plan will not exceed 5,757,129 shares of common stock). No new awards will be granted under the Prior Plans if stockholders approve the 2026 Plan.</w:t>
      </w:r>
    </w:p>
    <w:p>
      <w:pPr>
        <w:spacing w:after="0" w:line="65"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8520" w:type="dxa"/>
            <w:vAlign w:val="bottom"/>
          </w:tcPr>
          <w:p>
            <w:pPr>
              <w:spacing w:after="0"/>
              <w:rPr>
                <w:sz w:val="20"/>
                <w:szCs w:val="20"/>
                <w:color w:val="auto"/>
              </w:rPr>
            </w:pPr>
            <w:r>
              <w:rPr>
                <w:rFonts w:ascii="Arial" w:cs="Arial" w:eastAsia="Arial" w:hAnsi="Arial"/>
                <w:sz w:val="16"/>
                <w:szCs w:val="16"/>
                <w:color w:val="auto"/>
              </w:rPr>
              <w:t>The following table sets forth certain information about the 2026 Plan and the Prior Plans as of March 31, 2026:</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8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Number of new shares authorized under the 2026 Plan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520" w:type="dxa"/>
            <w:vAlign w:val="bottom"/>
          </w:tcPr>
          <w:p>
            <w:pPr>
              <w:ind w:left="80"/>
              <w:spacing w:after="0"/>
              <w:rPr>
                <w:sz w:val="20"/>
                <w:szCs w:val="20"/>
                <w:color w:val="auto"/>
              </w:rPr>
            </w:pPr>
            <w:r>
              <w:rPr>
                <w:rFonts w:ascii="Arial" w:cs="Arial" w:eastAsia="Arial" w:hAnsi="Arial"/>
                <w:sz w:val="16"/>
                <w:szCs w:val="16"/>
                <w:color w:val="auto"/>
              </w:rPr>
              <w:t>Number of shares available for future awards under the Prior Plans</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418,418</w:t>
            </w:r>
          </w:p>
        </w:tc>
        <w:tc>
          <w:tcPr>
            <w:tcW w:w="0" w:type="dxa"/>
            <w:vAlign w:val="bottom"/>
          </w:tcPr>
          <w:p>
            <w:pPr>
              <w:spacing w:after="0"/>
              <w:rPr>
                <w:sz w:val="1"/>
                <w:szCs w:val="1"/>
                <w:color w:val="auto"/>
              </w:rPr>
            </w:pPr>
          </w:p>
        </w:tc>
      </w:tr>
      <w:tr>
        <w:trPr>
          <w:trHeight w:val="43"/>
        </w:trPr>
        <w:tc>
          <w:tcPr>
            <w:tcW w:w="85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852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Number of shares subject to outstanding awards of restricted stock units under the Prior Plans</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1,479,352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52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Number of shares subject to outstanding awards of performance restricted stock units (assuming target performance)</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1,359,359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85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85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Total number of new shares available for future awards if this proposal is approved</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2,918,418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852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200"/>
        <w:spacing w:after="0" w:line="301" w:lineRule="auto"/>
        <w:rPr>
          <w:sz w:val="20"/>
          <w:szCs w:val="20"/>
          <w:color w:val="auto"/>
        </w:rPr>
      </w:pPr>
      <w:r>
        <w:rPr>
          <w:rFonts w:ascii="Arial" w:cs="Arial" w:eastAsia="Arial" w:hAnsi="Arial"/>
          <w:sz w:val="15"/>
          <w:szCs w:val="15"/>
          <w:color w:val="auto"/>
        </w:rPr>
        <w:t>Our Board and compensation committee considered a number of factors in determining the number of additional shares to reserve for the 2026 Plan, including the number of shares remaining available under the Prior Plans, our past share usage, our estimate of the number of shares needed for future awards, a dilution analysis and competitive data from relevant peer companies.</w:t>
      </w:r>
    </w:p>
    <w:p>
      <w:pPr>
        <w:spacing w:after="0" w:line="53" w:lineRule="exact"/>
        <w:rPr>
          <w:sz w:val="20"/>
          <w:szCs w:val="20"/>
          <w:color w:val="auto"/>
        </w:rPr>
      </w:pPr>
    </w:p>
    <w:p>
      <w:pPr>
        <w:ind w:left="660" w:right="20"/>
        <w:spacing w:after="0" w:line="265" w:lineRule="auto"/>
        <w:rPr>
          <w:sz w:val="20"/>
          <w:szCs w:val="20"/>
          <w:color w:val="auto"/>
        </w:rPr>
      </w:pPr>
      <w:r>
        <w:rPr>
          <w:rFonts w:ascii="Arial" w:cs="Arial" w:eastAsia="Arial" w:hAnsi="Arial"/>
          <w:sz w:val="16"/>
          <w:szCs w:val="16"/>
          <w:color w:val="auto"/>
        </w:rPr>
        <w:t>If the 2026 Plan is approved, the Company’s total potential dilution from the shares available for issuance under its equity incentive plans would increase from 5.01% as of March 31, 2026 to 8.18%. Total potential dilution is calculated as the total of (a) the number of shares available for future grants under all of the Company’s equity incentive plans plus the number of shares underlying any outstanding awards at target, divided by (b) the total number of shares outstanding. The compensation committee has considered this potential dilution level in the context of competitive data from its peer group, and believes that the resulting dilution levels would be within normal competitive ranges.</w:t>
      </w:r>
    </w:p>
    <w:p>
      <w:pPr>
        <w:spacing w:after="0" w:line="77" w:lineRule="exact"/>
        <w:rPr>
          <w:sz w:val="20"/>
          <w:szCs w:val="20"/>
          <w:color w:val="auto"/>
        </w:rPr>
      </w:pPr>
    </w:p>
    <w:p>
      <w:pPr>
        <w:ind w:left="660"/>
        <w:spacing w:after="0" w:line="271" w:lineRule="auto"/>
        <w:rPr>
          <w:sz w:val="20"/>
          <w:szCs w:val="20"/>
          <w:color w:val="auto"/>
        </w:rPr>
      </w:pPr>
      <w:r>
        <w:rPr>
          <w:rFonts w:ascii="Arial" w:cs="Arial" w:eastAsia="Arial" w:hAnsi="Arial"/>
          <w:sz w:val="16"/>
          <w:szCs w:val="16"/>
          <w:color w:val="auto"/>
        </w:rPr>
        <w:t>In addition to overall dilution, the compensation committee considered annual dilution from the Company’s equity incentive plans in approving the 2026 Plan. The Company measures annual dilution as the total number of shares subject to equity awards granted during the year less cancellations and other shares returned to the reserve, divided by total common shares outstanding at the end of the year. The Company’s annual dilution under the Prior Plans for 2025 was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193040</wp:posOffset>
            </wp:positionV>
            <wp:extent cx="334010" cy="162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15"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53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2026 Plan also includes provisions aligned with equity plan governance best practices, including, among other provisions:</w:t>
      </w:r>
    </w:p>
    <w:p>
      <w:pPr>
        <w:spacing w:after="0" w:line="113" w:lineRule="exact"/>
        <w:rPr>
          <w:sz w:val="20"/>
          <w:szCs w:val="20"/>
          <w:color w:val="auto"/>
        </w:rPr>
      </w:pPr>
    </w:p>
    <w:p>
      <w:pPr>
        <w:ind w:left="1060" w:right="20" w:hanging="178"/>
        <w:spacing w:after="0" w:line="304" w:lineRule="auto"/>
        <w:tabs>
          <w:tab w:leader="none" w:pos="1060" w:val="left"/>
        </w:tabs>
        <w:numPr>
          <w:ilvl w:val="0"/>
          <w:numId w:val="34"/>
        </w:numPr>
        <w:rPr>
          <w:rFonts w:ascii="Arial" w:cs="Arial" w:eastAsia="Arial" w:hAnsi="Arial"/>
          <w:sz w:val="9"/>
          <w:szCs w:val="9"/>
          <w:color w:val="auto"/>
        </w:rPr>
      </w:pPr>
      <w:r>
        <w:rPr>
          <w:rFonts w:ascii="Arial" w:cs="Arial" w:eastAsia="Arial" w:hAnsi="Arial"/>
          <w:sz w:val="16"/>
          <w:szCs w:val="16"/>
          <w:color w:val="auto"/>
        </w:rPr>
        <w:t>a prohibition on repricing of stock options or stock appreciation rights without stockholder approval, and the issuance of “reload” options;</w:t>
      </w:r>
    </w:p>
    <w:p>
      <w:pPr>
        <w:spacing w:after="0" w:line="33" w:lineRule="exact"/>
        <w:rPr>
          <w:rFonts w:ascii="Arial" w:cs="Arial" w:eastAsia="Arial" w:hAnsi="Arial"/>
          <w:sz w:val="9"/>
          <w:szCs w:val="9"/>
          <w:color w:val="auto"/>
        </w:rPr>
      </w:pPr>
    </w:p>
    <w:p>
      <w:pPr>
        <w:ind w:left="1060" w:right="140" w:hanging="178"/>
        <w:spacing w:after="0" w:line="304" w:lineRule="auto"/>
        <w:tabs>
          <w:tab w:leader="none" w:pos="1060" w:val="left"/>
        </w:tabs>
        <w:numPr>
          <w:ilvl w:val="0"/>
          <w:numId w:val="34"/>
        </w:numPr>
        <w:rPr>
          <w:rFonts w:ascii="Arial" w:cs="Arial" w:eastAsia="Arial" w:hAnsi="Arial"/>
          <w:sz w:val="9"/>
          <w:szCs w:val="9"/>
          <w:color w:val="auto"/>
        </w:rPr>
      </w:pPr>
      <w:r>
        <w:rPr>
          <w:rFonts w:ascii="Arial" w:cs="Arial" w:eastAsia="Arial" w:hAnsi="Arial"/>
          <w:sz w:val="16"/>
          <w:szCs w:val="16"/>
          <w:color w:val="auto"/>
        </w:rPr>
        <w:t>a limitation on the aggregate amount of all compensation (including equity awards and cash fees) that may be granted or paid to any non-employee director during any calendar year; and</w:t>
      </w:r>
    </w:p>
    <w:p>
      <w:pPr>
        <w:spacing w:after="0" w:line="33" w:lineRule="exact"/>
        <w:rPr>
          <w:rFonts w:ascii="Arial" w:cs="Arial" w:eastAsia="Arial" w:hAnsi="Arial"/>
          <w:sz w:val="9"/>
          <w:szCs w:val="9"/>
          <w:color w:val="auto"/>
        </w:rPr>
      </w:pPr>
    </w:p>
    <w:p>
      <w:pPr>
        <w:ind w:left="1060" w:right="80" w:hanging="178"/>
        <w:spacing w:after="0" w:line="284" w:lineRule="auto"/>
        <w:tabs>
          <w:tab w:leader="none" w:pos="1060" w:val="left"/>
        </w:tabs>
        <w:numPr>
          <w:ilvl w:val="0"/>
          <w:numId w:val="34"/>
        </w:numPr>
        <w:rPr>
          <w:rFonts w:ascii="Arial" w:cs="Arial" w:eastAsia="Arial" w:hAnsi="Arial"/>
          <w:sz w:val="9"/>
          <w:szCs w:val="9"/>
          <w:color w:val="auto"/>
        </w:rPr>
      </w:pPr>
      <w:r>
        <w:rPr>
          <w:rFonts w:ascii="Arial" w:cs="Arial" w:eastAsia="Arial" w:hAnsi="Arial"/>
          <w:sz w:val="16"/>
          <w:szCs w:val="16"/>
          <w:color w:val="auto"/>
        </w:rPr>
        <w:t>a requirement that any dividends or dividend equivalents payable with respect to an award be subject to the same vesting conditions as the underlying award, such that no dividends or dividend equivalents will be paid prior to the vesting of the award to which they relate;</w:t>
      </w:r>
    </w:p>
    <w:p>
      <w:pPr>
        <w:spacing w:after="0" w:line="48" w:lineRule="exact"/>
        <w:rPr>
          <w:rFonts w:ascii="Arial" w:cs="Arial" w:eastAsia="Arial" w:hAnsi="Arial"/>
          <w:sz w:val="9"/>
          <w:szCs w:val="9"/>
          <w:color w:val="auto"/>
        </w:rPr>
      </w:pPr>
    </w:p>
    <w:p>
      <w:pPr>
        <w:ind w:left="1060" w:right="100" w:hanging="178"/>
        <w:spacing w:after="0" w:line="304" w:lineRule="auto"/>
        <w:tabs>
          <w:tab w:leader="none" w:pos="1060" w:val="left"/>
        </w:tabs>
        <w:numPr>
          <w:ilvl w:val="0"/>
          <w:numId w:val="34"/>
        </w:numPr>
        <w:rPr>
          <w:rFonts w:ascii="Arial" w:cs="Arial" w:eastAsia="Arial" w:hAnsi="Arial"/>
          <w:sz w:val="9"/>
          <w:szCs w:val="9"/>
          <w:color w:val="auto"/>
        </w:rPr>
      </w:pPr>
      <w:r>
        <w:rPr>
          <w:rFonts w:ascii="Arial" w:cs="Arial" w:eastAsia="Arial" w:hAnsi="Arial"/>
          <w:sz w:val="16"/>
          <w:szCs w:val="16"/>
          <w:color w:val="auto"/>
        </w:rPr>
        <w:t>subjecting all awards to recoupment in accordance with any clawback policy required to be adopted by the Company pursuant to applicable listing standards or law.</w:t>
      </w:r>
    </w:p>
    <w:p>
      <w:pPr>
        <w:spacing w:after="0" w:line="33" w:lineRule="exact"/>
        <w:rPr>
          <w:sz w:val="20"/>
          <w:szCs w:val="20"/>
          <w:color w:val="auto"/>
        </w:rPr>
      </w:pPr>
    </w:p>
    <w:p>
      <w:pPr>
        <w:ind w:left="660" w:right="40"/>
        <w:spacing w:after="0" w:line="259" w:lineRule="auto"/>
        <w:rPr>
          <w:sz w:val="20"/>
          <w:szCs w:val="20"/>
          <w:color w:val="auto"/>
        </w:rPr>
      </w:pPr>
      <w:r>
        <w:rPr>
          <w:rFonts w:ascii="Arial" w:cs="Arial" w:eastAsia="Arial" w:hAnsi="Arial"/>
          <w:sz w:val="16"/>
          <w:szCs w:val="16"/>
          <w:color w:val="auto"/>
        </w:rPr>
        <w:t>As of March 31, 2026, 78,943,144 shares of our common stock were outstanding. On March 31, 2026, the closing price of our common stock on the Nasdaq Stock Exchange was $84.59. As of March 31, 2026 there were 574,401 shares available for future awards under the 2023 Equity Inducement Plan and 122,119 shares subject to outstanding awards of restricted stock units under the 2023 Equity Inducement Plan.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Summary of the 2026 Plan</w:t>
      </w:r>
    </w:p>
    <w:p>
      <w:pPr>
        <w:spacing w:after="0" w:line="126" w:lineRule="exact"/>
        <w:rPr>
          <w:sz w:val="20"/>
          <w:szCs w:val="20"/>
          <w:color w:val="auto"/>
        </w:rPr>
      </w:pPr>
    </w:p>
    <w:p>
      <w:pPr>
        <w:jc w:val="both"/>
        <w:ind w:left="660" w:right="160"/>
        <w:spacing w:after="0" w:line="266" w:lineRule="auto"/>
        <w:rPr>
          <w:sz w:val="20"/>
          <w:szCs w:val="20"/>
          <w:color w:val="auto"/>
        </w:rPr>
      </w:pPr>
      <w:r>
        <w:rPr>
          <w:rFonts w:ascii="Arial" w:cs="Arial" w:eastAsia="Arial" w:hAnsi="Arial"/>
          <w:sz w:val="16"/>
          <w:szCs w:val="16"/>
          <w:color w:val="auto"/>
        </w:rPr>
        <w:t xml:space="preserve">The principal features of the 2026 Plan are summarized below. This summary does not contain all information about the 2026 Plan and does not purport to be a complete description. A copy of the complete text of the 2026 Plan is attached to this Proxy Statement as </w:t>
      </w:r>
      <w:r>
        <w:rPr>
          <w:rFonts w:ascii="Arial" w:cs="Arial" w:eastAsia="Arial" w:hAnsi="Arial"/>
          <w:sz w:val="16"/>
          <w:szCs w:val="16"/>
          <w:u w:val="single" w:color="auto"/>
          <w:color w:val="auto"/>
        </w:rPr>
        <w:t>Appendix C</w:t>
      </w:r>
      <w:r>
        <w:rPr>
          <w:rFonts w:ascii="Arial" w:cs="Arial" w:eastAsia="Arial" w:hAnsi="Arial"/>
          <w:sz w:val="16"/>
          <w:szCs w:val="16"/>
          <w:color w:val="auto"/>
        </w:rPr>
        <w:t xml:space="preserve">, and the following description is qualified in its entirety by reference to </w:t>
      </w:r>
      <w:r>
        <w:rPr>
          <w:rFonts w:ascii="Arial" w:cs="Arial" w:eastAsia="Arial" w:hAnsi="Arial"/>
          <w:sz w:val="16"/>
          <w:szCs w:val="16"/>
          <w:u w:val="single" w:color="auto"/>
          <w:color w:val="auto"/>
        </w:rPr>
        <w:t>Appendix C</w:t>
      </w:r>
      <w:r>
        <w:rPr>
          <w:rFonts w:ascii="Arial" w:cs="Arial" w:eastAsia="Arial" w:hAnsi="Arial"/>
          <w:sz w:val="16"/>
          <w:szCs w:val="16"/>
          <w:color w:val="auto"/>
        </w:rPr>
        <w:t>.</w:t>
      </w:r>
    </w:p>
    <w:p>
      <w:pPr>
        <w:spacing w:after="0" w:line="63" w:lineRule="exact"/>
        <w:rPr>
          <w:sz w:val="20"/>
          <w:szCs w:val="20"/>
          <w:color w:val="auto"/>
        </w:rPr>
      </w:pPr>
    </w:p>
    <w:p>
      <w:pPr>
        <w:ind w:left="660" w:right="60"/>
        <w:spacing w:after="0" w:line="266" w:lineRule="auto"/>
        <w:rPr>
          <w:sz w:val="20"/>
          <w:szCs w:val="20"/>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the 2026 Plan is to attract, retain and motivate individual service providers to the Company and its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by providing them the opportunity to acquire an equity interest in the Company and to align their interests and efforts with the long-term interests of the Company’s stockholders.</w:t>
      </w:r>
    </w:p>
    <w:p>
      <w:pPr>
        <w:spacing w:after="0" w:line="63"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Board or the compensation committee is authorized to administer the 2026 Plan. The Board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may have concurrent authority to administer the 2026 Plan. The administrator may delegate to one or more officers of the Company the authority to designate employees (who are not officers or Board members) to receive options and stock appreciation rights (and, to the extent permitted by applicable law, other types of awards) and to determine the number of shares subject to such awards, subject to the limitations set forth in the 2026 Plan. The administrator is authorized to select the individuals to be granted awards and, subject to the terms of the 2026 Plan, to determine the types of awards to be granted, the number of shares subject to awards and the other terms, conditions and provisions of such awards. References to the administrator below are, as applicable, to our Board, the compensation committee, or any other committee or officers to whom authority to administer the 2026 Plan is delegated.</w:t>
      </w:r>
    </w:p>
    <w:p>
      <w:pPr>
        <w:spacing w:after="0" w:line="77"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Awards may be granted under the 2026 Plan to any employee (including any officer) of the Company or a related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to any independent contractor (including directors, consultants and advisors) who is a natural person providing bona fide services to the Company or any related company, provided the services are not in connection with the offer and sale of the Company’s securities in a capital-raising transaction and do not directly or indirectly promote or maintain a market for the Company’s securities, in each case within the meaning of Form S-8 promulgated under the Securities Act. As of March 31, 2026, we had approximately 5,450 employees, including 5 executive officers, and 6 non-employee directors, all of whom would be eligible to participate in the 2026 Plan. However, consistent with our prior practice, we do not intend to make grants to all such individuals.</w:t>
      </w:r>
    </w:p>
    <w:p>
      <w:pPr>
        <w:spacing w:after="0" w:line="73" w:lineRule="exact"/>
        <w:rPr>
          <w:sz w:val="20"/>
          <w:szCs w:val="20"/>
          <w:color w:val="auto"/>
        </w:rPr>
      </w:pPr>
    </w:p>
    <w:p>
      <w:pPr>
        <w:ind w:left="660" w:right="20"/>
        <w:spacing w:after="0" w:line="253" w:lineRule="auto"/>
        <w:rPr>
          <w:sz w:val="20"/>
          <w:szCs w:val="20"/>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The maximum aggregate number of shares of common stock available for issuance under the 2026 Plan (the “</w:t>
      </w:r>
      <w:r>
        <w:rPr>
          <w:rFonts w:ascii="Arial" w:cs="Arial" w:eastAsia="Arial" w:hAnsi="Arial"/>
          <w:sz w:val="16"/>
          <w:szCs w:val="16"/>
          <w:b w:val="1"/>
          <w:bCs w:val="1"/>
          <w:color w:val="auto"/>
        </w:rPr>
        <w:t>Share Reserve</w:t>
      </w:r>
      <w:r>
        <w:rPr>
          <w:rFonts w:ascii="Arial" w:cs="Arial" w:eastAsia="Arial" w:hAnsi="Arial"/>
          <w:sz w:val="16"/>
          <w:szCs w:val="16"/>
          <w:color w:val="auto"/>
        </w:rPr>
        <w:t>”) will be the sum of</w:t>
      </w:r>
      <w:r>
        <w:rPr>
          <w:rFonts w:ascii="Arial" w:cs="Arial" w:eastAsia="Arial" w:hAnsi="Arial"/>
          <w:sz w:val="16"/>
          <w:szCs w:val="16"/>
          <w:b w:val="1"/>
          <w:bCs w:val="1"/>
          <w:color w:val="auto"/>
        </w:rPr>
        <w:t xml:space="preserve"> (i) 2,500,000 </w:t>
      </w:r>
      <w:r>
        <w:rPr>
          <w:rFonts w:ascii="Arial" w:cs="Arial" w:eastAsia="Arial" w:hAnsi="Arial"/>
          <w:sz w:val="16"/>
          <w:szCs w:val="16"/>
          <w:color w:val="auto"/>
        </w:rPr>
        <w:t>shares, plus (ii) any shares that, as of the effective date of the 2026 Plan, are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be made subject to new grants under the Prior Plans, which shares will cease to be available for issuance under the Prior Plans and instead become available under the 2026 Plan, plus (iii) up to 2,838,711 shares subject to awards granted under the Prior Plans that, on or after the effective date of the 2026 Plan, would otherwise return to the share reserves of the Prior Plans (excluding shares tendered or withheld to pay the exercise or purchase price of or withholding taxes due on an award granted under the Prior Plans). The maximum aggregate Share Reserve will not exceed 5,757,129 shares of common stock.</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the following shares also are available for issuance under the 2026 Plan (collectively, the “</w:t>
      </w:r>
      <w:r>
        <w:rPr>
          <w:rFonts w:ascii="Arial" w:cs="Arial" w:eastAsia="Arial" w:hAnsi="Arial"/>
          <w:sz w:val="16"/>
          <w:szCs w:val="16"/>
          <w:b w:val="1"/>
          <w:bCs w:val="1"/>
          <w:color w:val="auto"/>
        </w:rPr>
        <w:t>Prior Plan Reserve Shares</w:t>
      </w:r>
      <w:r>
        <w:rPr>
          <w:rFonts w:ascii="Arial" w:cs="Arial" w:eastAsia="Arial" w:hAnsi="Arial"/>
          <w:sz w:val="16"/>
          <w:szCs w:val="16"/>
          <w:color w:val="auto"/>
        </w:rPr>
        <w:t>”):</w:t>
      </w:r>
    </w:p>
    <w:p>
      <w:pPr>
        <w:spacing w:after="0" w:line="113" w:lineRule="exact"/>
        <w:rPr>
          <w:sz w:val="20"/>
          <w:szCs w:val="20"/>
          <w:color w:val="auto"/>
        </w:rPr>
      </w:pPr>
    </w:p>
    <w:p>
      <w:pPr>
        <w:ind w:left="1060" w:right="120" w:hanging="178"/>
        <w:spacing w:after="0" w:line="284" w:lineRule="auto"/>
        <w:tabs>
          <w:tab w:leader="none" w:pos="1060" w:val="left"/>
        </w:tabs>
        <w:numPr>
          <w:ilvl w:val="0"/>
          <w:numId w:val="35"/>
        </w:numPr>
        <w:rPr>
          <w:rFonts w:ascii="Arial" w:cs="Arial" w:eastAsia="Arial" w:hAnsi="Arial"/>
          <w:sz w:val="9"/>
          <w:szCs w:val="9"/>
          <w:color w:val="auto"/>
        </w:rPr>
      </w:pPr>
      <w:r>
        <w:rPr>
          <w:rFonts w:ascii="Arial" w:cs="Arial" w:eastAsia="Arial" w:hAnsi="Arial"/>
          <w:sz w:val="16"/>
          <w:szCs w:val="16"/>
          <w:color w:val="auto"/>
        </w:rPr>
        <w:t>authorized shares reserved and available for issuance, and not issued or subject to outstanding awards, under the Prior Plans as of the effective date of the 2026 Plan; as of March 31, 2026, 418,418 shares remained available for new grants under the Prior Plans; and</w:t>
      </w:r>
    </w:p>
    <w:p>
      <w:pPr>
        <w:spacing w:after="0" w:line="48" w:lineRule="exact"/>
        <w:rPr>
          <w:rFonts w:ascii="Arial" w:cs="Arial" w:eastAsia="Arial" w:hAnsi="Arial"/>
          <w:sz w:val="9"/>
          <w:szCs w:val="9"/>
          <w:color w:val="auto"/>
        </w:rPr>
      </w:pPr>
    </w:p>
    <w:p>
      <w:pPr>
        <w:ind w:left="1060" w:hanging="178"/>
        <w:spacing w:after="0" w:line="271" w:lineRule="auto"/>
        <w:tabs>
          <w:tab w:leader="none" w:pos="1060" w:val="left"/>
        </w:tabs>
        <w:numPr>
          <w:ilvl w:val="0"/>
          <w:numId w:val="35"/>
        </w:numPr>
        <w:rPr>
          <w:rFonts w:ascii="Arial" w:cs="Arial" w:eastAsia="Arial" w:hAnsi="Arial"/>
          <w:sz w:val="9"/>
          <w:szCs w:val="9"/>
          <w:color w:val="auto"/>
        </w:rPr>
      </w:pPr>
      <w:r>
        <w:rPr>
          <w:rFonts w:ascii="Arial" w:cs="Arial" w:eastAsia="Arial" w:hAnsi="Arial"/>
          <w:sz w:val="16"/>
          <w:szCs w:val="16"/>
          <w:color w:val="auto"/>
        </w:rPr>
        <w:t>shares subject to outstanding awards under the Prior Plans as of the effective date of the 2026 Plan that would otherwise return to the share reserves of the Prior Plans (excluding shares tendered or withheld to pay the exercise or purchase price of or withholding taxes due on an award granted under the Prior Plans); as of March 31, 2026, 2,838,711 shares were subject to outstanding awards.</w:t>
      </w:r>
    </w:p>
    <w:p>
      <w:pPr>
        <w:spacing w:after="0" w:line="73" w:lineRule="exact"/>
        <w:rPr>
          <w:sz w:val="20"/>
          <w:szCs w:val="20"/>
          <w:color w:val="auto"/>
        </w:rPr>
      </w:pPr>
    </w:p>
    <w:p>
      <w:pPr>
        <w:ind w:left="660" w:right="60"/>
        <w:spacing w:after="0" w:line="321" w:lineRule="auto"/>
        <w:rPr>
          <w:sz w:val="20"/>
          <w:szCs w:val="20"/>
          <w:color w:val="auto"/>
        </w:rPr>
      </w:pPr>
      <w:r>
        <w:rPr>
          <w:rFonts w:ascii="Arial" w:cs="Arial" w:eastAsia="Arial" w:hAnsi="Arial"/>
          <w:sz w:val="15"/>
          <w:szCs w:val="15"/>
          <w:color w:val="auto"/>
        </w:rPr>
        <w:t>To the extent shares are issued upon exercise or settlement of outstanding awards under the Prior Plans, those shares will not become available for grant under the 2026 Plan. Shares subject to awards granted under the 2026 Plan that lapse, expire,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170180</wp:posOffset>
            </wp:positionV>
            <wp:extent cx="334010" cy="162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79"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54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right="140"/>
        <w:spacing w:after="0" w:line="282" w:lineRule="auto"/>
        <w:rPr>
          <w:sz w:val="20"/>
          <w:szCs w:val="20"/>
          <w:color w:val="auto"/>
        </w:rPr>
      </w:pPr>
      <w:r>
        <w:rPr>
          <w:rFonts w:ascii="Arial" w:cs="Arial" w:eastAsia="Arial" w:hAnsi="Arial"/>
          <w:sz w:val="15"/>
          <w:szCs w:val="15"/>
          <w:color w:val="auto"/>
        </w:rPr>
        <w:t>or are forfeited or canceled prior to the issuance of the underlying shares, that are settled in cash or other property in lieu of shares, or that are subsequently forfeited to or repurchased by the Company at their original exercise or purchase price pursuant to the Company’s reacquisition or repurchase rights under the 2026 Plan, including any forfeiture or repurchase caused by the failure to meet a contingency or condition required for the vesting of such shares, will be available again for issuance under the 2026 Plan.</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following shares will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available again for issuance under the 2026 Plan:</w:t>
      </w:r>
    </w:p>
    <w:p>
      <w:pPr>
        <w:spacing w:after="0" w:line="127" w:lineRule="exact"/>
        <w:rPr>
          <w:sz w:val="20"/>
          <w:szCs w:val="20"/>
          <w:color w:val="auto"/>
        </w:rPr>
      </w:pPr>
    </w:p>
    <w:p>
      <w:pPr>
        <w:ind w:left="1060" w:right="680" w:hanging="178"/>
        <w:spacing w:after="0" w:line="286" w:lineRule="auto"/>
        <w:tabs>
          <w:tab w:leader="none" w:pos="1060" w:val="left"/>
        </w:tabs>
        <w:numPr>
          <w:ilvl w:val="0"/>
          <w:numId w:val="36"/>
        </w:numPr>
        <w:rPr>
          <w:rFonts w:ascii="Arial" w:cs="Arial" w:eastAsia="Arial" w:hAnsi="Arial"/>
          <w:sz w:val="9"/>
          <w:szCs w:val="9"/>
          <w:color w:val="auto"/>
        </w:rPr>
      </w:pPr>
      <w:r>
        <w:rPr>
          <w:rFonts w:ascii="Arial" w:cs="Arial" w:eastAsia="Arial" w:hAnsi="Arial"/>
          <w:sz w:val="16"/>
          <w:szCs w:val="16"/>
          <w:color w:val="auto"/>
        </w:rPr>
        <w:t>shares tendered to or withheld by the Company to pay the exercise or purchase price of an Award or to satisfy any tax withholding obligation in connection with the exercise or settlement of an Award;</w:t>
      </w:r>
    </w:p>
    <w:p>
      <w:pPr>
        <w:spacing w:after="0" w:line="61" w:lineRule="exact"/>
        <w:rPr>
          <w:rFonts w:ascii="Arial" w:cs="Arial" w:eastAsia="Arial" w:hAnsi="Arial"/>
          <w:sz w:val="9"/>
          <w:szCs w:val="9"/>
          <w:color w:val="auto"/>
        </w:rPr>
      </w:pPr>
    </w:p>
    <w:p>
      <w:pPr>
        <w:ind w:left="1060" w:hanging="178"/>
        <w:spacing w:after="0"/>
        <w:tabs>
          <w:tab w:leader="none" w:pos="1060" w:val="left"/>
        </w:tabs>
        <w:numPr>
          <w:ilvl w:val="0"/>
          <w:numId w:val="36"/>
        </w:numPr>
        <w:rPr>
          <w:rFonts w:ascii="Arial" w:cs="Arial" w:eastAsia="Arial" w:hAnsi="Arial"/>
          <w:sz w:val="9"/>
          <w:szCs w:val="9"/>
          <w:color w:val="auto"/>
        </w:rPr>
      </w:pPr>
      <w:r>
        <w:rPr>
          <w:rFonts w:ascii="Arial" w:cs="Arial" w:eastAsia="Arial" w:hAnsi="Arial"/>
          <w:sz w:val="16"/>
          <w:szCs w:val="16"/>
          <w:color w:val="auto"/>
        </w:rPr>
        <w:t>vested shares that have been issued under an Award and subsequently forfeited or reacquired by the Company; or</w:t>
      </w:r>
    </w:p>
    <w:p>
      <w:pPr>
        <w:spacing w:after="0" w:line="140" w:lineRule="exact"/>
        <w:rPr>
          <w:rFonts w:ascii="Arial" w:cs="Arial" w:eastAsia="Arial" w:hAnsi="Arial"/>
          <w:sz w:val="9"/>
          <w:szCs w:val="9"/>
          <w:color w:val="auto"/>
        </w:rPr>
      </w:pPr>
    </w:p>
    <w:p>
      <w:pPr>
        <w:ind w:left="1060" w:right="80" w:hanging="178"/>
        <w:spacing w:after="0" w:line="304" w:lineRule="auto"/>
        <w:tabs>
          <w:tab w:leader="none" w:pos="1060" w:val="left"/>
        </w:tabs>
        <w:numPr>
          <w:ilvl w:val="0"/>
          <w:numId w:val="36"/>
        </w:numPr>
        <w:rPr>
          <w:rFonts w:ascii="Arial" w:cs="Arial" w:eastAsia="Arial" w:hAnsi="Arial"/>
          <w:sz w:val="9"/>
          <w:szCs w:val="9"/>
          <w:color w:val="auto"/>
        </w:rPr>
      </w:pPr>
      <w:r>
        <w:rPr>
          <w:rFonts w:ascii="Arial" w:cs="Arial" w:eastAsia="Arial" w:hAnsi="Arial"/>
          <w:sz w:val="16"/>
          <w:szCs w:val="16"/>
          <w:color w:val="auto"/>
        </w:rPr>
        <w:t>any shares of Common Stock repurchased by the Company on the open market with the proceeds of the exercise or purchase price of an Award.</w:t>
      </w:r>
    </w:p>
    <w:p>
      <w:pPr>
        <w:spacing w:after="0" w:line="47" w:lineRule="exact"/>
        <w:rPr>
          <w:sz w:val="20"/>
          <w:szCs w:val="20"/>
          <w:color w:val="auto"/>
        </w:rPr>
      </w:pPr>
    </w:p>
    <w:p>
      <w:pPr>
        <w:ind w:left="660" w:right="320"/>
        <w:spacing w:after="0" w:line="256" w:lineRule="auto"/>
        <w:rPr>
          <w:sz w:val="20"/>
          <w:szCs w:val="20"/>
          <w:color w:val="auto"/>
        </w:rPr>
      </w:pPr>
      <w:r>
        <w:rPr>
          <w:rFonts w:ascii="Arial" w:cs="Arial" w:eastAsia="Arial" w:hAnsi="Arial"/>
          <w:sz w:val="16"/>
          <w:szCs w:val="16"/>
          <w:color w:val="auto"/>
        </w:rPr>
        <w:t>Awards granted in assumption of or in substitution for awards previously granted by a company the Company acquires will not reduce the number of shares authorized for issuance under the 2026 Plan. The maximum number of shares that may be issued under the 2026 Plan upon the exercise of incentive stock options will equal the Share Reserve, and each increase to the Share Reserve authorized by the Board and stockholders after the effective date will also result in a corresponding increase in this limit, unless otherwise expressly provided.</w:t>
      </w:r>
    </w:p>
    <w:p>
      <w:pPr>
        <w:spacing w:after="0" w:line="72"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If any change to our common stock occurs by reason of a stock dividend, stock split, spin-off, combination or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recapitalization, merger, consolidation, distribution to stockholders other than a normal cash dividend, or other change in the Company’s corporate or capital structure that constitutes an equity restructuring transaction under applicable financial accounting rules and that results in the outstanding shares of common stock, or any securities exchanged therefor or received in their place, being exchanged for a different number or kind of securities of the Company or any other company or new, different or additional securities of the Company or any other company being received by the holders of shares of common stock, the administrator will make proportional adjustments in (a) the maximum number and kind of securities available for issuance under the 2026 Plan, (b) the maximum number and kind of securities issuable as incentive stock options, and (c) the maximum number and kind of securities subject to any outstanding award and the per share price of such securities, without any change in the aggregate price to be paid under the award, in each case as necessary to prevent the diminution or enlargement of rights under the 2026 Plan.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Types of Awards. </w:t>
      </w:r>
      <w:r>
        <w:rPr>
          <w:rFonts w:ascii="Arial" w:cs="Arial" w:eastAsia="Arial" w:hAnsi="Arial"/>
          <w:sz w:val="16"/>
          <w:szCs w:val="16"/>
          <w:color w:val="auto"/>
        </w:rPr>
        <w:t>The 2026 Plan authorizes the grant of the following types of awards:</w:t>
      </w:r>
    </w:p>
    <w:p>
      <w:pPr>
        <w:spacing w:after="0" w:line="113" w:lineRule="exact"/>
        <w:rPr>
          <w:sz w:val="20"/>
          <w:szCs w:val="20"/>
          <w:color w:val="auto"/>
        </w:rPr>
      </w:pPr>
    </w:p>
    <w:p>
      <w:pPr>
        <w:ind w:left="1060" w:right="120" w:hanging="178"/>
        <w:spacing w:after="0" w:line="264" w:lineRule="auto"/>
        <w:tabs>
          <w:tab w:leader="none" w:pos="1060" w:val="left"/>
        </w:tabs>
        <w:numPr>
          <w:ilvl w:val="0"/>
          <w:numId w:val="37"/>
        </w:numPr>
        <w:rPr>
          <w:rFonts w:ascii="Arial" w:cs="Arial" w:eastAsia="Arial" w:hAnsi="Arial"/>
          <w:sz w:val="9"/>
          <w:szCs w:val="9"/>
          <w:color w:val="auto"/>
        </w:rPr>
      </w:pPr>
      <w:r>
        <w:rPr>
          <w:rFonts w:ascii="Arial" w:cs="Arial" w:eastAsia="Arial" w:hAnsi="Arial"/>
          <w:sz w:val="16"/>
          <w:szCs w:val="16"/>
          <w:b w:val="1"/>
          <w:bCs w:val="1"/>
          <w:color w:val="auto"/>
        </w:rPr>
        <w:t xml:space="preserve">Restricted Stock, Restricted Stock Units and Other Stock Based Awards. </w:t>
      </w:r>
      <w:r>
        <w:rPr>
          <w:rFonts w:ascii="Arial" w:cs="Arial" w:eastAsia="Arial" w:hAnsi="Arial"/>
          <w:sz w:val="16"/>
          <w:szCs w:val="16"/>
          <w:color w:val="auto"/>
        </w:rPr>
        <w:t>The administrator may grant awards of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either without payment of a purchase price (a “restricted stock bonus award”) or with payment of a purchase price (a “restricted stock purchase award”). The administrator may require that a participant deliver a completed Section 83(b) election and the taxes due in connection with that election. The administrator may also grant restricted stock units, which represent an unfunded, unsecured right to receive the fair market value of one share of common stock for each unit subject to the award in cash, common stock or other securities on the date of vesting or settlement. In addition, the administrator may grant or sell other awards that are valued in whole or in part by reference to, or are otherwise based on the fair market value of, shares of common stock, on such terms and conditions as determined by the administrator.</w:t>
      </w:r>
    </w:p>
    <w:p>
      <w:pPr>
        <w:spacing w:after="0" w:line="68" w:lineRule="exact"/>
        <w:rPr>
          <w:rFonts w:ascii="Arial" w:cs="Arial" w:eastAsia="Arial" w:hAnsi="Arial"/>
          <w:sz w:val="9"/>
          <w:szCs w:val="9"/>
          <w:color w:val="auto"/>
        </w:rPr>
      </w:pPr>
    </w:p>
    <w:p>
      <w:pPr>
        <w:jc w:val="both"/>
        <w:ind w:left="1060" w:right="80" w:hanging="178"/>
        <w:spacing w:after="0" w:line="269" w:lineRule="auto"/>
        <w:tabs>
          <w:tab w:leader="none" w:pos="1060" w:val="left"/>
        </w:tabs>
        <w:numPr>
          <w:ilvl w:val="0"/>
          <w:numId w:val="37"/>
        </w:numPr>
        <w:rPr>
          <w:rFonts w:ascii="Arial" w:cs="Arial" w:eastAsia="Arial" w:hAnsi="Arial"/>
          <w:sz w:val="9"/>
          <w:szCs w:val="9"/>
          <w:color w:val="auto"/>
        </w:rPr>
      </w:pPr>
      <w:r>
        <w:rPr>
          <w:rFonts w:ascii="Arial" w:cs="Arial" w:eastAsia="Arial" w:hAnsi="Arial"/>
          <w:sz w:val="16"/>
          <w:szCs w:val="16"/>
          <w:b w:val="1"/>
          <w:bCs w:val="1"/>
          <w:color w:val="auto"/>
        </w:rPr>
        <w:t xml:space="preserve">Performance Based Awards. </w:t>
      </w:r>
      <w:r>
        <w:rPr>
          <w:rFonts w:ascii="Arial" w:cs="Arial" w:eastAsia="Arial" w:hAnsi="Arial"/>
          <w:sz w:val="16"/>
          <w:szCs w:val="16"/>
          <w:color w:val="auto"/>
        </w:rPr>
        <w:t>The administrator may grant awards subject to performance-based conditions. The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may choose the performance-based conditions in its sole discretion, which may be determined on a Company-wide, divisional, business unit or individual basis and may include performance metrics. Performance awards may be payable in stock, cash or other property, or a combination, upon the attainment of performance criteria and other terms and conditions as established by the administrator.</w:t>
      </w:r>
    </w:p>
    <w:p>
      <w:pPr>
        <w:spacing w:after="0" w:line="62" w:lineRule="exact"/>
        <w:rPr>
          <w:rFonts w:ascii="Arial" w:cs="Arial" w:eastAsia="Arial" w:hAnsi="Arial"/>
          <w:sz w:val="9"/>
          <w:szCs w:val="9"/>
          <w:color w:val="auto"/>
        </w:rPr>
      </w:pPr>
    </w:p>
    <w:p>
      <w:pPr>
        <w:ind w:left="1060" w:right="80" w:hanging="178"/>
        <w:spacing w:after="0" w:line="262" w:lineRule="auto"/>
        <w:tabs>
          <w:tab w:leader="none" w:pos="1060" w:val="left"/>
        </w:tabs>
        <w:numPr>
          <w:ilvl w:val="0"/>
          <w:numId w:val="37"/>
        </w:numPr>
        <w:rPr>
          <w:rFonts w:ascii="Arial" w:cs="Arial" w:eastAsia="Arial" w:hAnsi="Arial"/>
          <w:sz w:val="9"/>
          <w:szCs w:val="9"/>
          <w:color w:val="auto"/>
        </w:rPr>
      </w:pPr>
      <w:r>
        <w:rPr>
          <w:rFonts w:ascii="Arial" w:cs="Arial" w:eastAsia="Arial" w:hAnsi="Arial"/>
          <w:sz w:val="16"/>
          <w:szCs w:val="16"/>
          <w:b w:val="1"/>
          <w:bCs w:val="1"/>
          <w:color w:val="auto"/>
        </w:rPr>
        <w:t xml:space="preserve">Stock Options and Stock Appreciation Rights (“SARs”). </w:t>
      </w:r>
      <w:r>
        <w:rPr>
          <w:rFonts w:ascii="Arial" w:cs="Arial" w:eastAsia="Arial" w:hAnsi="Arial"/>
          <w:sz w:val="16"/>
          <w:szCs w:val="16"/>
          <w:color w:val="auto"/>
        </w:rPr>
        <w:t>The administrator may grant either incentive stock options, which</w:t>
      </w:r>
      <w:r>
        <w:rPr>
          <w:rFonts w:ascii="Arial" w:cs="Arial" w:eastAsia="Arial" w:hAnsi="Arial"/>
          <w:sz w:val="16"/>
          <w:szCs w:val="16"/>
          <w:b w:val="1"/>
          <w:bCs w:val="1"/>
          <w:color w:val="auto"/>
        </w:rPr>
        <w:t xml:space="preserve"> </w:t>
      </w:r>
      <w:r>
        <w:rPr>
          <w:rFonts w:ascii="Arial" w:cs="Arial" w:eastAsia="Arial" w:hAnsi="Arial"/>
          <w:sz w:val="16"/>
          <w:szCs w:val="16"/>
          <w:color w:val="auto"/>
        </w:rPr>
        <w:t>must comply with Code Section 422, or nonqualified stock options. Upon exercise, SARs entitle the holder to receive payment per share in stock, cash or other securities equal to the excess of the share’s fair market value on the date of exercise over the grant price of the SAR. Stock options and SARs are subject to the vesting terms prescribed by the administrator. The exercise price of stock options or SARs granted under the 2026 Plan must be at least equal to 100% of the fair market value of the underlying stock on the grant date, except in the case of substitute awards granted in connection with an acquisition. Unless the administrator determines otherwise, fair market value means, as of a given date, the closing sales price of our stock. Stock options and SARs have a maximum term of 10 years from the grant date, subject to potential earlier termination following a participant’s termination of employment or service relationship with us. In the case of an incentive stock option granted to a participant who owns more than 10% of the total combined voting power of all classes of stock of the Company or its parent or subsidiary corporations, the exercise price must be at least 110% of fair market value on the grant date and the maximum term may not exceed 5 years.</w:t>
      </w:r>
    </w:p>
    <w:p>
      <w:pPr>
        <w:spacing w:after="0" w:line="73" w:lineRule="exact"/>
        <w:rPr>
          <w:rFonts w:ascii="Arial" w:cs="Arial" w:eastAsia="Arial" w:hAnsi="Arial"/>
          <w:sz w:val="9"/>
          <w:szCs w:val="9"/>
          <w:color w:val="auto"/>
        </w:rPr>
      </w:pPr>
    </w:p>
    <w:p>
      <w:pPr>
        <w:ind w:left="1060" w:right="80" w:hanging="178"/>
        <w:spacing w:after="0" w:line="304" w:lineRule="auto"/>
        <w:tabs>
          <w:tab w:leader="none" w:pos="1060" w:val="left"/>
        </w:tabs>
        <w:numPr>
          <w:ilvl w:val="0"/>
          <w:numId w:val="37"/>
        </w:numPr>
        <w:rPr>
          <w:rFonts w:ascii="Arial" w:cs="Arial" w:eastAsia="Arial" w:hAnsi="Arial"/>
          <w:sz w:val="9"/>
          <w:szCs w:val="9"/>
          <w:color w:val="auto"/>
        </w:rPr>
      </w:pPr>
      <w:r>
        <w:rPr>
          <w:rFonts w:ascii="Arial" w:cs="Arial" w:eastAsia="Arial" w:hAnsi="Arial"/>
          <w:sz w:val="16"/>
          <w:szCs w:val="16"/>
          <w:b w:val="1"/>
          <w:bCs w:val="1"/>
          <w:color w:val="auto"/>
        </w:rPr>
        <w:t xml:space="preserve">Other Stock or Cash-Based Awards. </w:t>
      </w:r>
      <w:r>
        <w:rPr>
          <w:rFonts w:ascii="Arial" w:cs="Arial" w:eastAsia="Arial" w:hAnsi="Arial"/>
          <w:sz w:val="16"/>
          <w:szCs w:val="16"/>
          <w:color w:val="auto"/>
        </w:rPr>
        <w:t>The administrator may grant other incentives payable in cash or in shares, subject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terms and conditions determined by the administrator and the 2026 Plan.</w:t>
      </w:r>
    </w:p>
    <w:p>
      <w:pPr>
        <w:spacing w:after="0" w:line="33" w:lineRule="exact"/>
        <w:rPr>
          <w:sz w:val="20"/>
          <w:szCs w:val="20"/>
          <w:color w:val="auto"/>
        </w:rPr>
      </w:pPr>
    </w:p>
    <w:p>
      <w:pPr>
        <w:ind w:left="660" w:right="360"/>
        <w:spacing w:after="0" w:line="340" w:lineRule="auto"/>
        <w:rPr>
          <w:sz w:val="20"/>
          <w:szCs w:val="20"/>
          <w:color w:val="auto"/>
        </w:rPr>
      </w:pPr>
      <w:r>
        <w:rPr>
          <w:rFonts w:ascii="Arial" w:cs="Arial" w:eastAsia="Arial" w:hAnsi="Arial"/>
          <w:sz w:val="15"/>
          <w:szCs w:val="15"/>
          <w:b w:val="1"/>
          <w:bCs w:val="1"/>
          <w:color w:val="auto"/>
        </w:rPr>
        <w:t xml:space="preserve">Performance Criteria. </w:t>
      </w:r>
      <w:r>
        <w:rPr>
          <w:rFonts w:ascii="Arial" w:cs="Arial" w:eastAsia="Arial" w:hAnsi="Arial"/>
          <w:sz w:val="15"/>
          <w:szCs w:val="15"/>
          <w:color w:val="auto"/>
        </w:rPr>
        <w:t>Any awards granted under the 2026 Plan may be subject to the achievement of performance objectives</w:t>
      </w:r>
      <w:r>
        <w:rPr>
          <w:rFonts w:ascii="Arial" w:cs="Arial" w:eastAsia="Arial" w:hAnsi="Arial"/>
          <w:sz w:val="15"/>
          <w:szCs w:val="15"/>
          <w:b w:val="1"/>
          <w:bCs w:val="1"/>
          <w:color w:val="auto"/>
        </w:rPr>
        <w:t xml:space="preserve"> </w:t>
      </w:r>
      <w:r>
        <w:rPr>
          <w:rFonts w:ascii="Arial" w:cs="Arial" w:eastAsia="Arial" w:hAnsi="Arial"/>
          <w:sz w:val="15"/>
          <w:szCs w:val="15"/>
          <w:color w:val="auto"/>
        </w:rPr>
        <w:t>determined on a Company-wide, divisional, business unit or individual basis and may include performance objectives measuring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170180</wp:posOffset>
            </wp:positionV>
            <wp:extent cx="334010" cy="162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79"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55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achievement in: earnings (including earnings per share or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environmental or climate impact; social good impact;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administrator. Performance metrics may be measured on an absolute basis or relative to a pre-established target, across or within performance periods, and, with respect to financial metrics, in accordance with or with deviations from either United States Generally Accepted Accounting Principles or International Accounting Standards Board principles.</w:t>
      </w:r>
    </w:p>
    <w:p>
      <w:pPr>
        <w:spacing w:after="0" w:line="88"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b w:val="1"/>
          <w:bCs w:val="1"/>
          <w:color w:val="auto"/>
        </w:rPr>
        <w:t xml:space="preserve">Limited Transferability. </w:t>
      </w:r>
      <w:r>
        <w:rPr>
          <w:rFonts w:ascii="Arial" w:cs="Arial" w:eastAsia="Arial" w:hAnsi="Arial"/>
          <w:sz w:val="16"/>
          <w:szCs w:val="16"/>
          <w:color w:val="auto"/>
        </w:rPr>
        <w:t>Awards generally may not be transferred, except by will or the laws of descent and distribution, or transfers of</w:t>
      </w:r>
      <w:r>
        <w:rPr>
          <w:rFonts w:ascii="Arial" w:cs="Arial" w:eastAsia="Arial" w:hAnsi="Arial"/>
          <w:sz w:val="16"/>
          <w:szCs w:val="16"/>
          <w:b w:val="1"/>
          <w:bCs w:val="1"/>
          <w:color w:val="auto"/>
        </w:rPr>
        <w:t xml:space="preserve"> </w:t>
      </w:r>
      <w:r>
        <w:rPr>
          <w:rFonts w:ascii="Arial" w:cs="Arial" w:eastAsia="Arial" w:hAnsi="Arial"/>
          <w:sz w:val="16"/>
          <w:szCs w:val="16"/>
          <w:color w:val="auto"/>
        </w:rPr>
        <w:t>vested shares of common stock after the period of restrictions have lapsed or been removed and the shares have been issued to the participant, subject to compliance with the Company’s policies on trading in Company securities and applicable laws. The administrator may permit the transfer of an award if that transfer complies with all applicable laws, such as a transfer to a trust if the participant is considered the sole beneficial owner of the trust or pursuant to a court-endorsed domestic relations order in a format acceptable to the administrator.</w:t>
      </w:r>
    </w:p>
    <w:p>
      <w:pPr>
        <w:spacing w:after="0" w:line="74" w:lineRule="exact"/>
        <w:rPr>
          <w:sz w:val="20"/>
          <w:szCs w:val="20"/>
          <w:color w:val="auto"/>
        </w:rPr>
      </w:pPr>
    </w:p>
    <w:p>
      <w:pPr>
        <w:ind w:left="660" w:right="40"/>
        <w:spacing w:after="0" w:line="254" w:lineRule="auto"/>
        <w:rPr>
          <w:sz w:val="20"/>
          <w:szCs w:val="20"/>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The administrator, in its discretion, may provide in the award agreement evidencing any award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participant will be entitled to receive dividends or dividend equivalents with respect to the payment of cash dividends on shares having a record date prior to the date on which the awards are settled or forfeited. However, dividends and dividend equivalents will be subject to the same vesting provisions as the awards to which they relate, and while amounts may accrue while the award or dividend equivalent is unvested, the amounts payable with respect to dividend equivalents or dividends will not be paid before the dividend equivalent or the award to which it relates vests.</w:t>
      </w:r>
    </w:p>
    <w:p>
      <w:pPr>
        <w:spacing w:after="0" w:line="74" w:lineRule="exact"/>
        <w:rPr>
          <w:sz w:val="20"/>
          <w:szCs w:val="20"/>
          <w:color w:val="auto"/>
        </w:rPr>
      </w:pPr>
    </w:p>
    <w:p>
      <w:pPr>
        <w:ind w:left="660" w:right="40"/>
        <w:spacing w:after="0" w:line="280" w:lineRule="auto"/>
        <w:rPr>
          <w:sz w:val="20"/>
          <w:szCs w:val="20"/>
          <w:color w:val="auto"/>
        </w:rPr>
      </w:pPr>
      <w:r>
        <w:rPr>
          <w:rFonts w:ascii="Arial" w:cs="Arial" w:eastAsia="Arial" w:hAnsi="Arial"/>
          <w:sz w:val="15"/>
          <w:szCs w:val="15"/>
          <w:b w:val="1"/>
          <w:bCs w:val="1"/>
          <w:color w:val="auto"/>
        </w:rPr>
        <w:t xml:space="preserve">Limitations on Awards to Non-Employee Directors. </w:t>
      </w:r>
      <w:r>
        <w:rPr>
          <w:rFonts w:ascii="Arial" w:cs="Arial" w:eastAsia="Arial" w:hAnsi="Arial"/>
          <w:sz w:val="15"/>
          <w:szCs w:val="15"/>
          <w:color w:val="auto"/>
        </w:rPr>
        <w:t>Under the 2026 Plan, the aggregate amount of all compensation granted during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any calendar year to any non-employee director, including any awards (based on grant date fair value computed as of the date of grant in accordance with applicable financial accounting rules) and any cash retainer or meeting fee paid or provided for service on the Board or any committee thereof, or any award granted in lieu of any such cash retainer or meeting fee, may not exceed </w:t>
      </w:r>
      <w:r>
        <w:rPr>
          <w:rFonts w:ascii="Arial" w:cs="Arial" w:eastAsia="Arial" w:hAnsi="Arial"/>
          <w:sz w:val="15"/>
          <w:szCs w:val="15"/>
          <w:b w:val="1"/>
          <w:bCs w:val="1"/>
          <w:color w:val="auto"/>
        </w:rPr>
        <w:t>$750,000</w:t>
      </w:r>
      <w:r>
        <w:rPr>
          <w:rFonts w:ascii="Arial" w:cs="Arial" w:eastAsia="Arial" w:hAnsi="Arial"/>
          <w:sz w:val="15"/>
          <w:szCs w:val="15"/>
          <w:color w:val="auto"/>
        </w:rPr>
        <w:t xml:space="preserve">, with the value increased to </w:t>
      </w:r>
      <w:r>
        <w:rPr>
          <w:rFonts w:ascii="Arial" w:cs="Arial" w:eastAsia="Arial" w:hAnsi="Arial"/>
          <w:sz w:val="15"/>
          <w:szCs w:val="15"/>
          <w:b w:val="1"/>
          <w:bCs w:val="1"/>
          <w:color w:val="auto"/>
        </w:rPr>
        <w:t>$1,000,000</w:t>
      </w:r>
      <w:r>
        <w:rPr>
          <w:rFonts w:ascii="Arial" w:cs="Arial" w:eastAsia="Arial" w:hAnsi="Arial"/>
          <w:sz w:val="15"/>
          <w:szCs w:val="15"/>
          <w:color w:val="auto"/>
        </w:rPr>
        <w:t xml:space="preserve"> for any non-employee director that joins the Company during the fiscal year.</w:t>
      </w:r>
    </w:p>
    <w:p>
      <w:pPr>
        <w:spacing w:after="0" w:line="47"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b w:val="1"/>
          <w:bCs w:val="1"/>
          <w:color w:val="auto"/>
        </w:rPr>
        <w:t xml:space="preserve">Prohibition on Repricing and Reload Options. </w:t>
      </w:r>
      <w:r>
        <w:rPr>
          <w:rFonts w:ascii="Arial" w:cs="Arial" w:eastAsia="Arial" w:hAnsi="Arial"/>
          <w:sz w:val="16"/>
          <w:szCs w:val="16"/>
          <w:color w:val="auto"/>
        </w:rPr>
        <w:t>The 2026 Plan provides that the administrator will not have the right,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approval, to engage in a transaction that is commonly referred to as a “repricing” of outstanding stock options or SARs, including (a) reducing the exercise price of outstanding stock options or SARs with an exercise price greater than the then-current fair market value of the common stock (an “underwater award”), (b) cancelling an underwater award and granting in substitution an award with a lower exercise price, cash, and/or other consideration, or (c) taking any other action that is treated as a “repricing” under generally accepted accounting principles. The 2026 Plan also prohibits the grant of “reload” options, meaning stock options that are automatically granted upon the exercise of a prior stock option using shares of common stock already owned by the participant to pay the exercise price.</w:t>
      </w:r>
    </w:p>
    <w:p>
      <w:pPr>
        <w:spacing w:after="0" w:line="75" w:lineRule="exact"/>
        <w:rPr>
          <w:sz w:val="20"/>
          <w:szCs w:val="20"/>
          <w:color w:val="auto"/>
        </w:rPr>
      </w:pPr>
    </w:p>
    <w:p>
      <w:pPr>
        <w:ind w:left="660" w:right="400"/>
        <w:spacing w:after="0" w:line="321" w:lineRule="auto"/>
        <w:rPr>
          <w:sz w:val="20"/>
          <w:szCs w:val="20"/>
          <w:color w:val="auto"/>
        </w:rPr>
      </w:pPr>
      <w:r>
        <w:rPr>
          <w:rFonts w:ascii="Arial" w:cs="Arial" w:eastAsia="Arial" w:hAnsi="Arial"/>
          <w:sz w:val="15"/>
          <w:szCs w:val="15"/>
          <w:b w:val="1"/>
          <w:bCs w:val="1"/>
          <w:color w:val="auto"/>
        </w:rPr>
        <w:t xml:space="preserve">Change of Control or Liquidation. </w:t>
      </w:r>
      <w:r>
        <w:rPr>
          <w:rFonts w:ascii="Arial" w:cs="Arial" w:eastAsia="Arial" w:hAnsi="Arial"/>
          <w:sz w:val="15"/>
          <w:szCs w:val="15"/>
          <w:color w:val="auto"/>
        </w:rPr>
        <w:t>Under the 2026 Plan, unless otherwise provided in the award agreement or any other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between the Company or any related company and the participant, upon the occurrence of a change of control:</w:t>
      </w:r>
    </w:p>
    <w:p>
      <w:pPr>
        <w:spacing w:after="0" w:line="25" w:lineRule="exact"/>
        <w:rPr>
          <w:sz w:val="20"/>
          <w:szCs w:val="20"/>
          <w:color w:val="auto"/>
        </w:rPr>
      </w:pPr>
    </w:p>
    <w:p>
      <w:pPr>
        <w:ind w:left="1060" w:right="100" w:hanging="178"/>
        <w:spacing w:after="0" w:line="262" w:lineRule="auto"/>
        <w:tabs>
          <w:tab w:leader="none" w:pos="1060" w:val="left"/>
        </w:tabs>
        <w:numPr>
          <w:ilvl w:val="0"/>
          <w:numId w:val="38"/>
        </w:numPr>
        <w:rPr>
          <w:rFonts w:ascii="Arial" w:cs="Arial" w:eastAsia="Arial" w:hAnsi="Arial"/>
          <w:sz w:val="9"/>
          <w:szCs w:val="9"/>
          <w:color w:val="auto"/>
        </w:rPr>
      </w:pPr>
      <w:r>
        <w:rPr>
          <w:rFonts w:ascii="Arial" w:cs="Arial" w:eastAsia="Arial" w:hAnsi="Arial"/>
          <w:sz w:val="16"/>
          <w:szCs w:val="16"/>
          <w:color w:val="auto"/>
        </w:rPr>
        <w:t>Upon a change of control that qualifies as a company transaction in which outstanding awards could be converted, assumed, substituted for or replaced by a successor company, outstanding awards that vest based on continued employment or service will become fully vested and immediately exercisable or payable, all applicable restrictions or forfeiture provisions will lapse, and such awards will terminate at the effective time of the change of control, only if and to the extent the awards are not converted, assumed, substituted for or replaced by the successor company. If and to the extent that the successor company converts, assumes, substitutes for or replaces an award, the vesting restrictions and/or forfeiture provisions applicable to such award will not be accelerated or lapse, and all such vesting restrictions and/or forfeiture provisions will continue with respect to any shares of the successor company or other consideration that may be received with respect to such award.</w:t>
      </w:r>
    </w:p>
    <w:p>
      <w:pPr>
        <w:spacing w:after="0" w:line="80" w:lineRule="exact"/>
        <w:rPr>
          <w:rFonts w:ascii="Arial" w:cs="Arial" w:eastAsia="Arial" w:hAnsi="Arial"/>
          <w:sz w:val="9"/>
          <w:szCs w:val="9"/>
          <w:color w:val="auto"/>
        </w:rPr>
      </w:pPr>
    </w:p>
    <w:p>
      <w:pPr>
        <w:ind w:left="1060" w:right="100" w:hanging="178"/>
        <w:spacing w:after="0" w:line="271" w:lineRule="auto"/>
        <w:tabs>
          <w:tab w:leader="none" w:pos="1060" w:val="left"/>
        </w:tabs>
        <w:numPr>
          <w:ilvl w:val="0"/>
          <w:numId w:val="38"/>
        </w:numPr>
        <w:rPr>
          <w:rFonts w:ascii="Arial" w:cs="Arial" w:eastAsia="Arial" w:hAnsi="Arial"/>
          <w:sz w:val="9"/>
          <w:szCs w:val="9"/>
          <w:color w:val="auto"/>
        </w:rPr>
      </w:pPr>
      <w:r>
        <w:rPr>
          <w:rFonts w:ascii="Arial" w:cs="Arial" w:eastAsia="Arial" w:hAnsi="Arial"/>
          <w:sz w:val="16"/>
          <w:szCs w:val="16"/>
          <w:color w:val="auto"/>
        </w:rPr>
        <w:t>In the event of a change of control that does not qualify as a company transaction, or if outstanding time-based awards are not converted, assumed, substituted for or replaced by a successor company in a company transaction, the awards will become fully vested and immediately exercisable or payable, and all applicable restrictions or forfeiture provisions will lapse, immediately prior to the change of control and the awards will terminate at the effective time of the change of control.</w:t>
      </w:r>
    </w:p>
    <w:p>
      <w:pPr>
        <w:spacing w:after="0" w:line="59" w:lineRule="exact"/>
        <w:rPr>
          <w:rFonts w:ascii="Arial" w:cs="Arial" w:eastAsia="Arial" w:hAnsi="Arial"/>
          <w:sz w:val="9"/>
          <w:szCs w:val="9"/>
          <w:color w:val="auto"/>
        </w:rPr>
      </w:pPr>
    </w:p>
    <w:p>
      <w:pPr>
        <w:ind w:left="1060" w:right="40" w:hanging="178"/>
        <w:spacing w:after="0" w:line="340" w:lineRule="auto"/>
        <w:tabs>
          <w:tab w:leader="none" w:pos="1060" w:val="left"/>
        </w:tabs>
        <w:numPr>
          <w:ilvl w:val="0"/>
          <w:numId w:val="38"/>
        </w:numPr>
        <w:rPr>
          <w:rFonts w:ascii="Arial" w:cs="Arial" w:eastAsia="Arial" w:hAnsi="Arial"/>
          <w:sz w:val="9"/>
          <w:szCs w:val="9"/>
          <w:color w:val="auto"/>
        </w:rPr>
      </w:pPr>
      <w:r>
        <w:rPr>
          <w:rFonts w:ascii="Arial" w:cs="Arial" w:eastAsia="Arial" w:hAnsi="Arial"/>
          <w:sz w:val="15"/>
          <w:szCs w:val="15"/>
          <w:color w:val="auto"/>
        </w:rPr>
        <w:t>All outstanding awards that are subject to vesting based on the achievement of specified performance goals, and that are earned and outstanding as of the date the change of control is determined to have occurred, and for which the payout level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161290</wp:posOffset>
            </wp:positionV>
            <wp:extent cx="334010" cy="162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66"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56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060" w:right="60"/>
        <w:spacing w:after="0" w:line="253" w:lineRule="auto"/>
        <w:rPr>
          <w:sz w:val="20"/>
          <w:szCs w:val="20"/>
          <w:color w:val="auto"/>
        </w:rPr>
      </w:pPr>
      <w:r>
        <w:rPr>
          <w:rFonts w:ascii="Arial" w:cs="Arial" w:eastAsia="Arial" w:hAnsi="Arial"/>
          <w:sz w:val="16"/>
          <w:szCs w:val="16"/>
          <w:color w:val="auto"/>
        </w:rPr>
        <w:t>been determined, will be payable in full in accordance with the payout schedule pursuant to the instrument evidencing the award. Any remaining outstanding performance-based awards for which the payout level has not been determined will be prorated based on actual results measured against the performance goals as of the change of control and will be payable in accordance with the payout schedule pursuant to the instrument evidencing the award. With respect to a change of control that is a company transaction in which such awards could be converted, assumed, substituted for or replaced by the successor company, such awards will terminate at the effective time of the change of control if and to the extent such awards are not converted, assumed, substituted for or replaced by the successor company.</w:t>
      </w:r>
    </w:p>
    <w:p>
      <w:pPr>
        <w:spacing w:after="0" w:line="73" w:lineRule="exact"/>
        <w:rPr>
          <w:sz w:val="20"/>
          <w:szCs w:val="20"/>
          <w:color w:val="auto"/>
        </w:rPr>
      </w:pPr>
    </w:p>
    <w:p>
      <w:pPr>
        <w:ind w:left="1060" w:right="20" w:hanging="178"/>
        <w:spacing w:after="0" w:line="262" w:lineRule="auto"/>
        <w:tabs>
          <w:tab w:leader="none" w:pos="1060" w:val="left"/>
        </w:tabs>
        <w:numPr>
          <w:ilvl w:val="0"/>
          <w:numId w:val="39"/>
        </w:numPr>
        <w:rPr>
          <w:rFonts w:ascii="Arial" w:cs="Arial" w:eastAsia="Arial" w:hAnsi="Arial"/>
          <w:sz w:val="9"/>
          <w:szCs w:val="9"/>
          <w:color w:val="auto"/>
        </w:rPr>
      </w:pPr>
      <w:r>
        <w:rPr>
          <w:rFonts w:ascii="Arial" w:cs="Arial" w:eastAsia="Arial" w:hAnsi="Arial"/>
          <w:sz w:val="16"/>
          <w:szCs w:val="16"/>
          <w:color w:val="auto"/>
        </w:rPr>
        <w:t>In the event of a company transaction, the administrator, in its sole discretion, may instead provide that a participant’s outstanding awards will terminate upon or immediately prior to such company transaction and that such participant will receive, in exchange therefor, a cash payment equal to the amount (if any) by which the value of the per share consideration received by holders of common stock in the company transaction (or deemed per share consideration, as determined by the administrator), multiplied by the number of shares subject to such outstanding awards (to the extent then vested and exercisable or whether or not then vested and exercisable, as determined by the administrator), exceeds, if applicable, the respective aggregate exercise price or grant price for such awards. For the avoidance of doubt, nothing in the change of control provisions requires all outstanding awards to be treated similarly.</w:t>
      </w:r>
    </w:p>
    <w:p>
      <w:pPr>
        <w:spacing w:after="0" w:line="81" w:lineRule="exact"/>
        <w:rPr>
          <w:sz w:val="20"/>
          <w:szCs w:val="20"/>
          <w:color w:val="auto"/>
        </w:rPr>
      </w:pPr>
    </w:p>
    <w:p>
      <w:pPr>
        <w:ind w:left="660" w:right="880"/>
        <w:spacing w:after="0" w:line="286" w:lineRule="auto"/>
        <w:rPr>
          <w:sz w:val="20"/>
          <w:szCs w:val="20"/>
          <w:color w:val="auto"/>
        </w:rPr>
      </w:pPr>
      <w:r>
        <w:rPr>
          <w:rFonts w:ascii="Arial" w:cs="Arial" w:eastAsia="Arial" w:hAnsi="Arial"/>
          <w:sz w:val="16"/>
          <w:szCs w:val="16"/>
          <w:color w:val="auto"/>
        </w:rPr>
        <w:t>The 2026 Plan generally defines “change of control” as the consummation, in a single transaction or in a series of related transactions, of any one or more of the following events:</w:t>
      </w:r>
    </w:p>
    <w:p>
      <w:pPr>
        <w:spacing w:after="0" w:line="48" w:lineRule="exact"/>
        <w:rPr>
          <w:sz w:val="20"/>
          <w:szCs w:val="20"/>
          <w:color w:val="auto"/>
        </w:rPr>
      </w:pPr>
    </w:p>
    <w:p>
      <w:pPr>
        <w:ind w:left="1060" w:right="520" w:hanging="178"/>
        <w:spacing w:after="0" w:line="304" w:lineRule="auto"/>
        <w:tabs>
          <w:tab w:leader="none" w:pos="1060" w:val="left"/>
        </w:tabs>
        <w:numPr>
          <w:ilvl w:val="0"/>
          <w:numId w:val="40"/>
        </w:numPr>
        <w:rPr>
          <w:rFonts w:ascii="Arial" w:cs="Arial" w:eastAsia="Arial" w:hAnsi="Arial"/>
          <w:sz w:val="9"/>
          <w:szCs w:val="9"/>
          <w:color w:val="auto"/>
        </w:rPr>
      </w:pPr>
      <w:r>
        <w:rPr>
          <w:rFonts w:ascii="Arial" w:cs="Arial" w:eastAsia="Arial" w:hAnsi="Arial"/>
          <w:sz w:val="16"/>
          <w:szCs w:val="16"/>
          <w:color w:val="auto"/>
        </w:rPr>
        <w:t>an acquisition of 50% or more of the combined voting power of our outstanding voting securities other than by virtue of a merger, consolidation or similar transaction; or</w:t>
      </w:r>
    </w:p>
    <w:p>
      <w:pPr>
        <w:spacing w:after="0" w:line="33" w:lineRule="exact"/>
        <w:rPr>
          <w:rFonts w:ascii="Arial" w:cs="Arial" w:eastAsia="Arial" w:hAnsi="Arial"/>
          <w:sz w:val="9"/>
          <w:szCs w:val="9"/>
          <w:color w:val="auto"/>
        </w:rPr>
      </w:pPr>
    </w:p>
    <w:p>
      <w:pPr>
        <w:ind w:left="1060" w:hanging="178"/>
        <w:spacing w:after="0"/>
        <w:tabs>
          <w:tab w:leader="none" w:pos="1060" w:val="left"/>
        </w:tabs>
        <w:numPr>
          <w:ilvl w:val="0"/>
          <w:numId w:val="40"/>
        </w:numPr>
        <w:rPr>
          <w:rFonts w:ascii="Arial" w:cs="Arial" w:eastAsia="Arial" w:hAnsi="Arial"/>
          <w:sz w:val="9"/>
          <w:szCs w:val="9"/>
          <w:color w:val="auto"/>
        </w:rPr>
      </w:pPr>
      <w:r>
        <w:rPr>
          <w:rFonts w:ascii="Arial" w:cs="Arial" w:eastAsia="Arial" w:hAnsi="Arial"/>
          <w:sz w:val="16"/>
          <w:szCs w:val="16"/>
          <w:color w:val="auto"/>
        </w:rPr>
        <w:t>a “company transaction.”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2026 Plan generally defines a “company transaction” as the occurrence of any of the following events:</w:t>
      </w:r>
    </w:p>
    <w:p>
      <w:pPr>
        <w:spacing w:after="0" w:line="113" w:lineRule="exact"/>
        <w:rPr>
          <w:sz w:val="20"/>
          <w:szCs w:val="20"/>
          <w:color w:val="auto"/>
        </w:rPr>
      </w:pPr>
    </w:p>
    <w:p>
      <w:pPr>
        <w:ind w:left="1060" w:right="20" w:hanging="178"/>
        <w:spacing w:after="0" w:line="268" w:lineRule="auto"/>
        <w:tabs>
          <w:tab w:leader="none" w:pos="1060" w:val="left"/>
        </w:tabs>
        <w:numPr>
          <w:ilvl w:val="0"/>
          <w:numId w:val="41"/>
        </w:numPr>
        <w:rPr>
          <w:rFonts w:ascii="Arial" w:cs="Arial" w:eastAsia="Arial" w:hAnsi="Arial"/>
          <w:sz w:val="9"/>
          <w:szCs w:val="9"/>
          <w:color w:val="auto"/>
        </w:rPr>
      </w:pPr>
      <w:r>
        <w:rPr>
          <w:rFonts w:ascii="Arial" w:cs="Arial" w:eastAsia="Arial" w:hAnsi="Arial"/>
          <w:sz w:val="16"/>
          <w:szCs w:val="16"/>
          <w:color w:val="auto"/>
        </w:rPr>
        <w:t>a merger, consolidation or similar transaction directly or indirectly involving the Company and, immediately after the consummation of such transaction, the stockholders of the Company immediately prior to the transaction do not own, directly or indirectly, either outstanding voting securities representing more than 50% of the combined outstanding voting power of the surviving entity in such merger, consolidation or similar transaction, or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63" w:lineRule="exact"/>
        <w:rPr>
          <w:rFonts w:ascii="Arial" w:cs="Arial" w:eastAsia="Arial" w:hAnsi="Arial"/>
          <w:sz w:val="9"/>
          <w:szCs w:val="9"/>
          <w:color w:val="auto"/>
        </w:rPr>
      </w:pPr>
    </w:p>
    <w:p>
      <w:pPr>
        <w:ind w:left="1060" w:right="220" w:hanging="178"/>
        <w:spacing w:after="0" w:line="304" w:lineRule="auto"/>
        <w:tabs>
          <w:tab w:leader="none" w:pos="1060" w:val="left"/>
        </w:tabs>
        <w:numPr>
          <w:ilvl w:val="0"/>
          <w:numId w:val="41"/>
        </w:numPr>
        <w:rPr>
          <w:rFonts w:ascii="Arial" w:cs="Arial" w:eastAsia="Arial" w:hAnsi="Arial"/>
          <w:sz w:val="9"/>
          <w:szCs w:val="9"/>
          <w:color w:val="auto"/>
        </w:rPr>
      </w:pPr>
      <w:r>
        <w:rPr>
          <w:rFonts w:ascii="Arial" w:cs="Arial" w:eastAsia="Arial" w:hAnsi="Arial"/>
          <w:sz w:val="16"/>
          <w:szCs w:val="16"/>
          <w:color w:val="auto"/>
        </w:rPr>
        <w:t>a sale in one transaction or a series of transactions undertaken with a common purpose of more than 50% of the Company’s outstanding voting securities; or</w:t>
      </w:r>
    </w:p>
    <w:p>
      <w:pPr>
        <w:spacing w:after="0" w:line="33" w:lineRule="exact"/>
        <w:rPr>
          <w:rFonts w:ascii="Arial" w:cs="Arial" w:eastAsia="Arial" w:hAnsi="Arial"/>
          <w:sz w:val="9"/>
          <w:szCs w:val="9"/>
          <w:color w:val="auto"/>
        </w:rPr>
      </w:pPr>
    </w:p>
    <w:p>
      <w:pPr>
        <w:ind w:left="1060" w:right="80" w:hanging="178"/>
        <w:spacing w:after="0" w:line="269" w:lineRule="auto"/>
        <w:tabs>
          <w:tab w:leader="none" w:pos="1060" w:val="left"/>
        </w:tabs>
        <w:numPr>
          <w:ilvl w:val="0"/>
          <w:numId w:val="41"/>
        </w:numPr>
        <w:rPr>
          <w:rFonts w:ascii="Arial" w:cs="Arial" w:eastAsia="Arial" w:hAnsi="Arial"/>
          <w:sz w:val="9"/>
          <w:szCs w:val="9"/>
          <w:color w:val="auto"/>
        </w:rPr>
      </w:pPr>
      <w:r>
        <w:rPr>
          <w:rFonts w:ascii="Arial" w:cs="Arial" w:eastAsia="Arial" w:hAnsi="Arial"/>
          <w:sz w:val="16"/>
          <w:szCs w:val="16"/>
          <w:color w:val="auto"/>
        </w:rPr>
        <w:t>a sale or other disposition of all or substantially all of the consolidated assets of the Company and its subsidiaries, other than a sale or other disposition of all or substantially all of the consolidated assets of the Company and its subsidiaries to a person or entity, more than 50% of the combined voting power of the voting securities of which are owned by stockholders of the Company in substantially the same proportions as their ownership of the outstanding voting securities of the Company immediately prior to such sale or other disposition.</w:t>
      </w:r>
    </w:p>
    <w:p>
      <w:pPr>
        <w:spacing w:after="0" w:line="76"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auto"/>
        </w:rPr>
        <w:t>If we dissolve or liquidate, unless the administrator determines otherwise, outstanding awards will terminate immediately prior to such dissolution or liquidation. If a vesting condition, forfeiture provision or repurchase right applicable to an award has not been waived by the administrator, the portion of the award subject to that condition, provision or right will be forfeited immediately prior to the consummation of the dissolution or liquidation.</w:t>
      </w:r>
    </w:p>
    <w:p>
      <w:pPr>
        <w:spacing w:after="0" w:line="70" w:lineRule="exact"/>
        <w:rPr>
          <w:sz w:val="20"/>
          <w:szCs w:val="20"/>
          <w:color w:val="auto"/>
        </w:rPr>
      </w:pPr>
    </w:p>
    <w:p>
      <w:pPr>
        <w:ind w:left="660" w:right="80"/>
        <w:spacing w:after="0" w:line="282" w:lineRule="auto"/>
        <w:rPr>
          <w:sz w:val="20"/>
          <w:szCs w:val="20"/>
          <w:color w:val="auto"/>
        </w:rPr>
      </w:pPr>
      <w:r>
        <w:rPr>
          <w:rFonts w:ascii="Arial" w:cs="Arial" w:eastAsia="Arial" w:hAnsi="Arial"/>
          <w:sz w:val="15"/>
          <w:szCs w:val="15"/>
          <w:b w:val="1"/>
          <w:bCs w:val="1"/>
          <w:color w:val="auto"/>
        </w:rPr>
        <w:t xml:space="preserve">Non-Employee Director Awards. </w:t>
      </w:r>
      <w:r>
        <w:rPr>
          <w:rFonts w:ascii="Arial" w:cs="Arial" w:eastAsia="Arial" w:hAnsi="Arial"/>
          <w:sz w:val="15"/>
          <w:szCs w:val="15"/>
          <w:color w:val="auto"/>
        </w:rPr>
        <w:t>Awards granted to non-employee directors who remain in service on the Board as of immediately</w:t>
      </w:r>
      <w:r>
        <w:rPr>
          <w:rFonts w:ascii="Arial" w:cs="Arial" w:eastAsia="Arial" w:hAnsi="Arial"/>
          <w:sz w:val="15"/>
          <w:szCs w:val="15"/>
          <w:b w:val="1"/>
          <w:bCs w:val="1"/>
          <w:color w:val="auto"/>
        </w:rPr>
        <w:t xml:space="preserve"> </w:t>
      </w:r>
      <w:r>
        <w:rPr>
          <w:rFonts w:ascii="Arial" w:cs="Arial" w:eastAsia="Arial" w:hAnsi="Arial"/>
          <w:sz w:val="15"/>
          <w:szCs w:val="15"/>
          <w:color w:val="auto"/>
        </w:rPr>
        <w:t>prior to the effective time of a change of control will become fully vested and exercisable as of immediately prior to the effective time, provided the non-employee director signs and returns a joinder and release agreement comparable to (and not materially more onerous than) that required of the Company’s stockholders as part of the definitive agreement relating to the change of control.</w:t>
      </w:r>
    </w:p>
    <w:p>
      <w:pPr>
        <w:spacing w:after="0" w:line="53" w:lineRule="exact"/>
        <w:rPr>
          <w:sz w:val="20"/>
          <w:szCs w:val="20"/>
          <w:color w:val="auto"/>
        </w:rPr>
      </w:pPr>
    </w:p>
    <w:p>
      <w:pPr>
        <w:ind w:left="660" w:right="20"/>
        <w:spacing w:after="0" w:line="252" w:lineRule="auto"/>
        <w:rPr>
          <w:sz w:val="20"/>
          <w:szCs w:val="20"/>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The administrator may amend, suspend or terminate the 2026 Plan or any portion of the 2026 Plan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in such respects as it deems advisable. No amendment will be effective absent stockholder approval if required by applicable law, including any amendment that would increase the share reserve or the incentive stock option limit. The administrator may also amend any outstanding award at any time; however, the administrator may not amend an award in a manner that materially adversely impacts the rights of the participant holding that award without the participant’s written consent, subject to certain limited exceptions set forth in the 2026 Plan (including amendments to maintain qualified status as an incentive stock option, to clarify the manner of exemption from or bring the award into compliance with Section 409A of the Code, to correct clerical or typographical errors, or to comply with other applicable laws).</w:t>
      </w:r>
    </w:p>
    <w:p>
      <w:pPr>
        <w:spacing w:after="0" w:line="75" w:lineRule="exact"/>
        <w:rPr>
          <w:sz w:val="20"/>
          <w:szCs w:val="20"/>
          <w:color w:val="auto"/>
        </w:rPr>
      </w:pPr>
    </w:p>
    <w:p>
      <w:pPr>
        <w:ind w:left="660" w:right="240"/>
        <w:spacing w:after="0" w:line="265" w:lineRule="auto"/>
        <w:rPr>
          <w:sz w:val="20"/>
          <w:szCs w:val="20"/>
          <w:color w:val="auto"/>
        </w:rPr>
      </w:pPr>
      <w:r>
        <w:rPr>
          <w:rFonts w:ascii="Arial" w:cs="Arial" w:eastAsia="Arial" w:hAnsi="Arial"/>
          <w:sz w:val="16"/>
          <w:szCs w:val="16"/>
          <w:color w:val="auto"/>
        </w:rPr>
        <w:t>The administrator may suspend or terminate all or any portion of the 2026 Plan at any time, but in such event, outstanding awards will remain outstanding in accordance with their existing terms and conditions. The 2026 Plan will expire 10 years after the original adoption of the 2026 Plan by the Board. Stockholders must approve the 2026 Plan and any increase in the share reserve and incentive stock option limit not later than 12 months after the 2026 Plan, share reserve or incentive stock option limit increase, as applicable, is adopted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203835</wp:posOffset>
            </wp:positionV>
            <wp:extent cx="334010" cy="162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33"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57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New Plan Benefits</w:t>
      </w:r>
    </w:p>
    <w:p>
      <w:pPr>
        <w:spacing w:after="0" w:line="126" w:lineRule="exact"/>
        <w:rPr>
          <w:sz w:val="20"/>
          <w:szCs w:val="20"/>
          <w:color w:val="auto"/>
        </w:rPr>
      </w:pPr>
    </w:p>
    <w:p>
      <w:pPr>
        <w:ind w:left="660" w:right="40"/>
        <w:spacing w:after="0" w:line="266" w:lineRule="auto"/>
        <w:rPr>
          <w:sz w:val="20"/>
          <w:szCs w:val="20"/>
          <w:color w:val="auto"/>
        </w:rPr>
      </w:pPr>
      <w:r>
        <w:rPr>
          <w:rFonts w:ascii="Arial" w:cs="Arial" w:eastAsia="Arial" w:hAnsi="Arial"/>
          <w:sz w:val="16"/>
          <w:szCs w:val="16"/>
          <w:color w:val="auto"/>
        </w:rPr>
        <w:t>In general, all awards to employees, officers and consultants under the 2026 Plan are made at the discretion of the administrator; therefore, the future benefits and amounts that will be received or allocated to such individuals under the 2026 Plan generally are not determinable at this time.</w:t>
      </w:r>
    </w:p>
    <w:p>
      <w:pPr>
        <w:spacing w:after="0" w:line="63" w:lineRule="exact"/>
        <w:rPr>
          <w:sz w:val="20"/>
          <w:szCs w:val="20"/>
          <w:color w:val="auto"/>
        </w:rPr>
      </w:pPr>
    </w:p>
    <w:p>
      <w:pPr>
        <w:jc w:val="both"/>
        <w:ind w:left="660" w:right="80"/>
        <w:spacing w:after="0" w:line="266" w:lineRule="auto"/>
        <w:rPr>
          <w:sz w:val="20"/>
          <w:szCs w:val="20"/>
          <w:color w:val="auto"/>
        </w:rPr>
      </w:pPr>
      <w:r>
        <w:rPr>
          <w:rFonts w:ascii="Arial" w:cs="Arial" w:eastAsia="Arial" w:hAnsi="Arial"/>
          <w:sz w:val="16"/>
          <w:szCs w:val="16"/>
          <w:color w:val="auto"/>
        </w:rPr>
        <w:t>The following table sets forth information with respect to PSUs granted by the Company in 2023 that may need to be fully or partially settled in cash, instead of shares, if the maximum level of performance is achieved and the 2026 Plan is not approved. Settlement in cash is expressly permitted by the terms of the applicable PSU agreements.</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shd w:val="clear" w:color="auto" w:fill="4834BA"/>
          </w:tcPr>
          <w:p>
            <w:pPr>
              <w:spacing w:after="0"/>
              <w:rPr>
                <w:sz w:val="20"/>
                <w:szCs w:val="20"/>
                <w:color w:val="auto"/>
              </w:rPr>
            </w:pPr>
          </w:p>
        </w:tc>
        <w:tc>
          <w:tcPr>
            <w:tcW w:w="580" w:type="dxa"/>
            <w:vAlign w:val="bottom"/>
            <w:shd w:val="clear" w:color="auto" w:fill="4834BA"/>
          </w:tcPr>
          <w:p>
            <w:pPr>
              <w:spacing w:after="0"/>
              <w:rPr>
                <w:sz w:val="20"/>
                <w:szCs w:val="20"/>
                <w:color w:val="auto"/>
              </w:rPr>
            </w:pPr>
          </w:p>
        </w:tc>
        <w:tc>
          <w:tcPr>
            <w:tcW w:w="1000" w:type="dxa"/>
            <w:vAlign w:val="bottom"/>
            <w:shd w:val="clear" w:color="auto" w:fill="4834BA"/>
          </w:tcPr>
          <w:p>
            <w:pPr>
              <w:jc w:val="right"/>
              <w:ind w:right="139"/>
              <w:spacing w:after="0"/>
              <w:rPr>
                <w:sz w:val="20"/>
                <w:szCs w:val="20"/>
                <w:color w:val="auto"/>
              </w:rPr>
            </w:pPr>
            <w:r>
              <w:rPr>
                <w:rFonts w:ascii="Arial" w:cs="Arial" w:eastAsia="Arial" w:hAnsi="Arial"/>
                <w:sz w:val="16"/>
                <w:szCs w:val="16"/>
                <w:b w:val="1"/>
                <w:bCs w:val="1"/>
                <w:color w:val="FFFFFF"/>
              </w:rPr>
              <w:t>Dollar</w:t>
            </w:r>
          </w:p>
        </w:tc>
        <w:tc>
          <w:tcPr>
            <w:tcW w:w="104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Number of</w:t>
            </w:r>
          </w:p>
        </w:tc>
      </w:tr>
      <w:tr>
        <w:trPr>
          <w:trHeight w:val="235"/>
        </w:trPr>
        <w:tc>
          <w:tcPr>
            <w:tcW w:w="6780" w:type="dxa"/>
            <w:vAlign w:val="bottom"/>
            <w:shd w:val="clear" w:color="auto" w:fill="4834BA"/>
          </w:tcPr>
          <w:p>
            <w:pPr>
              <w:ind w:left="80"/>
              <w:spacing w:after="0"/>
              <w:rPr>
                <w:sz w:val="20"/>
                <w:szCs w:val="20"/>
                <w:color w:val="auto"/>
              </w:rPr>
            </w:pPr>
            <w:r>
              <w:rPr>
                <w:rFonts w:ascii="Arial" w:cs="Arial" w:eastAsia="Arial" w:hAnsi="Arial"/>
                <w:sz w:val="16"/>
                <w:szCs w:val="16"/>
                <w:b w:val="1"/>
                <w:bCs w:val="1"/>
                <w:color w:val="FFFFFF"/>
              </w:rPr>
              <w:t>Name and Position</w:t>
            </w:r>
          </w:p>
        </w:tc>
        <w:tc>
          <w:tcPr>
            <w:tcW w:w="580" w:type="dxa"/>
            <w:vAlign w:val="bottom"/>
            <w:shd w:val="clear" w:color="auto" w:fill="4834BA"/>
          </w:tcPr>
          <w:p>
            <w:pPr>
              <w:spacing w:after="0"/>
              <w:rPr>
                <w:sz w:val="20"/>
                <w:szCs w:val="20"/>
                <w:color w:val="auto"/>
              </w:rPr>
            </w:pPr>
          </w:p>
        </w:tc>
        <w:tc>
          <w:tcPr>
            <w:tcW w:w="1000" w:type="dxa"/>
            <w:vAlign w:val="bottom"/>
            <w:shd w:val="clear" w:color="auto" w:fill="4834BA"/>
          </w:tcPr>
          <w:p>
            <w:pPr>
              <w:jc w:val="right"/>
              <w:ind w:right="99"/>
              <w:spacing w:after="0"/>
              <w:rPr>
                <w:sz w:val="20"/>
                <w:szCs w:val="20"/>
                <w:color w:val="auto"/>
              </w:rPr>
            </w:pPr>
            <w:r>
              <w:rPr>
                <w:rFonts w:ascii="Arial" w:cs="Arial" w:eastAsia="Arial" w:hAnsi="Arial"/>
                <w:sz w:val="16"/>
                <w:szCs w:val="16"/>
                <w:b w:val="1"/>
                <w:bCs w:val="1"/>
                <w:color w:val="FFFFFF"/>
                <w:w w:val="97"/>
              </w:rPr>
              <w:t>Value ($)</w:t>
            </w:r>
            <w:r>
              <w:rPr>
                <w:rFonts w:ascii="Arial" w:cs="Arial" w:eastAsia="Arial" w:hAnsi="Arial"/>
                <w:sz w:val="19"/>
                <w:szCs w:val="19"/>
                <w:b w:val="1"/>
                <w:bCs w:val="1"/>
                <w:color w:val="FFFFFF"/>
                <w:w w:val="97"/>
                <w:vertAlign w:val="superscript"/>
              </w:rPr>
              <w:t>(1)</w:t>
            </w:r>
          </w:p>
        </w:tc>
        <w:tc>
          <w:tcPr>
            <w:tcW w:w="104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PSUs (#)</w:t>
            </w:r>
          </w:p>
        </w:tc>
      </w:tr>
      <w:tr>
        <w:trPr>
          <w:trHeight w:val="217"/>
        </w:trPr>
        <w:tc>
          <w:tcPr>
            <w:tcW w:w="6780" w:type="dxa"/>
            <w:vAlign w:val="bottom"/>
          </w:tcPr>
          <w:p>
            <w:pPr>
              <w:ind w:left="80"/>
              <w:spacing w:after="0"/>
              <w:rPr>
                <w:sz w:val="20"/>
                <w:szCs w:val="20"/>
                <w:color w:val="auto"/>
              </w:rPr>
            </w:pPr>
            <w:r>
              <w:rPr>
                <w:rFonts w:ascii="Arial" w:cs="Arial" w:eastAsia="Arial" w:hAnsi="Arial"/>
                <w:sz w:val="16"/>
                <w:szCs w:val="16"/>
                <w:color w:val="auto"/>
              </w:rPr>
              <w:t>Chih-Hsiang (Thompson) Lin,</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w w:val="99"/>
              </w:rPr>
              <w:t>30,103,128</w:t>
            </w:r>
          </w:p>
        </w:tc>
        <w:tc>
          <w:tcPr>
            <w:tcW w:w="1040" w:type="dxa"/>
            <w:vAlign w:val="bottom"/>
          </w:tcPr>
          <w:p>
            <w:pPr>
              <w:jc w:val="right"/>
              <w:spacing w:after="0"/>
              <w:rPr>
                <w:sz w:val="20"/>
                <w:szCs w:val="20"/>
                <w:color w:val="auto"/>
              </w:rPr>
            </w:pPr>
            <w:r>
              <w:rPr>
                <w:rFonts w:ascii="Arial" w:cs="Arial" w:eastAsia="Arial" w:hAnsi="Arial"/>
                <w:sz w:val="16"/>
                <w:szCs w:val="16"/>
                <w:color w:val="auto"/>
              </w:rPr>
              <w:t>355,871</w:t>
            </w: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i w:val="1"/>
                <w:iCs w:val="1"/>
                <w:color w:val="auto"/>
              </w:rPr>
              <w:t>President and Chief Executive Officer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
        </w:trPr>
        <w:tc>
          <w:tcPr>
            <w:tcW w:w="6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6780" w:type="dxa"/>
            <w:vAlign w:val="bottom"/>
            <w:shd w:val="clear" w:color="auto" w:fill="E5E5E5"/>
          </w:tcPr>
          <w:p>
            <w:pPr>
              <w:ind w:left="80"/>
              <w:spacing w:after="0"/>
              <w:rPr>
                <w:sz w:val="20"/>
                <w:szCs w:val="20"/>
                <w:color w:val="auto"/>
              </w:rPr>
            </w:pPr>
            <w:r>
              <w:rPr>
                <w:rFonts w:ascii="Arial" w:cs="Arial" w:eastAsia="Arial" w:hAnsi="Arial"/>
                <w:sz w:val="16"/>
                <w:szCs w:val="16"/>
                <w:color w:val="auto"/>
              </w:rPr>
              <w:t>Stefan J. Murry,</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w w:val="99"/>
              </w:rPr>
              <w:t>10,536,107</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124,555</w:t>
            </w:r>
          </w:p>
        </w:tc>
      </w:tr>
      <w:tr>
        <w:trPr>
          <w:trHeight w:val="247"/>
        </w:trPr>
        <w:tc>
          <w:tcPr>
            <w:tcW w:w="67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i w:val="1"/>
                <w:iCs w:val="1"/>
                <w:color w:val="auto"/>
              </w:rPr>
              <w:t>Chief Financial Officer and Chief Strategy Officer</w:t>
            </w:r>
          </w:p>
        </w:tc>
        <w:tc>
          <w:tcPr>
            <w:tcW w:w="580" w:type="dxa"/>
            <w:vAlign w:val="bottom"/>
            <w:tcBorders>
              <w:bottom w:val="single" w:sz="8" w:color="E5E5E5"/>
            </w:tcBorders>
            <w:shd w:val="clear" w:color="auto" w:fill="E5E5E5"/>
          </w:tcPr>
          <w:p>
            <w:pPr>
              <w:spacing w:after="0"/>
              <w:rPr>
                <w:sz w:val="21"/>
                <w:szCs w:val="21"/>
                <w:color w:val="auto"/>
              </w:rPr>
            </w:pPr>
          </w:p>
        </w:tc>
        <w:tc>
          <w:tcPr>
            <w:tcW w:w="1000" w:type="dxa"/>
            <w:vAlign w:val="bottom"/>
            <w:tcBorders>
              <w:bottom w:val="single" w:sz="8" w:color="E5E5E5"/>
            </w:tcBorders>
            <w:shd w:val="clear" w:color="auto" w:fill="E5E5E5"/>
          </w:tcPr>
          <w:p>
            <w:pPr>
              <w:spacing w:after="0"/>
              <w:rPr>
                <w:sz w:val="21"/>
                <w:szCs w:val="21"/>
                <w:color w:val="auto"/>
              </w:rPr>
            </w:pPr>
          </w:p>
        </w:tc>
        <w:tc>
          <w:tcPr>
            <w:tcW w:w="1040" w:type="dxa"/>
            <w:vAlign w:val="bottom"/>
            <w:tcBorders>
              <w:bottom w:val="single" w:sz="8" w:color="E5E5E5"/>
            </w:tcBorders>
            <w:shd w:val="clear" w:color="auto" w:fill="E5E5E5"/>
          </w:tcPr>
          <w:p>
            <w:pPr>
              <w:spacing w:after="0"/>
              <w:rPr>
                <w:sz w:val="21"/>
                <w:szCs w:val="21"/>
                <w:color w:val="auto"/>
              </w:rPr>
            </w:pPr>
          </w:p>
        </w:tc>
      </w:tr>
      <w:tr>
        <w:trPr>
          <w:trHeight w:val="211"/>
        </w:trPr>
        <w:tc>
          <w:tcPr>
            <w:tcW w:w="67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Hung-Lun (Fred) Chang,</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9,482,454</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112,099</w:t>
            </w: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 and North America General Manager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
        </w:trPr>
        <w:tc>
          <w:tcPr>
            <w:tcW w:w="6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6780" w:type="dxa"/>
            <w:vAlign w:val="bottom"/>
            <w:shd w:val="clear" w:color="auto" w:fill="E5E5E5"/>
          </w:tcPr>
          <w:p>
            <w:pPr>
              <w:ind w:left="80"/>
              <w:spacing w:after="0"/>
              <w:rPr>
                <w:sz w:val="20"/>
                <w:szCs w:val="20"/>
                <w:color w:val="auto"/>
              </w:rPr>
            </w:pPr>
            <w:r>
              <w:rPr>
                <w:rFonts w:ascii="Arial" w:cs="Arial" w:eastAsia="Arial" w:hAnsi="Arial"/>
                <w:sz w:val="16"/>
                <w:szCs w:val="16"/>
                <w:color w:val="auto"/>
              </w:rPr>
              <w:t>Shu-Hua (Joshua) Yeh,</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rPr>
              <w:t>8,127,830</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96,085</w:t>
            </w:r>
          </w:p>
        </w:tc>
      </w:tr>
      <w:tr>
        <w:trPr>
          <w:trHeight w:val="247"/>
        </w:trPr>
        <w:tc>
          <w:tcPr>
            <w:tcW w:w="67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i w:val="1"/>
                <w:iCs w:val="1"/>
                <w:color w:val="auto"/>
              </w:rPr>
              <w:t>Senior Vice President and Asia General Manager</w:t>
            </w:r>
          </w:p>
        </w:tc>
        <w:tc>
          <w:tcPr>
            <w:tcW w:w="580" w:type="dxa"/>
            <w:vAlign w:val="bottom"/>
            <w:tcBorders>
              <w:bottom w:val="single" w:sz="8" w:color="E5E5E5"/>
            </w:tcBorders>
            <w:shd w:val="clear" w:color="auto" w:fill="E5E5E5"/>
          </w:tcPr>
          <w:p>
            <w:pPr>
              <w:spacing w:after="0"/>
              <w:rPr>
                <w:sz w:val="21"/>
                <w:szCs w:val="21"/>
                <w:color w:val="auto"/>
              </w:rPr>
            </w:pPr>
          </w:p>
        </w:tc>
        <w:tc>
          <w:tcPr>
            <w:tcW w:w="1000" w:type="dxa"/>
            <w:vAlign w:val="bottom"/>
            <w:tcBorders>
              <w:bottom w:val="single" w:sz="8" w:color="E5E5E5"/>
            </w:tcBorders>
            <w:shd w:val="clear" w:color="auto" w:fill="E5E5E5"/>
          </w:tcPr>
          <w:p>
            <w:pPr>
              <w:spacing w:after="0"/>
              <w:rPr>
                <w:sz w:val="21"/>
                <w:szCs w:val="21"/>
                <w:color w:val="auto"/>
              </w:rPr>
            </w:pPr>
          </w:p>
        </w:tc>
        <w:tc>
          <w:tcPr>
            <w:tcW w:w="1040" w:type="dxa"/>
            <w:vAlign w:val="bottom"/>
            <w:tcBorders>
              <w:bottom w:val="single" w:sz="8" w:color="E5E5E5"/>
            </w:tcBorders>
            <w:shd w:val="clear" w:color="auto" w:fill="E5E5E5"/>
          </w:tcPr>
          <w:p>
            <w:pPr>
              <w:spacing w:after="0"/>
              <w:rPr>
                <w:sz w:val="21"/>
                <w:szCs w:val="21"/>
                <w:color w:val="auto"/>
              </w:rPr>
            </w:pPr>
          </w:p>
        </w:tc>
      </w:tr>
      <w:tr>
        <w:trPr>
          <w:trHeight w:val="211"/>
        </w:trPr>
        <w:tc>
          <w:tcPr>
            <w:tcW w:w="67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David C. Kuo,</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6,622,636</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78,291</w:t>
            </w:r>
          </w:p>
        </w:tc>
      </w:tr>
      <w:tr>
        <w:trPr>
          <w:trHeight w:val="203"/>
        </w:trPr>
        <w:tc>
          <w:tcPr>
            <w:tcW w:w="678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 Chief Legal Officer,</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i w:val="1"/>
                <w:iCs w:val="1"/>
                <w:color w:val="auto"/>
              </w:rPr>
              <w:t>Chief Compliance Officer and Corporate Secretary</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
        </w:trPr>
        <w:tc>
          <w:tcPr>
            <w:tcW w:w="6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67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All Current Executive Officers as a Group (5 persons)</w:t>
            </w: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w w:val="99"/>
              </w:rPr>
              <w:t>64,872,156</w:t>
            </w:r>
          </w:p>
        </w:tc>
        <w:tc>
          <w:tcPr>
            <w:tcW w:w="10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766,901</w:t>
            </w:r>
          </w:p>
        </w:tc>
      </w:tr>
      <w:tr>
        <w:trPr>
          <w:trHeight w:val="221"/>
        </w:trPr>
        <w:tc>
          <w:tcPr>
            <w:tcW w:w="67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All Current Directors who are not Executive Officers as a Group (6 persons)</w:t>
            </w: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6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6780" w:type="dxa"/>
            <w:vAlign w:val="bottom"/>
            <w:shd w:val="clear" w:color="auto" w:fill="E5E5E5"/>
          </w:tcPr>
          <w:p>
            <w:pPr>
              <w:ind w:left="80"/>
              <w:spacing w:after="0"/>
              <w:rPr>
                <w:sz w:val="20"/>
                <w:szCs w:val="20"/>
                <w:color w:val="auto"/>
              </w:rPr>
            </w:pPr>
            <w:r>
              <w:rPr>
                <w:rFonts w:ascii="Arial" w:cs="Arial" w:eastAsia="Arial" w:hAnsi="Arial"/>
                <w:sz w:val="16"/>
                <w:szCs w:val="16"/>
                <w:color w:val="auto"/>
              </w:rPr>
              <w:t>All Employees, including all Current Officers who are not Executive Officers, as a Group</w:t>
            </w:r>
          </w:p>
        </w:tc>
        <w:tc>
          <w:tcPr>
            <w:tcW w:w="5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80" w:type="dxa"/>
            <w:vAlign w:val="bottom"/>
            <w:shd w:val="clear" w:color="auto" w:fill="E5E5E5"/>
          </w:tcPr>
          <w:p>
            <w:pPr>
              <w:ind w:left="80"/>
              <w:spacing w:after="0"/>
              <w:rPr>
                <w:sz w:val="20"/>
                <w:szCs w:val="20"/>
                <w:color w:val="auto"/>
              </w:rPr>
            </w:pPr>
            <w:r>
              <w:rPr>
                <w:rFonts w:ascii="Arial" w:cs="Arial" w:eastAsia="Arial" w:hAnsi="Arial"/>
                <w:sz w:val="16"/>
                <w:szCs w:val="16"/>
                <w:color w:val="auto"/>
              </w:rPr>
              <w:t>(5,450 persons)</w:t>
            </w:r>
          </w:p>
        </w:tc>
        <w:tc>
          <w:tcPr>
            <w:tcW w:w="5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r>
      <w:tr>
        <w:trPr>
          <w:trHeight w:val="70"/>
        </w:trPr>
        <w:tc>
          <w:tcPr>
            <w:tcW w:w="678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000" w:type="dxa"/>
            <w:vAlign w:val="bottom"/>
            <w:tcBorders>
              <w:bottom w:val="single" w:sz="8" w:color="auto"/>
            </w:tcBorders>
            <w:shd w:val="clear" w:color="auto" w:fill="E5E5E5"/>
          </w:tcPr>
          <w:p>
            <w:pPr>
              <w:spacing w:after="0"/>
              <w:rPr>
                <w:sz w:val="6"/>
                <w:szCs w:val="6"/>
                <w:color w:val="auto"/>
              </w:rPr>
            </w:pPr>
          </w:p>
        </w:tc>
        <w:tc>
          <w:tcPr>
            <w:tcW w:w="1040" w:type="dxa"/>
            <w:vAlign w:val="bottom"/>
            <w:tcBorders>
              <w:bottom w:val="single" w:sz="8" w:color="auto"/>
            </w:tcBorders>
            <w:shd w:val="clear" w:color="auto" w:fill="E5E5E5"/>
          </w:tcPr>
          <w:p>
            <w:pPr>
              <w:spacing w:after="0"/>
              <w:rPr>
                <w:sz w:val="6"/>
                <w:szCs w:val="6"/>
                <w:color w:val="auto"/>
              </w:rPr>
            </w:pPr>
          </w:p>
        </w:tc>
      </w:tr>
    </w:tbl>
    <w:p>
      <w:pPr>
        <w:spacing w:after="0" w:line="94" w:lineRule="exact"/>
        <w:rPr>
          <w:sz w:val="20"/>
          <w:szCs w:val="20"/>
          <w:color w:val="auto"/>
        </w:rPr>
      </w:pPr>
    </w:p>
    <w:p>
      <w:pPr>
        <w:ind w:left="1240" w:right="620" w:hanging="358"/>
        <w:spacing w:after="0" w:line="286" w:lineRule="auto"/>
        <w:tabs>
          <w:tab w:leader="none" w:pos="1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Computed using a per share price of $84.59, which was the closing price of our common stock on the Nasdaq Stock Exchange as of March 31, 2026.</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Federal Income Tax Information</w:t>
      </w:r>
    </w:p>
    <w:p>
      <w:pPr>
        <w:spacing w:after="0" w:line="126" w:lineRule="exact"/>
        <w:rPr>
          <w:sz w:val="20"/>
          <w:szCs w:val="20"/>
          <w:color w:val="auto"/>
        </w:rPr>
      </w:pPr>
    </w:p>
    <w:p>
      <w:pPr>
        <w:ind w:left="660" w:right="340"/>
        <w:spacing w:after="0" w:line="254" w:lineRule="auto"/>
        <w:rPr>
          <w:sz w:val="20"/>
          <w:szCs w:val="20"/>
          <w:color w:val="auto"/>
        </w:rPr>
      </w:pPr>
      <w:r>
        <w:rPr>
          <w:rFonts w:ascii="Arial" w:cs="Arial" w:eastAsia="Arial" w:hAnsi="Arial"/>
          <w:sz w:val="16"/>
          <w:szCs w:val="16"/>
          <w:color w:val="auto"/>
        </w:rPr>
        <w:t>The following is a brief summary of the U.S. federal income tax consequences of the 2026 Plan generally applicable to us and to participants in the 2026 Plan who are subject to U.S. federal taxes. The summary is based on the Code,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Furthermore, the summary does not address issues relating to any U.S. gift or estate tax consequences or the consequences of any state, local or foreign tax laws.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Stock Options.</w:t>
      </w:r>
    </w:p>
    <w:p>
      <w:pPr>
        <w:spacing w:after="0" w:line="113"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b w:val="1"/>
          <w:bCs w:val="1"/>
          <w:color w:val="auto"/>
        </w:rPr>
        <w:t xml:space="preserve">Nonqualified Stock Options. </w:t>
      </w:r>
      <w:r>
        <w:rPr>
          <w:rFonts w:ascii="Arial" w:cs="Arial" w:eastAsia="Arial" w:hAnsi="Arial"/>
          <w:sz w:val="16"/>
          <w:szCs w:val="16"/>
          <w:color w:val="auto"/>
        </w:rPr>
        <w:t>A participant generally will not recognize taxable income upon the grant or vesting of a nonqualified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with an exercise price at least equal to the fair market value of the stock on the grant date and no additional deferral feature. When a nonqualified stock option is exercised, a participant generally will recognize compensation taxable as ordinary income in an amount equal to the difference between the fair market value of the shares underlying the option on the date of exercise and the option exercise price. When a participant sells the shares, the participant will have short-term or long-term capital gain or loss, as the case may be, equal to the difference between the amount the participant received from the sale and the tax basis of the shares sold. The tax basis of the shares generally will be equal to the greater of the fair market value of the shares on the exercise date or the option exercise price.</w:t>
      </w:r>
    </w:p>
    <w:p>
      <w:pPr>
        <w:spacing w:after="0" w:line="75" w:lineRule="exact"/>
        <w:rPr>
          <w:sz w:val="20"/>
          <w:szCs w:val="20"/>
          <w:color w:val="auto"/>
        </w:rPr>
      </w:pPr>
    </w:p>
    <w:p>
      <w:pPr>
        <w:ind w:left="660" w:right="20"/>
        <w:spacing w:after="0" w:line="262" w:lineRule="auto"/>
        <w:rPr>
          <w:sz w:val="20"/>
          <w:szCs w:val="20"/>
          <w:color w:val="auto"/>
        </w:rPr>
      </w:pPr>
      <w:r>
        <w:rPr>
          <w:rFonts w:ascii="Arial" w:cs="Arial" w:eastAsia="Arial" w:hAnsi="Arial"/>
          <w:sz w:val="16"/>
          <w:szCs w:val="16"/>
          <w:b w:val="1"/>
          <w:bCs w:val="1"/>
          <w:color w:val="auto"/>
        </w:rPr>
        <w:t xml:space="preserve">Incentive Stock Options. </w:t>
      </w:r>
      <w:r>
        <w:rPr>
          <w:rFonts w:ascii="Arial" w:cs="Arial" w:eastAsia="Arial" w:hAnsi="Arial"/>
          <w:sz w:val="16"/>
          <w:szCs w:val="16"/>
          <w:color w:val="auto"/>
        </w:rPr>
        <w:t>A participant generally will not recognize taxable income upon the grant or vesting of an incentive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If a participant exercises an incentive stock option during employment or within three months after his or her employment ends (12 months in the case of permanent and total disability), the participant will not recognize taxable income at the time of exercise for regular U.S. federal income tax purposes (although the participant generally will have taxable income for alternative minimum tax purposes at that time as if the option were a nonqualified stock option). If a participant sells or otherwise disposes of the shares acquired upon exercise of an incentive stock option after the later of (a) one year from the date the participant exercised the option and (b) two years from the grant date of the option, the participant generally will recognize long-term capital gain or loss equal to the difference between the amount the participant received in the disposition and the option exercise price. If a participant sells or otherwise disposes of shares acquired upon exercise of an incentive stock option before these holding period requirements are satisfied, the disposition will constitute a “disqualifying disposition,” and the participant generally will recognize taxable ordinary income in the year of disposition equal to the excess of the fair market value of the shares on the date of exercise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200660</wp:posOffset>
            </wp:positionV>
            <wp:extent cx="334010" cy="162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27"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58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5" w:lineRule="exact"/>
        <w:rPr>
          <w:sz w:val="20"/>
          <w:szCs w:val="20"/>
          <w:color w:val="auto"/>
        </w:rPr>
      </w:pPr>
    </w:p>
    <w:p>
      <w:pPr>
        <w:ind w:left="660" w:right="60"/>
        <w:spacing w:after="0" w:line="275" w:lineRule="auto"/>
        <w:rPr>
          <w:sz w:val="20"/>
          <w:szCs w:val="20"/>
          <w:color w:val="auto"/>
        </w:rPr>
      </w:pPr>
      <w:r>
        <w:rPr>
          <w:rFonts w:ascii="Arial" w:cs="Arial" w:eastAsia="Arial" w:hAnsi="Arial"/>
          <w:sz w:val="16"/>
          <w:szCs w:val="16"/>
          <w:color w:val="auto"/>
        </w:rPr>
        <w:t>option exercise price (or, if less, the excess of the amount realized on the disposition of the shares over the option exercise price). The balance of the participant’s gain on a disqualifying disposition, if any, will be taxed as short-term or long-term capital gain, as the case may be.</w:t>
      </w:r>
    </w:p>
    <w:p>
      <w:pPr>
        <w:spacing w:after="0" w:line="70" w:lineRule="exact"/>
        <w:rPr>
          <w:sz w:val="20"/>
          <w:szCs w:val="20"/>
          <w:color w:val="auto"/>
        </w:rPr>
      </w:pPr>
    </w:p>
    <w:p>
      <w:pPr>
        <w:ind w:left="660" w:right="200"/>
        <w:spacing w:after="0" w:line="304" w:lineRule="auto"/>
        <w:rPr>
          <w:sz w:val="20"/>
          <w:szCs w:val="20"/>
          <w:color w:val="auto"/>
        </w:rPr>
      </w:pPr>
      <w:r>
        <w:rPr>
          <w:rFonts w:ascii="Arial" w:cs="Arial" w:eastAsia="Arial" w:hAnsi="Arial"/>
          <w:sz w:val="16"/>
          <w:szCs w:val="16"/>
          <w:color w:val="auto"/>
        </w:rPr>
        <w:t>With respect to both nonqualified stock options and incentive stock options, special rules apply if a participant uses shares already held by the participant to pay the exercise price.</w:t>
      </w:r>
    </w:p>
    <w:p>
      <w:pPr>
        <w:spacing w:after="0" w:line="33" w:lineRule="exact"/>
        <w:rPr>
          <w:sz w:val="20"/>
          <w:szCs w:val="20"/>
          <w:color w:val="auto"/>
        </w:rPr>
      </w:pPr>
    </w:p>
    <w:p>
      <w:pPr>
        <w:ind w:left="660" w:right="60"/>
        <w:spacing w:after="0" w:line="271" w:lineRule="auto"/>
        <w:rPr>
          <w:sz w:val="20"/>
          <w:szCs w:val="20"/>
          <w:color w:val="auto"/>
        </w:rPr>
      </w:pPr>
      <w:r>
        <w:rPr>
          <w:rFonts w:ascii="Arial" w:cs="Arial" w:eastAsia="Arial" w:hAnsi="Arial"/>
          <w:sz w:val="16"/>
          <w:szCs w:val="16"/>
          <w:b w:val="1"/>
          <w:bCs w:val="1"/>
          <w:color w:val="auto"/>
        </w:rPr>
        <w:t xml:space="preserve">Stock Appreciation Rights. </w:t>
      </w:r>
      <w:r>
        <w:rPr>
          <w:rFonts w:ascii="Arial" w:cs="Arial" w:eastAsia="Arial" w:hAnsi="Arial"/>
          <w:sz w:val="16"/>
          <w:szCs w:val="16"/>
          <w:color w:val="auto"/>
        </w:rPr>
        <w:t>A participant generally will not recognize taxable income upon the grant or vesting of a SAR with a grant</w:t>
      </w:r>
      <w:r>
        <w:rPr>
          <w:rFonts w:ascii="Arial" w:cs="Arial" w:eastAsia="Arial" w:hAnsi="Arial"/>
          <w:sz w:val="16"/>
          <w:szCs w:val="16"/>
          <w:b w:val="1"/>
          <w:bCs w:val="1"/>
          <w:color w:val="auto"/>
        </w:rPr>
        <w:t xml:space="preserve"> </w:t>
      </w:r>
      <w:r>
        <w:rPr>
          <w:rFonts w:ascii="Arial" w:cs="Arial" w:eastAsia="Arial" w:hAnsi="Arial"/>
          <w:sz w:val="16"/>
          <w:szCs w:val="16"/>
          <w:color w:val="auto"/>
        </w:rPr>
        <w:t>price at least equal to the fair market value of the stock on the grant date and no additional deferral feature. Upon the exercise of a SAR, a participant generally will recognize compensation taxable as ordinary income in an amount equal to the difference between the fair market value of the shares underlying the SAR on the date of exercise and the grant price of the SAR.</w:t>
      </w:r>
    </w:p>
    <w:p>
      <w:pPr>
        <w:spacing w:after="0" w:line="73" w:lineRule="exact"/>
        <w:rPr>
          <w:sz w:val="20"/>
          <w:szCs w:val="20"/>
          <w:color w:val="auto"/>
        </w:rPr>
      </w:pPr>
    </w:p>
    <w:p>
      <w:pPr>
        <w:ind w:left="660" w:right="80"/>
        <w:spacing w:after="0" w:line="264" w:lineRule="auto"/>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6"/>
          <w:szCs w:val="16"/>
          <w:color w:val="auto"/>
        </w:rPr>
        <w:t>Upon receipt of a stock award that is not subject to forfeiture, vesting or other similar restrictions, 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will recognize compensation taxable as ordinary income in an amount equal to the excess of the fair market value of the shares at such time over the amount, if any, paid by the participant with respect to the shares. When a participant sells the shares, the participant generally will have short-term or long-term capital gain or loss, as the case may be, equal to the difference between the amount the participant received from the sale and the tax basis of the shares sold. The tax basis of the shares generally will be equal to the amount, if any, paid by the participant with respect to the shares plus the amount of taxable ordinary income recognized by the participant upon receipt of the shares.</w:t>
      </w:r>
    </w:p>
    <w:p>
      <w:pPr>
        <w:spacing w:after="0" w:line="68" w:lineRule="exact"/>
        <w:rPr>
          <w:sz w:val="20"/>
          <w:szCs w:val="20"/>
          <w:color w:val="auto"/>
        </w:rPr>
      </w:pPr>
    </w:p>
    <w:p>
      <w:pPr>
        <w:ind w:left="660" w:right="180"/>
        <w:spacing w:after="0" w:line="269" w:lineRule="auto"/>
        <w:rPr>
          <w:sz w:val="20"/>
          <w:szCs w:val="20"/>
          <w:color w:val="auto"/>
        </w:rPr>
      </w:pPr>
      <w:r>
        <w:rPr>
          <w:rFonts w:ascii="Arial" w:cs="Arial" w:eastAsia="Arial" w:hAnsi="Arial"/>
          <w:sz w:val="16"/>
          <w:szCs w:val="16"/>
          <w:b w:val="1"/>
          <w:bCs w:val="1"/>
          <w:color w:val="auto"/>
        </w:rPr>
        <w:t xml:space="preserve">Restricted Stock Awards, Stock Units, Performance Shares and Performance Units. </w:t>
      </w:r>
      <w:r>
        <w:rPr>
          <w:rFonts w:ascii="Arial" w:cs="Arial" w:eastAsia="Arial" w:hAnsi="Arial"/>
          <w:sz w:val="16"/>
          <w:szCs w:val="16"/>
          <w:color w:val="auto"/>
        </w:rPr>
        <w:t>A participant generally will not have taxable</w:t>
      </w:r>
      <w:r>
        <w:rPr>
          <w:rFonts w:ascii="Arial" w:cs="Arial" w:eastAsia="Arial" w:hAnsi="Arial"/>
          <w:sz w:val="16"/>
          <w:szCs w:val="16"/>
          <w:b w:val="1"/>
          <w:bCs w:val="1"/>
          <w:color w:val="auto"/>
        </w:rPr>
        <w:t xml:space="preserve"> </w:t>
      </w:r>
      <w:r>
        <w:rPr>
          <w:rFonts w:ascii="Arial" w:cs="Arial" w:eastAsia="Arial" w:hAnsi="Arial"/>
          <w:sz w:val="16"/>
          <w:szCs w:val="16"/>
          <w:color w:val="auto"/>
        </w:rPr>
        <w:t>income upon the grant of restricted stock, stock units, performance shares or performance units. Instead, the participant generally will recognize ordinary income at the time of vesting or payout equal to the fair market value (on the vesting or payout date) of the shares or cash received minus any amount paid. For restricted stock only, a participant may instead elect to be taxed at the time of grant if the participant makes a timely and proper Section 83(b) election for the award.</w:t>
      </w:r>
    </w:p>
    <w:p>
      <w:pPr>
        <w:spacing w:after="0" w:line="76"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b w:val="1"/>
          <w:bCs w:val="1"/>
          <w:color w:val="auto"/>
        </w:rPr>
        <w:t xml:space="preserve">Tax Consequences to the Company. </w:t>
      </w:r>
      <w:r>
        <w:rPr>
          <w:rFonts w:ascii="Arial" w:cs="Arial" w:eastAsia="Arial" w:hAnsi="Arial"/>
          <w:sz w:val="16"/>
          <w:szCs w:val="16"/>
          <w:color w:val="auto"/>
        </w:rPr>
        <w:t>In the foregoing cases, we generally will be entitled to a deduction at the same time, and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amount, as a participant recognizes ordinary income, subject to certain limitations imposed under the Code.</w:t>
      </w:r>
    </w:p>
    <w:p>
      <w:pPr>
        <w:spacing w:after="0" w:line="61" w:lineRule="exact"/>
        <w:rPr>
          <w:sz w:val="20"/>
          <w:szCs w:val="20"/>
          <w:color w:val="auto"/>
        </w:rPr>
      </w:pPr>
    </w:p>
    <w:p>
      <w:pPr>
        <w:ind w:left="660" w:right="60"/>
        <w:spacing w:after="0" w:line="265" w:lineRule="auto"/>
        <w:rPr>
          <w:sz w:val="20"/>
          <w:szCs w:val="20"/>
          <w:color w:val="auto"/>
        </w:rPr>
      </w:pPr>
      <w:r>
        <w:rPr>
          <w:rFonts w:ascii="Arial" w:cs="Arial" w:eastAsia="Arial" w:hAnsi="Arial"/>
          <w:sz w:val="16"/>
          <w:szCs w:val="16"/>
          <w:b w:val="1"/>
          <w:bCs w:val="1"/>
          <w:color w:val="auto"/>
        </w:rPr>
        <w:t xml:space="preserve">Section 162(m). </w:t>
      </w:r>
      <w:r>
        <w:rPr>
          <w:rFonts w:ascii="Arial" w:cs="Arial" w:eastAsia="Arial" w:hAnsi="Arial"/>
          <w:sz w:val="16"/>
          <w:szCs w:val="16"/>
          <w:color w:val="auto"/>
        </w:rPr>
        <w:t>Section 162(m) of the Code generally denies a tax deduction to any publicly held corporation for compensation paid</w:t>
      </w:r>
      <w:r>
        <w:rPr>
          <w:rFonts w:ascii="Arial" w:cs="Arial" w:eastAsia="Arial" w:hAnsi="Arial"/>
          <w:sz w:val="16"/>
          <w:szCs w:val="16"/>
          <w:b w:val="1"/>
          <w:bCs w:val="1"/>
          <w:color w:val="auto"/>
        </w:rPr>
        <w:t xml:space="preserve"> </w:t>
      </w:r>
      <w:r>
        <w:rPr>
          <w:rFonts w:ascii="Arial" w:cs="Arial" w:eastAsia="Arial" w:hAnsi="Arial"/>
          <w:sz w:val="16"/>
          <w:szCs w:val="16"/>
          <w:color w:val="auto"/>
        </w:rPr>
        <w:t>to certain “covered employees” to the extent that such compensation paid in a taxable year to a covered employee exceeds</w:t>
      </w:r>
    </w:p>
    <w:p>
      <w:pPr>
        <w:spacing w:after="0" w:line="1" w:lineRule="exact"/>
        <w:rPr>
          <w:sz w:val="20"/>
          <w:szCs w:val="20"/>
          <w:color w:val="auto"/>
        </w:rPr>
      </w:pPr>
    </w:p>
    <w:p>
      <w:pPr>
        <w:ind w:left="660" w:right="200"/>
        <w:spacing w:after="0" w:line="264" w:lineRule="auto"/>
        <w:rPr>
          <w:sz w:val="20"/>
          <w:szCs w:val="20"/>
          <w:color w:val="auto"/>
        </w:rPr>
      </w:pPr>
      <w:r>
        <w:rPr>
          <w:rFonts w:ascii="Arial" w:cs="Arial" w:eastAsia="Arial" w:hAnsi="Arial"/>
          <w:sz w:val="16"/>
          <w:szCs w:val="16"/>
          <w:color w:val="auto"/>
        </w:rPr>
        <w:t>$1 million. While the compensation committee considers the impact of Section 162(m) when making compensation decisions, the compensation committee reserves the right to grant awards under the 2026 Plan that may result in compensation to a covered employee in excess of the $1 million deduction limitation if it determines that such awards are in the best interests of the Company and its stockholders. No assurance can be given that compensation attributable to awards granted under the 2026 Plan will be treated as deductible by the Company.</w:t>
      </w:r>
    </w:p>
    <w:p>
      <w:pPr>
        <w:spacing w:after="0" w:line="79" w:lineRule="exact"/>
        <w:rPr>
          <w:sz w:val="20"/>
          <w:szCs w:val="20"/>
          <w:color w:val="auto"/>
        </w:rPr>
      </w:pPr>
    </w:p>
    <w:p>
      <w:pPr>
        <w:ind w:left="660" w:right="140"/>
        <w:spacing w:after="0" w:line="265" w:lineRule="auto"/>
        <w:rPr>
          <w:sz w:val="20"/>
          <w:szCs w:val="20"/>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Section 409A of the Code imposes additional significant taxes and penalties on a participant in the event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awards under the 2026 Plan constitute “deferred compensation” within the meaning of Section 409A and the requirements of Section 409A are not satisfied, including an additional 20% tax on the participant (in addition to income tax otherwise owed), plus interest. We intend that awards granted under the 2026 Plan will comply with, or otherwise be exempt from, the requirements of Code Section 409A, and the 2026 Plan and any award agreements issued thereunder will be interpreted and administered in a manner consistent with such intent.</w:t>
      </w:r>
    </w:p>
    <w:p>
      <w:pPr>
        <w:spacing w:after="0" w:line="77" w:lineRule="exact"/>
        <w:rPr>
          <w:sz w:val="20"/>
          <w:szCs w:val="20"/>
          <w:color w:val="auto"/>
        </w:rPr>
      </w:pPr>
    </w:p>
    <w:p>
      <w:pPr>
        <w:ind w:left="660" w:right="20"/>
        <w:spacing w:after="0" w:line="271" w:lineRule="auto"/>
        <w:rPr>
          <w:sz w:val="20"/>
          <w:szCs w:val="20"/>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We are authorized to deduct or withhold from any award granted or payment due under the 2026 Plan, or require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to remit to us, the amount of any withholding taxes due in respect of the award or payment and to take such other action as may be necessary to satisfy all obligations for the payment of applicable withholding taxes. We are not required to issue any shares or otherwise settle an award under the 2026 Plan until all tax withholding obligations are satisfied.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 and Board of Directors Recommendation</w:t>
      </w:r>
    </w:p>
    <w:p>
      <w:pPr>
        <w:spacing w:after="0" w:line="126" w:lineRule="exact"/>
        <w:rPr>
          <w:sz w:val="20"/>
          <w:szCs w:val="20"/>
          <w:color w:val="auto"/>
        </w:rPr>
      </w:pPr>
    </w:p>
    <w:p>
      <w:pPr>
        <w:ind w:left="660" w:right="320"/>
        <w:spacing w:after="0" w:line="304" w:lineRule="auto"/>
        <w:rPr>
          <w:sz w:val="20"/>
          <w:szCs w:val="20"/>
          <w:color w:val="auto"/>
        </w:rPr>
      </w:pPr>
      <w:r>
        <w:rPr>
          <w:rFonts w:ascii="Arial" w:cs="Arial" w:eastAsia="Arial" w:hAnsi="Arial"/>
          <w:sz w:val="16"/>
          <w:szCs w:val="16"/>
          <w:color w:val="auto"/>
        </w:rPr>
        <w:t>The affirmative vote of a majority of the votes properly cast on the proposal at the Annual Meeting, where a quorum is present, is required to approve this Proposal No. 5. Abstentions and broker non-votes will have no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1736090</wp:posOffset>
            </wp:positionV>
            <wp:extent cx="334010" cy="162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59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EQUITY COMPENSATION PLAN INFORMATION</w:t>
      </w:r>
    </w:p>
    <w:p>
      <w:pPr>
        <w:spacing w:after="0" w:line="119" w:lineRule="exact"/>
        <w:rPr>
          <w:sz w:val="20"/>
          <w:szCs w:val="20"/>
          <w:color w:val="auto"/>
        </w:rPr>
      </w:pPr>
    </w:p>
    <w:p>
      <w:pPr>
        <w:ind w:left="660" w:right="320"/>
        <w:spacing w:after="0" w:line="286" w:lineRule="auto"/>
        <w:rPr>
          <w:sz w:val="20"/>
          <w:szCs w:val="20"/>
          <w:color w:val="auto"/>
        </w:rPr>
      </w:pPr>
      <w:r>
        <w:rPr>
          <w:rFonts w:ascii="Arial" w:cs="Arial" w:eastAsia="Arial" w:hAnsi="Arial"/>
          <w:sz w:val="16"/>
          <w:szCs w:val="16"/>
          <w:color w:val="auto"/>
        </w:rPr>
        <w:t>The following table sets forth information regarding outstanding options and shares reserved for future issuance under our equity compensation plans as of December 31, 2025:</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400" w:type="dxa"/>
            <w:vAlign w:val="bottom"/>
            <w:shd w:val="clear" w:color="auto" w:fill="4834BA"/>
          </w:tcPr>
          <w:p>
            <w:pPr>
              <w:spacing w:after="0"/>
              <w:rPr>
                <w:sz w:val="19"/>
                <w:szCs w:val="19"/>
                <w:color w:val="auto"/>
              </w:rPr>
            </w:pPr>
          </w:p>
        </w:tc>
        <w:tc>
          <w:tcPr>
            <w:tcW w:w="2180" w:type="dxa"/>
            <w:vAlign w:val="bottom"/>
            <w:vMerge w:val="restart"/>
            <w:shd w:val="clear" w:color="auto" w:fill="4834BA"/>
          </w:tcPr>
          <w:p>
            <w:pPr>
              <w:jc w:val="right"/>
              <w:ind w:right="139"/>
              <w:spacing w:after="0"/>
              <w:rPr>
                <w:sz w:val="20"/>
                <w:szCs w:val="20"/>
                <w:color w:val="auto"/>
              </w:rPr>
            </w:pPr>
            <w:r>
              <w:rPr>
                <w:rFonts w:ascii="Arial" w:cs="Arial" w:eastAsia="Arial" w:hAnsi="Arial"/>
                <w:sz w:val="16"/>
                <w:szCs w:val="16"/>
                <w:b w:val="1"/>
                <w:bCs w:val="1"/>
                <w:color w:val="FFFFFF"/>
              </w:rPr>
              <w:t>Number of shares to be</w:t>
            </w:r>
          </w:p>
        </w:tc>
        <w:tc>
          <w:tcPr>
            <w:tcW w:w="1880" w:type="dxa"/>
            <w:vAlign w:val="bottom"/>
            <w:vMerge w:val="restart"/>
            <w:shd w:val="clear" w:color="auto" w:fill="4834BA"/>
          </w:tcPr>
          <w:p>
            <w:pPr>
              <w:jc w:val="right"/>
              <w:ind w:right="132"/>
              <w:spacing w:after="0"/>
              <w:rPr>
                <w:sz w:val="20"/>
                <w:szCs w:val="20"/>
                <w:color w:val="auto"/>
              </w:rPr>
            </w:pPr>
            <w:r>
              <w:rPr>
                <w:rFonts w:ascii="Arial" w:cs="Arial" w:eastAsia="Arial" w:hAnsi="Arial"/>
                <w:sz w:val="16"/>
                <w:szCs w:val="16"/>
                <w:b w:val="1"/>
                <w:bCs w:val="1"/>
                <w:color w:val="FFFFFF"/>
              </w:rPr>
              <w:t>Weighted-average</w:t>
            </w:r>
          </w:p>
        </w:tc>
        <w:tc>
          <w:tcPr>
            <w:tcW w:w="194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Number of shares</w:t>
            </w:r>
          </w:p>
        </w:tc>
        <w:tc>
          <w:tcPr>
            <w:tcW w:w="0" w:type="dxa"/>
            <w:vAlign w:val="bottom"/>
          </w:tcPr>
          <w:p>
            <w:pPr>
              <w:spacing w:after="0"/>
              <w:rPr>
                <w:sz w:val="1"/>
                <w:szCs w:val="1"/>
                <w:color w:val="auto"/>
              </w:rPr>
            </w:pPr>
          </w:p>
        </w:tc>
      </w:tr>
      <w:tr>
        <w:trPr>
          <w:trHeight w:val="175"/>
        </w:trPr>
        <w:tc>
          <w:tcPr>
            <w:tcW w:w="3400" w:type="dxa"/>
            <w:vAlign w:val="bottom"/>
            <w:shd w:val="clear" w:color="auto" w:fill="4834BA"/>
          </w:tcPr>
          <w:p>
            <w:pPr>
              <w:spacing w:after="0"/>
              <w:rPr>
                <w:sz w:val="15"/>
                <w:szCs w:val="15"/>
                <w:color w:val="auto"/>
              </w:rPr>
            </w:pPr>
          </w:p>
        </w:tc>
        <w:tc>
          <w:tcPr>
            <w:tcW w:w="2180" w:type="dxa"/>
            <w:vAlign w:val="bottom"/>
            <w:vMerge w:val="continue"/>
            <w:shd w:val="clear" w:color="auto" w:fill="4834BA"/>
          </w:tcPr>
          <w:p>
            <w:pPr>
              <w:spacing w:after="0"/>
              <w:rPr>
                <w:sz w:val="15"/>
                <w:szCs w:val="15"/>
                <w:color w:val="auto"/>
              </w:rPr>
            </w:pPr>
          </w:p>
        </w:tc>
        <w:tc>
          <w:tcPr>
            <w:tcW w:w="1880" w:type="dxa"/>
            <w:vAlign w:val="bottom"/>
            <w:vMerge w:val="continue"/>
            <w:shd w:val="clear" w:color="auto" w:fill="4834BA"/>
          </w:tcPr>
          <w:p>
            <w:pPr>
              <w:spacing w:after="0"/>
              <w:rPr>
                <w:sz w:val="15"/>
                <w:szCs w:val="15"/>
                <w:color w:val="auto"/>
              </w:rPr>
            </w:pPr>
          </w:p>
        </w:tc>
        <w:tc>
          <w:tcPr>
            <w:tcW w:w="1940" w:type="dxa"/>
            <w:vAlign w:val="bottom"/>
            <w:shd w:val="clear" w:color="auto" w:fill="4834BA"/>
          </w:tcPr>
          <w:p>
            <w:pPr>
              <w:jc w:val="right"/>
              <w:ind w:right="19"/>
              <w:spacing w:after="0" w:line="175" w:lineRule="exact"/>
              <w:rPr>
                <w:sz w:val="20"/>
                <w:szCs w:val="20"/>
                <w:color w:val="auto"/>
              </w:rPr>
            </w:pPr>
            <w:r>
              <w:rPr>
                <w:rFonts w:ascii="Arial" w:cs="Arial" w:eastAsia="Arial" w:hAnsi="Arial"/>
                <w:sz w:val="16"/>
                <w:szCs w:val="16"/>
                <w:b w:val="1"/>
                <w:bCs w:val="1"/>
                <w:color w:val="FFFFFF"/>
              </w:rPr>
              <w:t>remaining available for</w:t>
            </w:r>
          </w:p>
        </w:tc>
        <w:tc>
          <w:tcPr>
            <w:tcW w:w="0" w:type="dxa"/>
            <w:vAlign w:val="bottom"/>
          </w:tcPr>
          <w:p>
            <w:pPr>
              <w:spacing w:after="0"/>
              <w:rPr>
                <w:sz w:val="1"/>
                <w:szCs w:val="1"/>
                <w:color w:val="auto"/>
              </w:rPr>
            </w:pPr>
          </w:p>
        </w:tc>
      </w:tr>
      <w:tr>
        <w:trPr>
          <w:trHeight w:val="189"/>
        </w:trPr>
        <w:tc>
          <w:tcPr>
            <w:tcW w:w="3400" w:type="dxa"/>
            <w:vAlign w:val="bottom"/>
            <w:shd w:val="clear" w:color="auto" w:fill="4834BA"/>
          </w:tcPr>
          <w:p>
            <w:pPr>
              <w:spacing w:after="0"/>
              <w:rPr>
                <w:sz w:val="16"/>
                <w:szCs w:val="16"/>
                <w:color w:val="auto"/>
              </w:rPr>
            </w:pPr>
          </w:p>
        </w:tc>
        <w:tc>
          <w:tcPr>
            <w:tcW w:w="2180" w:type="dxa"/>
            <w:vAlign w:val="bottom"/>
            <w:shd w:val="clear" w:color="auto" w:fill="4834BA"/>
          </w:tcPr>
          <w:p>
            <w:pPr>
              <w:jc w:val="right"/>
              <w:ind w:right="139"/>
              <w:spacing w:after="0"/>
              <w:rPr>
                <w:sz w:val="20"/>
                <w:szCs w:val="20"/>
                <w:color w:val="auto"/>
              </w:rPr>
            </w:pPr>
            <w:r>
              <w:rPr>
                <w:rFonts w:ascii="Arial" w:cs="Arial" w:eastAsia="Arial" w:hAnsi="Arial"/>
                <w:sz w:val="16"/>
                <w:szCs w:val="16"/>
                <w:b w:val="1"/>
                <w:bCs w:val="1"/>
                <w:color w:val="FFFFFF"/>
              </w:rPr>
              <w:t>issued upon exercise of</w:t>
            </w:r>
          </w:p>
        </w:tc>
        <w:tc>
          <w:tcPr>
            <w:tcW w:w="1880" w:type="dxa"/>
            <w:vAlign w:val="bottom"/>
            <w:shd w:val="clear" w:color="auto" w:fill="4834BA"/>
          </w:tcPr>
          <w:p>
            <w:pPr>
              <w:jc w:val="right"/>
              <w:ind w:right="132"/>
              <w:spacing w:after="0"/>
              <w:rPr>
                <w:sz w:val="20"/>
                <w:szCs w:val="20"/>
                <w:color w:val="auto"/>
              </w:rPr>
            </w:pPr>
            <w:r>
              <w:rPr>
                <w:rFonts w:ascii="Arial" w:cs="Arial" w:eastAsia="Arial" w:hAnsi="Arial"/>
                <w:sz w:val="16"/>
                <w:szCs w:val="16"/>
                <w:b w:val="1"/>
                <w:bCs w:val="1"/>
                <w:color w:val="FFFFFF"/>
              </w:rPr>
              <w:t>exercise price of</w:t>
            </w:r>
          </w:p>
        </w:tc>
        <w:tc>
          <w:tcPr>
            <w:tcW w:w="194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future issuance under</w:t>
            </w:r>
          </w:p>
        </w:tc>
        <w:tc>
          <w:tcPr>
            <w:tcW w:w="0" w:type="dxa"/>
            <w:vAlign w:val="bottom"/>
          </w:tcPr>
          <w:p>
            <w:pPr>
              <w:spacing w:after="0"/>
              <w:rPr>
                <w:sz w:val="1"/>
                <w:szCs w:val="1"/>
                <w:color w:val="auto"/>
              </w:rPr>
            </w:pPr>
          </w:p>
        </w:tc>
      </w:tr>
      <w:tr>
        <w:trPr>
          <w:trHeight w:val="175"/>
        </w:trPr>
        <w:tc>
          <w:tcPr>
            <w:tcW w:w="3400" w:type="dxa"/>
            <w:vAlign w:val="bottom"/>
            <w:shd w:val="clear" w:color="auto" w:fill="4834BA"/>
          </w:tcPr>
          <w:p>
            <w:pPr>
              <w:spacing w:after="0"/>
              <w:rPr>
                <w:sz w:val="15"/>
                <w:szCs w:val="15"/>
                <w:color w:val="auto"/>
              </w:rPr>
            </w:pPr>
          </w:p>
        </w:tc>
        <w:tc>
          <w:tcPr>
            <w:tcW w:w="2180" w:type="dxa"/>
            <w:vAlign w:val="bottom"/>
            <w:shd w:val="clear" w:color="auto" w:fill="4834BA"/>
          </w:tcPr>
          <w:p>
            <w:pPr>
              <w:jc w:val="right"/>
              <w:ind w:right="139"/>
              <w:spacing w:after="0" w:line="175" w:lineRule="exact"/>
              <w:rPr>
                <w:sz w:val="20"/>
                <w:szCs w:val="20"/>
                <w:color w:val="auto"/>
              </w:rPr>
            </w:pPr>
            <w:r>
              <w:rPr>
                <w:rFonts w:ascii="Arial" w:cs="Arial" w:eastAsia="Arial" w:hAnsi="Arial"/>
                <w:sz w:val="16"/>
                <w:szCs w:val="16"/>
                <w:b w:val="1"/>
                <w:bCs w:val="1"/>
                <w:color w:val="FFFFFF"/>
              </w:rPr>
              <w:t>outstanding options,</w:t>
            </w:r>
          </w:p>
        </w:tc>
        <w:tc>
          <w:tcPr>
            <w:tcW w:w="1880" w:type="dxa"/>
            <w:vAlign w:val="bottom"/>
            <w:shd w:val="clear" w:color="auto" w:fill="4834BA"/>
          </w:tcPr>
          <w:p>
            <w:pPr>
              <w:jc w:val="right"/>
              <w:ind w:right="132"/>
              <w:spacing w:after="0" w:line="175" w:lineRule="exact"/>
              <w:rPr>
                <w:sz w:val="20"/>
                <w:szCs w:val="20"/>
                <w:color w:val="auto"/>
              </w:rPr>
            </w:pPr>
            <w:r>
              <w:rPr>
                <w:rFonts w:ascii="Arial" w:cs="Arial" w:eastAsia="Arial" w:hAnsi="Arial"/>
                <w:sz w:val="16"/>
                <w:szCs w:val="16"/>
                <w:b w:val="1"/>
                <w:bCs w:val="1"/>
                <w:color w:val="FFFFFF"/>
              </w:rPr>
              <w:t>outstanding options,</w:t>
            </w:r>
          </w:p>
        </w:tc>
        <w:tc>
          <w:tcPr>
            <w:tcW w:w="1940" w:type="dxa"/>
            <w:vAlign w:val="bottom"/>
            <w:shd w:val="clear" w:color="auto" w:fill="4834BA"/>
          </w:tcPr>
          <w:p>
            <w:pPr>
              <w:jc w:val="right"/>
              <w:ind w:right="19"/>
              <w:spacing w:after="0" w:line="175" w:lineRule="exact"/>
              <w:rPr>
                <w:sz w:val="20"/>
                <w:szCs w:val="20"/>
                <w:color w:val="auto"/>
              </w:rPr>
            </w:pPr>
            <w:r>
              <w:rPr>
                <w:rFonts w:ascii="Arial" w:cs="Arial" w:eastAsia="Arial" w:hAnsi="Arial"/>
                <w:sz w:val="16"/>
                <w:szCs w:val="16"/>
                <w:b w:val="1"/>
                <w:bCs w:val="1"/>
                <w:color w:val="FFFFFF"/>
              </w:rPr>
              <w:t>equity compensation</w:t>
            </w:r>
          </w:p>
        </w:tc>
        <w:tc>
          <w:tcPr>
            <w:tcW w:w="0" w:type="dxa"/>
            <w:vAlign w:val="bottom"/>
          </w:tcPr>
          <w:p>
            <w:pPr>
              <w:spacing w:after="0"/>
              <w:rPr>
                <w:sz w:val="1"/>
                <w:szCs w:val="1"/>
                <w:color w:val="auto"/>
              </w:rPr>
            </w:pPr>
          </w:p>
        </w:tc>
      </w:tr>
      <w:tr>
        <w:trPr>
          <w:trHeight w:val="244"/>
        </w:trPr>
        <w:tc>
          <w:tcPr>
            <w:tcW w:w="3400" w:type="dxa"/>
            <w:vAlign w:val="bottom"/>
            <w:shd w:val="clear" w:color="auto" w:fill="4834BA"/>
          </w:tcPr>
          <w:p>
            <w:pPr>
              <w:ind w:left="80"/>
              <w:spacing w:after="0"/>
              <w:rPr>
                <w:sz w:val="20"/>
                <w:szCs w:val="20"/>
                <w:color w:val="auto"/>
              </w:rPr>
            </w:pPr>
            <w:r>
              <w:rPr>
                <w:rFonts w:ascii="Arial" w:cs="Arial" w:eastAsia="Arial" w:hAnsi="Arial"/>
                <w:sz w:val="16"/>
                <w:szCs w:val="16"/>
                <w:b w:val="1"/>
                <w:bCs w:val="1"/>
                <w:color w:val="FFFFFF"/>
              </w:rPr>
              <w:t>Plan Category</w:t>
            </w:r>
          </w:p>
        </w:tc>
        <w:tc>
          <w:tcPr>
            <w:tcW w:w="2180" w:type="dxa"/>
            <w:vAlign w:val="bottom"/>
            <w:shd w:val="clear" w:color="auto" w:fill="4834BA"/>
          </w:tcPr>
          <w:p>
            <w:pPr>
              <w:jc w:val="right"/>
              <w:ind w:right="99"/>
              <w:spacing w:after="0"/>
              <w:rPr>
                <w:sz w:val="20"/>
                <w:szCs w:val="20"/>
                <w:color w:val="auto"/>
              </w:rPr>
            </w:pPr>
            <w:r>
              <w:rPr>
                <w:rFonts w:ascii="Arial" w:cs="Arial" w:eastAsia="Arial" w:hAnsi="Arial"/>
                <w:sz w:val="16"/>
                <w:szCs w:val="16"/>
                <w:b w:val="1"/>
                <w:bCs w:val="1"/>
                <w:color w:val="FFFFFF"/>
              </w:rPr>
              <w:t>warrants and rights</w:t>
            </w:r>
          </w:p>
        </w:tc>
        <w:tc>
          <w:tcPr>
            <w:tcW w:w="1880" w:type="dxa"/>
            <w:vAlign w:val="bottom"/>
            <w:shd w:val="clear" w:color="auto" w:fill="4834BA"/>
          </w:tcPr>
          <w:p>
            <w:pPr>
              <w:jc w:val="right"/>
              <w:ind w:right="92"/>
              <w:spacing w:after="0"/>
              <w:rPr>
                <w:sz w:val="20"/>
                <w:szCs w:val="20"/>
                <w:color w:val="auto"/>
              </w:rPr>
            </w:pPr>
            <w:r>
              <w:rPr>
                <w:rFonts w:ascii="Arial" w:cs="Arial" w:eastAsia="Arial" w:hAnsi="Arial"/>
                <w:sz w:val="16"/>
                <w:szCs w:val="16"/>
                <w:b w:val="1"/>
                <w:bCs w:val="1"/>
                <w:color w:val="FFFFFF"/>
              </w:rPr>
              <w:t>warrants and rights</w:t>
            </w:r>
          </w:p>
        </w:tc>
        <w:tc>
          <w:tcPr>
            <w:tcW w:w="194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plans</w:t>
            </w:r>
          </w:p>
        </w:tc>
        <w:tc>
          <w:tcPr>
            <w:tcW w:w="0" w:type="dxa"/>
            <w:vAlign w:val="bottom"/>
          </w:tcPr>
          <w:p>
            <w:pPr>
              <w:spacing w:after="0"/>
              <w:rPr>
                <w:sz w:val="1"/>
                <w:szCs w:val="1"/>
                <w:color w:val="auto"/>
              </w:rPr>
            </w:pPr>
          </w:p>
        </w:tc>
      </w:tr>
      <w:tr>
        <w:trPr>
          <w:trHeight w:val="215"/>
        </w:trPr>
        <w:tc>
          <w:tcPr>
            <w:tcW w:w="3400" w:type="dxa"/>
            <w:vAlign w:val="bottom"/>
          </w:tcPr>
          <w:p>
            <w:pPr>
              <w:ind w:left="80"/>
              <w:spacing w:after="0"/>
              <w:rPr>
                <w:sz w:val="20"/>
                <w:szCs w:val="20"/>
                <w:color w:val="auto"/>
              </w:rPr>
            </w:pPr>
            <w:r>
              <w:rPr>
                <w:rFonts w:ascii="Arial" w:cs="Arial" w:eastAsia="Arial" w:hAnsi="Arial"/>
                <w:sz w:val="16"/>
                <w:szCs w:val="16"/>
                <w:color w:val="auto"/>
              </w:rPr>
              <w:t>Equity compensation plans approved by</w:t>
            </w:r>
          </w:p>
        </w:tc>
        <w:tc>
          <w:tcPr>
            <w:tcW w:w="2180" w:type="dxa"/>
            <w:vAlign w:val="bottom"/>
          </w:tcPr>
          <w:p>
            <w:pPr>
              <w:jc w:val="right"/>
              <w:ind w:right="99"/>
              <w:spacing w:after="0" w:line="215" w:lineRule="exact"/>
              <w:rPr>
                <w:sz w:val="20"/>
                <w:szCs w:val="20"/>
                <w:color w:val="auto"/>
              </w:rPr>
            </w:pPr>
            <w:r>
              <w:rPr>
                <w:rFonts w:ascii="Arial" w:cs="Arial" w:eastAsia="Arial" w:hAnsi="Arial"/>
                <w:sz w:val="16"/>
                <w:szCs w:val="16"/>
                <w:color w:val="auto"/>
              </w:rPr>
              <w:t>2,518,312</w:t>
            </w:r>
            <w:r>
              <w:rPr>
                <w:rFonts w:ascii="Arial" w:cs="Arial" w:eastAsia="Arial" w:hAnsi="Arial"/>
                <w:sz w:val="19"/>
                <w:szCs w:val="19"/>
                <w:color w:val="auto"/>
                <w:vertAlign w:val="superscript"/>
              </w:rPr>
              <w:t>(1)</w:t>
            </w:r>
          </w:p>
        </w:tc>
        <w:tc>
          <w:tcPr>
            <w:tcW w:w="1880" w:type="dxa"/>
            <w:vAlign w:val="bottom"/>
          </w:tcPr>
          <w:p>
            <w:pPr>
              <w:jc w:val="right"/>
              <w:ind w:right="112"/>
              <w:spacing w:after="0" w:line="216" w:lineRule="exact"/>
              <w:rPr>
                <w:sz w:val="20"/>
                <w:szCs w:val="20"/>
                <w:color w:val="auto"/>
              </w:rPr>
            </w:pPr>
            <w:r>
              <w:rPr>
                <w:rFonts w:ascii="Arial" w:cs="Arial" w:eastAsia="Arial" w:hAnsi="Arial"/>
                <w:sz w:val="24"/>
                <w:szCs w:val="24"/>
                <w:color w:val="auto"/>
                <w:vertAlign w:val="subscript"/>
              </w:rPr>
              <w:t>$0</w:t>
            </w:r>
            <w:r>
              <w:rPr>
                <w:rFonts w:ascii="Arial" w:cs="Arial" w:eastAsia="Arial" w:hAnsi="Arial"/>
                <w:sz w:val="9"/>
                <w:szCs w:val="9"/>
                <w:color w:val="auto"/>
              </w:rPr>
              <w:t>(2)</w:t>
            </w:r>
          </w:p>
        </w:tc>
        <w:tc>
          <w:tcPr>
            <w:tcW w:w="1940" w:type="dxa"/>
            <w:vAlign w:val="bottom"/>
          </w:tcPr>
          <w:p>
            <w:pPr>
              <w:jc w:val="right"/>
              <w:spacing w:after="0" w:line="215" w:lineRule="exact"/>
              <w:rPr>
                <w:sz w:val="20"/>
                <w:szCs w:val="20"/>
                <w:color w:val="auto"/>
              </w:rPr>
            </w:pPr>
            <w:r>
              <w:rPr>
                <w:rFonts w:ascii="Arial" w:cs="Arial" w:eastAsia="Arial" w:hAnsi="Arial"/>
                <w:sz w:val="16"/>
                <w:szCs w:val="16"/>
                <w:color w:val="auto"/>
              </w:rPr>
              <w:t>989,959</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215"/>
        </w:trPr>
        <w:tc>
          <w:tcPr>
            <w:tcW w:w="3400" w:type="dxa"/>
            <w:vAlign w:val="bottom"/>
          </w:tcPr>
          <w:p>
            <w:pPr>
              <w:ind w:left="80"/>
              <w:spacing w:after="0"/>
              <w:rPr>
                <w:sz w:val="20"/>
                <w:szCs w:val="20"/>
                <w:color w:val="auto"/>
              </w:rPr>
            </w:pPr>
            <w:r>
              <w:rPr>
                <w:rFonts w:ascii="Arial" w:cs="Arial" w:eastAsia="Arial" w:hAnsi="Arial"/>
                <w:sz w:val="16"/>
                <w:szCs w:val="16"/>
                <w:color w:val="auto"/>
              </w:rPr>
              <w:t>stockholders</w:t>
            </w:r>
          </w:p>
        </w:tc>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E5E5E5"/>
          </w:tcPr>
          <w:p>
            <w:pPr>
              <w:ind w:left="80"/>
              <w:spacing w:after="0"/>
              <w:rPr>
                <w:sz w:val="20"/>
                <w:szCs w:val="20"/>
                <w:color w:val="auto"/>
              </w:rPr>
            </w:pPr>
            <w:r>
              <w:rPr>
                <w:rFonts w:ascii="Arial" w:cs="Arial" w:eastAsia="Arial" w:hAnsi="Arial"/>
                <w:sz w:val="16"/>
                <w:szCs w:val="16"/>
                <w:color w:val="auto"/>
              </w:rPr>
              <w:t>Equity compensation plans not approved by</w:t>
            </w:r>
          </w:p>
        </w:tc>
        <w:tc>
          <w:tcPr>
            <w:tcW w:w="2180" w:type="dxa"/>
            <w:vAlign w:val="bottom"/>
            <w:shd w:val="clear" w:color="auto" w:fill="E5E5E5"/>
          </w:tcPr>
          <w:p>
            <w:pPr>
              <w:jc w:val="right"/>
              <w:ind w:right="99"/>
              <w:spacing w:after="0" w:line="209" w:lineRule="exact"/>
              <w:rPr>
                <w:sz w:val="20"/>
                <w:szCs w:val="20"/>
                <w:color w:val="auto"/>
              </w:rPr>
            </w:pPr>
            <w:r>
              <w:rPr>
                <w:rFonts w:ascii="Arial" w:cs="Arial" w:eastAsia="Arial" w:hAnsi="Arial"/>
                <w:sz w:val="16"/>
                <w:szCs w:val="16"/>
                <w:color w:val="auto"/>
              </w:rPr>
              <w:t>132,490</w:t>
            </w:r>
            <w:r>
              <w:rPr>
                <w:rFonts w:ascii="Arial" w:cs="Arial" w:eastAsia="Arial" w:hAnsi="Arial"/>
                <w:sz w:val="19"/>
                <w:szCs w:val="19"/>
                <w:color w:val="auto"/>
                <w:vertAlign w:val="superscript"/>
              </w:rPr>
              <w:t>(1)</w:t>
            </w:r>
          </w:p>
        </w:tc>
        <w:tc>
          <w:tcPr>
            <w:tcW w:w="1880" w:type="dxa"/>
            <w:vAlign w:val="bottom"/>
            <w:shd w:val="clear" w:color="auto" w:fill="E5E5E5"/>
          </w:tcPr>
          <w:p>
            <w:pPr>
              <w:jc w:val="right"/>
              <w:ind w:right="112"/>
              <w:spacing w:after="0" w:line="209" w:lineRule="exact"/>
              <w:rPr>
                <w:sz w:val="20"/>
                <w:szCs w:val="20"/>
                <w:color w:val="auto"/>
              </w:rPr>
            </w:pPr>
            <w:r>
              <w:rPr>
                <w:rFonts w:ascii="Arial" w:cs="Arial" w:eastAsia="Arial" w:hAnsi="Arial"/>
                <w:sz w:val="24"/>
                <w:szCs w:val="24"/>
                <w:color w:val="auto"/>
                <w:vertAlign w:val="subscript"/>
              </w:rPr>
              <w:t>$0</w:t>
            </w:r>
            <w:r>
              <w:rPr>
                <w:rFonts w:ascii="Arial" w:cs="Arial" w:eastAsia="Arial" w:hAnsi="Arial"/>
                <w:sz w:val="9"/>
                <w:szCs w:val="9"/>
                <w:color w:val="auto"/>
              </w:rPr>
              <w:t>(2)</w:t>
            </w:r>
          </w:p>
        </w:tc>
        <w:tc>
          <w:tcPr>
            <w:tcW w:w="1940" w:type="dxa"/>
            <w:vAlign w:val="bottom"/>
            <w:shd w:val="clear" w:color="auto" w:fill="E5E5E5"/>
          </w:tcPr>
          <w:p>
            <w:pPr>
              <w:jc w:val="right"/>
              <w:spacing w:after="0" w:line="209" w:lineRule="exact"/>
              <w:rPr>
                <w:sz w:val="20"/>
                <w:szCs w:val="20"/>
                <w:color w:val="auto"/>
              </w:rPr>
            </w:pPr>
            <w:r>
              <w:rPr>
                <w:rFonts w:ascii="Arial" w:cs="Arial" w:eastAsia="Arial" w:hAnsi="Arial"/>
                <w:sz w:val="16"/>
                <w:szCs w:val="16"/>
                <w:color w:val="auto"/>
              </w:rPr>
              <w:t>577,414</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215"/>
        </w:trPr>
        <w:tc>
          <w:tcPr>
            <w:tcW w:w="3400" w:type="dxa"/>
            <w:vAlign w:val="bottom"/>
            <w:shd w:val="clear" w:color="auto" w:fill="E5E5E5"/>
          </w:tcPr>
          <w:p>
            <w:pPr>
              <w:ind w:left="80"/>
              <w:spacing w:after="0"/>
              <w:rPr>
                <w:sz w:val="20"/>
                <w:szCs w:val="20"/>
                <w:color w:val="auto"/>
              </w:rPr>
            </w:pPr>
            <w:r>
              <w:rPr>
                <w:rFonts w:ascii="Arial" w:cs="Arial" w:eastAsia="Arial" w:hAnsi="Arial"/>
                <w:sz w:val="16"/>
                <w:szCs w:val="16"/>
                <w:color w:val="auto"/>
              </w:rPr>
              <w:t>stockholders</w:t>
            </w:r>
          </w:p>
        </w:tc>
        <w:tc>
          <w:tcPr>
            <w:tcW w:w="2180" w:type="dxa"/>
            <w:vAlign w:val="bottom"/>
            <w:shd w:val="clear" w:color="auto" w:fill="E5E5E5"/>
          </w:tcPr>
          <w:p>
            <w:pPr>
              <w:spacing w:after="0"/>
              <w:rPr>
                <w:sz w:val="18"/>
                <w:szCs w:val="18"/>
                <w:color w:val="auto"/>
              </w:rPr>
            </w:pPr>
          </w:p>
        </w:tc>
        <w:tc>
          <w:tcPr>
            <w:tcW w:w="1880" w:type="dxa"/>
            <w:vAlign w:val="bottom"/>
            <w:shd w:val="clear" w:color="auto" w:fill="E5E5E5"/>
          </w:tcPr>
          <w:p>
            <w:pPr>
              <w:spacing w:after="0"/>
              <w:rPr>
                <w:sz w:val="18"/>
                <w:szCs w:val="18"/>
                <w:color w:val="auto"/>
              </w:rPr>
            </w:pPr>
          </w:p>
        </w:tc>
        <w:tc>
          <w:tcPr>
            <w:tcW w:w="19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3400" w:type="dxa"/>
            <w:vAlign w:val="bottom"/>
            <w:tcBorders>
              <w:bottom w:val="single" w:sz="8" w:color="auto"/>
            </w:tcBorders>
            <w:shd w:val="clear" w:color="auto" w:fill="E5E5E5"/>
          </w:tcPr>
          <w:p>
            <w:pPr>
              <w:spacing w:after="0"/>
              <w:rPr>
                <w:sz w:val="6"/>
                <w:szCs w:val="6"/>
                <w:color w:val="auto"/>
              </w:rPr>
            </w:pPr>
          </w:p>
        </w:tc>
        <w:tc>
          <w:tcPr>
            <w:tcW w:w="2180" w:type="dxa"/>
            <w:vAlign w:val="bottom"/>
            <w:tcBorders>
              <w:bottom w:val="single" w:sz="8" w:color="auto"/>
            </w:tcBorders>
            <w:shd w:val="clear" w:color="auto" w:fill="E5E5E5"/>
          </w:tcPr>
          <w:p>
            <w:pPr>
              <w:spacing w:after="0"/>
              <w:rPr>
                <w:sz w:val="6"/>
                <w:szCs w:val="6"/>
                <w:color w:val="auto"/>
              </w:rPr>
            </w:pPr>
          </w:p>
        </w:tc>
        <w:tc>
          <w:tcPr>
            <w:tcW w:w="1880" w:type="dxa"/>
            <w:vAlign w:val="bottom"/>
            <w:tcBorders>
              <w:bottom w:val="single" w:sz="8" w:color="auto"/>
            </w:tcBorders>
            <w:shd w:val="clear" w:color="auto" w:fill="E5E5E5"/>
          </w:tcPr>
          <w:p>
            <w:pPr>
              <w:spacing w:after="0"/>
              <w:rPr>
                <w:sz w:val="6"/>
                <w:szCs w:val="6"/>
                <w:color w:val="auto"/>
              </w:rPr>
            </w:pPr>
          </w:p>
        </w:tc>
        <w:tc>
          <w:tcPr>
            <w:tcW w:w="1940" w:type="dxa"/>
            <w:vAlign w:val="bottom"/>
            <w:tcBorders>
              <w:bottom w:val="single" w:sz="8" w:color="auto"/>
            </w:tcBorders>
            <w:shd w:val="clear" w:color="auto" w:fill="E5E5E5"/>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240" w:right="140" w:hanging="358"/>
        <w:spacing w:after="0" w:line="286" w:lineRule="auto"/>
        <w:tabs>
          <w:tab w:leader="none" w:pos="1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2,650,802 shares subject to outstanding RSUs as of December 31, 2025, including the number of shares issuable at target levels of performance for PSUs.</w:t>
      </w:r>
    </w:p>
    <w:p>
      <w:pPr>
        <w:spacing w:after="0" w:line="20" w:lineRule="exact"/>
        <w:rPr>
          <w:rFonts w:ascii="Arial" w:cs="Arial" w:eastAsia="Arial" w:hAnsi="Arial"/>
          <w:sz w:val="16"/>
          <w:szCs w:val="16"/>
          <w:color w:val="auto"/>
        </w:rPr>
      </w:pPr>
    </w:p>
    <w:p>
      <w:pPr>
        <w:ind w:left="1240" w:right="440" w:hanging="358"/>
        <w:spacing w:after="0" w:line="304" w:lineRule="auto"/>
        <w:tabs>
          <w:tab w:leader="none" w:pos="1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weighted-average exercise price does not reflect the shares that will be issued in connection with the settlement of RSUs since RSUs have no exercise price.</w:t>
      </w:r>
    </w:p>
    <w:p>
      <w:pPr>
        <w:spacing w:after="0" w:line="6" w:lineRule="exact"/>
        <w:rPr>
          <w:rFonts w:ascii="Arial" w:cs="Arial" w:eastAsia="Arial" w:hAnsi="Arial"/>
          <w:sz w:val="16"/>
          <w:szCs w:val="16"/>
          <w:color w:val="auto"/>
        </w:rPr>
      </w:pPr>
    </w:p>
    <w:p>
      <w:pPr>
        <w:ind w:left="1240" w:right="120" w:hanging="358"/>
        <w:spacing w:after="0" w:line="286" w:lineRule="auto"/>
        <w:tabs>
          <w:tab w:leader="none" w:pos="1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shares of common stock available for issuance in connection with future awards under our 2021 Plan and 2023 Equity Inducement Plan.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2023 Equity Inducement Plan</w:t>
      </w:r>
    </w:p>
    <w:p>
      <w:pPr>
        <w:spacing w:after="0" w:line="126" w:lineRule="exact"/>
        <w:rPr>
          <w:sz w:val="20"/>
          <w:szCs w:val="20"/>
          <w:color w:val="auto"/>
        </w:rPr>
      </w:pPr>
    </w:p>
    <w:p>
      <w:pPr>
        <w:jc w:val="both"/>
        <w:ind w:left="660" w:right="340"/>
        <w:spacing w:after="0" w:line="266" w:lineRule="auto"/>
        <w:rPr>
          <w:sz w:val="20"/>
          <w:szCs w:val="20"/>
          <w:color w:val="auto"/>
        </w:rPr>
      </w:pPr>
      <w:r>
        <w:rPr>
          <w:rFonts w:ascii="Arial" w:cs="Arial" w:eastAsia="Arial" w:hAnsi="Arial"/>
          <w:sz w:val="16"/>
          <w:szCs w:val="16"/>
          <w:color w:val="auto"/>
        </w:rPr>
        <w:t>On July 28, 2023, the Board adopted the Applied Optoelectronics, Inc. 2023 Equity Inducement Plan (the “Inducement Plan”), as recommended by the compensation committee, without stockholder approval pursuant to Rule 5635(c)(4) of the Nasdaq Listing Rules (the “Listing Rule”).</w:t>
      </w:r>
    </w:p>
    <w:p>
      <w:pPr>
        <w:spacing w:after="0" w:line="63" w:lineRule="exact"/>
        <w:rPr>
          <w:sz w:val="20"/>
          <w:szCs w:val="20"/>
          <w:color w:val="auto"/>
        </w:rPr>
      </w:pPr>
    </w:p>
    <w:p>
      <w:pPr>
        <w:ind w:left="660" w:right="160"/>
        <w:spacing w:after="0" w:line="266" w:lineRule="auto"/>
        <w:rPr>
          <w:sz w:val="20"/>
          <w:szCs w:val="20"/>
          <w:color w:val="auto"/>
        </w:rPr>
      </w:pPr>
      <w:r>
        <w:rPr>
          <w:rFonts w:ascii="Arial" w:cs="Arial" w:eastAsia="Arial" w:hAnsi="Arial"/>
          <w:sz w:val="16"/>
          <w:szCs w:val="16"/>
          <w:color w:val="auto"/>
        </w:rPr>
        <w:t>The Inducement Plan provides for the grant of RSUs and other types of equity-based incentive compensation to individuals who were not previously an employee or director of the Company, or following a bona fide period of non-employment, as an inducement material to such persons entering into employment with the Company.</w:t>
      </w:r>
    </w:p>
    <w:p>
      <w:pPr>
        <w:spacing w:after="0" w:line="63"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color w:val="auto"/>
        </w:rPr>
        <w:t>The terms and conditions of the Inducement Plan are substantially similar to the 2021 Plan, but with such other terms and conditions intended to comply with the Nasdaq inducement award rules.</w:t>
      </w:r>
    </w:p>
    <w:p>
      <w:pPr>
        <w:spacing w:after="0" w:line="48" w:lineRule="exact"/>
        <w:rPr>
          <w:sz w:val="20"/>
          <w:szCs w:val="20"/>
          <w:color w:val="auto"/>
        </w:rPr>
      </w:pPr>
    </w:p>
    <w:p>
      <w:pPr>
        <w:ind w:left="660" w:right="140"/>
        <w:spacing w:after="0" w:line="259" w:lineRule="auto"/>
        <w:rPr>
          <w:sz w:val="20"/>
          <w:szCs w:val="20"/>
          <w:color w:val="auto"/>
        </w:rPr>
      </w:pPr>
      <w:r>
        <w:rPr>
          <w:rFonts w:ascii="Arial" w:cs="Arial" w:eastAsia="Arial" w:hAnsi="Arial"/>
          <w:sz w:val="16"/>
          <w:szCs w:val="16"/>
          <w:color w:val="auto"/>
        </w:rPr>
        <w:t>The principal features of the Inducement Plan are summarized below. This summary does not contain all information about the Inducement Plan and does not purport to be a complete description. A copy of the complete text of the Inducement Plan is filed as Exhibit 10.5 to the Company’s Annual Report on Form 10-K for the year ended December 31, 2025, and the following description is qualified in its entirety by reference to such exhibit.</w:t>
      </w:r>
    </w:p>
    <w:p>
      <w:pPr>
        <w:spacing w:after="0" w:line="70" w:lineRule="exact"/>
        <w:rPr>
          <w:sz w:val="20"/>
          <w:szCs w:val="20"/>
          <w:color w:val="auto"/>
        </w:rPr>
      </w:pPr>
    </w:p>
    <w:p>
      <w:pPr>
        <w:jc w:val="both"/>
        <w:ind w:left="660" w:right="100"/>
        <w:spacing w:after="0" w:line="266" w:lineRule="auto"/>
        <w:rPr>
          <w:sz w:val="20"/>
          <w:szCs w:val="20"/>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the Inducement Plan is to attract, retain and motivate new employees of the Company and its affiliates by</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them the opportunity to acquire an equity interest in the Company and to align their interests and efforts with the long-term interests of the Company’s stockholders.</w:t>
      </w:r>
    </w:p>
    <w:p>
      <w:pPr>
        <w:spacing w:after="0" w:line="63" w:lineRule="exact"/>
        <w:rPr>
          <w:sz w:val="20"/>
          <w:szCs w:val="20"/>
          <w:color w:val="auto"/>
        </w:rPr>
      </w:pPr>
    </w:p>
    <w:p>
      <w:pPr>
        <w:ind w:left="660" w:right="120"/>
        <w:spacing w:after="0" w:line="266"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compensation committee is authorized to administer the Inducement Plan. The administrator is authorized to</w:t>
      </w:r>
      <w:r>
        <w:rPr>
          <w:rFonts w:ascii="Arial" w:cs="Arial" w:eastAsia="Arial" w:hAnsi="Arial"/>
          <w:sz w:val="16"/>
          <w:szCs w:val="16"/>
          <w:b w:val="1"/>
          <w:bCs w:val="1"/>
          <w:color w:val="auto"/>
        </w:rPr>
        <w:t xml:space="preserve"> </w:t>
      </w:r>
      <w:r>
        <w:rPr>
          <w:rFonts w:ascii="Arial" w:cs="Arial" w:eastAsia="Arial" w:hAnsi="Arial"/>
          <w:sz w:val="16"/>
          <w:szCs w:val="16"/>
          <w:color w:val="auto"/>
        </w:rPr>
        <w:t>select the new employees to be granted awards and, subject to the terms of the Inducement Plan, to determine the types of awards to be granted, the number of shares subject to awards and the other terms, conditions, and provisions of such awards.</w:t>
      </w:r>
    </w:p>
    <w:p>
      <w:pPr>
        <w:spacing w:after="0" w:line="63" w:lineRule="exact"/>
        <w:rPr>
          <w:sz w:val="20"/>
          <w:szCs w:val="20"/>
          <w:color w:val="auto"/>
        </w:rPr>
      </w:pPr>
    </w:p>
    <w:p>
      <w:pPr>
        <w:ind w:left="660" w:right="20"/>
        <w:spacing w:after="0" w:line="256"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Awards may be granted under the Inducement Plan to any new employee (including any officer) of the Company or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only as an incentive material to such employee entering into employment with the Company or any affiliate as provided in the Listing Rule who was not previously an employee or director of the Company or any affiliate or who previously provided services to the Company or any affiliate as an employee or director, but subsequently completed a period of bona fide non-employment by the Company or any affiliate sufficient for compliance with the Listing Rule.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The Inducement Plan authorizes the issuance of up to 800,000 shares of common stock.</w:t>
      </w:r>
    </w:p>
    <w:p>
      <w:pPr>
        <w:spacing w:after="0" w:line="113" w:lineRule="exact"/>
        <w:rPr>
          <w:sz w:val="20"/>
          <w:szCs w:val="20"/>
          <w:color w:val="auto"/>
        </w:rPr>
      </w:pPr>
    </w:p>
    <w:p>
      <w:pPr>
        <w:ind w:left="660"/>
        <w:spacing w:after="0" w:line="266" w:lineRule="auto"/>
        <w:rPr>
          <w:sz w:val="20"/>
          <w:szCs w:val="20"/>
          <w:color w:val="auto"/>
        </w:rPr>
      </w:pPr>
      <w:r>
        <w:rPr>
          <w:rFonts w:ascii="Arial" w:cs="Arial" w:eastAsia="Arial" w:hAnsi="Arial"/>
          <w:sz w:val="15"/>
          <w:szCs w:val="15"/>
          <w:b w:val="1"/>
          <w:bCs w:val="1"/>
          <w:color w:val="auto"/>
        </w:rPr>
        <w:t xml:space="preserve">Adjustments. </w:t>
      </w:r>
      <w:r>
        <w:rPr>
          <w:rFonts w:ascii="Arial" w:cs="Arial" w:eastAsia="Arial" w:hAnsi="Arial"/>
          <w:sz w:val="15"/>
          <w:szCs w:val="15"/>
          <w:color w:val="auto"/>
        </w:rPr>
        <w:t>If any change to our common stock occurs by reason of a stock dividend, stock split, spin-off, combination or exchange</w:t>
      </w:r>
      <w:r>
        <w:rPr>
          <w:rFonts w:ascii="Arial" w:cs="Arial" w:eastAsia="Arial" w:hAnsi="Arial"/>
          <w:sz w:val="15"/>
          <w:szCs w:val="15"/>
          <w:b w:val="1"/>
          <w:bCs w:val="1"/>
          <w:color w:val="auto"/>
        </w:rPr>
        <w:t xml:space="preserve"> </w:t>
      </w:r>
      <w:r>
        <w:rPr>
          <w:rFonts w:ascii="Arial" w:cs="Arial" w:eastAsia="Arial" w:hAnsi="Arial"/>
          <w:sz w:val="15"/>
          <w:szCs w:val="15"/>
          <w:color w:val="auto"/>
        </w:rPr>
        <w:t>of shares, recapitalization, merger, consolidation, distribution to stockholders other than a normal cash dividend, or other change in the Company’s corporate or capital structure that constitutes an equity restructuring transaction under applicable financial accounting rules and that results in the outstanding shares of common stock, or any securities exchanged therefor or received in their place, being exchanged for a different number or kind of securities of the Company or any other company or new, different or additional securities of the Company or any other company being received by the holders of shares of common stock, the administrator will make proportional adjustments as it, in its sole discretion, deems appropriate, to the maximum number and kind of securities</w:t>
      </w:r>
    </w:p>
    <w:p>
      <w:pPr>
        <w:spacing w:after="0" w:line="1" w:lineRule="exact"/>
        <w:rPr>
          <w:sz w:val="20"/>
          <w:szCs w:val="20"/>
          <w:color w:val="auto"/>
        </w:rPr>
      </w:pPr>
    </w:p>
    <w:p>
      <w:pPr>
        <w:ind w:left="660" w:right="320" w:firstLine="6"/>
        <w:spacing w:after="0" w:line="265" w:lineRule="auto"/>
        <w:tabs>
          <w:tab w:leader="none" w:pos="89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available for issuance under the Inducement Plan and subject to any outstanding award, including the per share price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194945</wp:posOffset>
            </wp:positionV>
            <wp:extent cx="334010" cy="162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19"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60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Types of Awards. </w:t>
      </w:r>
      <w:r>
        <w:rPr>
          <w:rFonts w:ascii="Arial" w:cs="Arial" w:eastAsia="Arial" w:hAnsi="Arial"/>
          <w:sz w:val="16"/>
          <w:szCs w:val="16"/>
          <w:color w:val="auto"/>
        </w:rPr>
        <w:t>The Inducement Plan authorizes the grant of the following types of awards:</w:t>
      </w:r>
    </w:p>
    <w:p>
      <w:pPr>
        <w:spacing w:after="0" w:line="127" w:lineRule="exact"/>
        <w:rPr>
          <w:sz w:val="20"/>
          <w:szCs w:val="20"/>
          <w:color w:val="auto"/>
        </w:rPr>
      </w:pPr>
    </w:p>
    <w:p>
      <w:pPr>
        <w:ind w:left="1060" w:right="200" w:hanging="178"/>
        <w:spacing w:after="0" w:line="265" w:lineRule="auto"/>
        <w:tabs>
          <w:tab w:leader="none" w:pos="1060" w:val="left"/>
        </w:tabs>
        <w:numPr>
          <w:ilvl w:val="0"/>
          <w:numId w:val="45"/>
        </w:numPr>
        <w:rPr>
          <w:rFonts w:ascii="Arial" w:cs="Arial" w:eastAsia="Arial" w:hAnsi="Arial"/>
          <w:sz w:val="9"/>
          <w:szCs w:val="9"/>
          <w:color w:val="auto"/>
        </w:rPr>
      </w:pPr>
      <w:r>
        <w:rPr>
          <w:rFonts w:ascii="Arial" w:cs="Arial" w:eastAsia="Arial" w:hAnsi="Arial"/>
          <w:sz w:val="16"/>
          <w:szCs w:val="16"/>
          <w:b w:val="1"/>
          <w:bCs w:val="1"/>
          <w:color w:val="auto"/>
        </w:rPr>
        <w:t xml:space="preserve">Restricted Stock, Restricted Stock Units and Other Stock Based Awards. </w:t>
      </w:r>
      <w:r>
        <w:rPr>
          <w:rFonts w:ascii="Arial" w:cs="Arial" w:eastAsia="Arial" w:hAnsi="Arial"/>
          <w:sz w:val="16"/>
          <w:szCs w:val="16"/>
          <w:color w:val="auto"/>
        </w:rPr>
        <w:t>The administrator may grant awards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or awards denominated in units of stock. These awards may be made subject to repurchase or forfeiture restrictions at the administrator’s discretion. The restrictions may be based on continuous employment for a prescribed time period or the achievement of specified performance criteria, as determined by the administrator. RSUs represent an unfunded, unsecured right to receive the value of one share of common stock for each unit subject to the award in cash, common stock, or other securities on the date of vesting or settlement.</w:t>
      </w:r>
    </w:p>
    <w:p>
      <w:pPr>
        <w:spacing w:after="0" w:line="63" w:lineRule="exact"/>
        <w:rPr>
          <w:rFonts w:ascii="Arial" w:cs="Arial" w:eastAsia="Arial" w:hAnsi="Arial"/>
          <w:sz w:val="9"/>
          <w:szCs w:val="9"/>
          <w:color w:val="auto"/>
        </w:rPr>
      </w:pPr>
    </w:p>
    <w:p>
      <w:pPr>
        <w:jc w:val="both"/>
        <w:ind w:left="1060" w:right="360" w:hanging="178"/>
        <w:spacing w:after="0" w:line="284" w:lineRule="auto"/>
        <w:tabs>
          <w:tab w:leader="none" w:pos="1060" w:val="left"/>
        </w:tabs>
        <w:numPr>
          <w:ilvl w:val="0"/>
          <w:numId w:val="45"/>
        </w:numPr>
        <w:rPr>
          <w:rFonts w:ascii="Arial" w:cs="Arial" w:eastAsia="Arial" w:hAnsi="Arial"/>
          <w:sz w:val="9"/>
          <w:szCs w:val="9"/>
          <w:color w:val="auto"/>
        </w:rPr>
      </w:pPr>
      <w:r>
        <w:rPr>
          <w:rFonts w:ascii="Arial" w:cs="Arial" w:eastAsia="Arial" w:hAnsi="Arial"/>
          <w:sz w:val="16"/>
          <w:szCs w:val="16"/>
          <w:b w:val="1"/>
          <w:bCs w:val="1"/>
          <w:color w:val="auto"/>
        </w:rPr>
        <w:t xml:space="preserve">Performance Based Awards. </w:t>
      </w:r>
      <w:r>
        <w:rPr>
          <w:rFonts w:ascii="Arial" w:cs="Arial" w:eastAsia="Arial" w:hAnsi="Arial"/>
          <w:sz w:val="16"/>
          <w:szCs w:val="16"/>
          <w:color w:val="auto"/>
        </w:rPr>
        <w:t>The administrator may grant awards subject to performance-based conditions.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awards may be payable in stock, cash or other property, or a combination, upon the attainment of performance criteria and other terms and conditions as established by the administrator.</w:t>
      </w:r>
    </w:p>
    <w:p>
      <w:pPr>
        <w:spacing w:after="0" w:line="48" w:lineRule="exact"/>
        <w:rPr>
          <w:rFonts w:ascii="Arial" w:cs="Arial" w:eastAsia="Arial" w:hAnsi="Arial"/>
          <w:sz w:val="9"/>
          <w:szCs w:val="9"/>
          <w:color w:val="auto"/>
        </w:rPr>
      </w:pPr>
    </w:p>
    <w:p>
      <w:pPr>
        <w:ind w:left="1060" w:hanging="178"/>
        <w:spacing w:after="0" w:line="262" w:lineRule="auto"/>
        <w:tabs>
          <w:tab w:leader="none" w:pos="1060" w:val="left"/>
        </w:tabs>
        <w:numPr>
          <w:ilvl w:val="0"/>
          <w:numId w:val="45"/>
        </w:numPr>
        <w:rPr>
          <w:rFonts w:ascii="Arial" w:cs="Arial" w:eastAsia="Arial" w:hAnsi="Arial"/>
          <w:sz w:val="9"/>
          <w:szCs w:val="9"/>
          <w:color w:val="auto"/>
        </w:rPr>
      </w:pPr>
      <w:r>
        <w:rPr>
          <w:rFonts w:ascii="Arial" w:cs="Arial" w:eastAsia="Arial" w:hAnsi="Arial"/>
          <w:sz w:val="16"/>
          <w:szCs w:val="16"/>
          <w:b w:val="1"/>
          <w:bCs w:val="1"/>
          <w:color w:val="auto"/>
        </w:rPr>
        <w:t xml:space="preserve">Stock Options and Stock Appreciation Rights (“SARs”). </w:t>
      </w:r>
      <w:r>
        <w:rPr>
          <w:rFonts w:ascii="Arial" w:cs="Arial" w:eastAsia="Arial" w:hAnsi="Arial"/>
          <w:sz w:val="16"/>
          <w:szCs w:val="16"/>
          <w:color w:val="auto"/>
        </w:rPr>
        <w:t>The administrator may grant nonqualified stock options. Upon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SARs are the right to receive payment per share in stock or cash, or in a combination of stock and cash, equal to the excess of the share’s fair market value on the date of exercise over its fair market value on the date the SAR was granted. Stock options and SARs are subject to the vesting terms prescribed by the administrator. The exercise price of stock options or SARs granted under the Inducement Plan must be at least equal to 100% of the fair market value of the underlying stock on the grant date, except in the case of options assumed or substituted for in acquisition transactions. Unless the administrator determines otherwise, fair market value means, as of a given date, the closing price of our stock. Stock options and SARs have a maximum term of 10 years from the grant date, subject to potential earlier termination following a participant’s termination of employment with us.</w:t>
      </w:r>
    </w:p>
    <w:p>
      <w:pPr>
        <w:spacing w:after="0" w:line="82" w:lineRule="exact"/>
        <w:rPr>
          <w:rFonts w:ascii="Arial" w:cs="Arial" w:eastAsia="Arial" w:hAnsi="Arial"/>
          <w:sz w:val="9"/>
          <w:szCs w:val="9"/>
          <w:color w:val="auto"/>
        </w:rPr>
      </w:pPr>
    </w:p>
    <w:p>
      <w:pPr>
        <w:ind w:left="1060" w:right="80" w:hanging="178"/>
        <w:spacing w:after="0" w:line="304" w:lineRule="auto"/>
        <w:tabs>
          <w:tab w:leader="none" w:pos="1060" w:val="left"/>
        </w:tabs>
        <w:numPr>
          <w:ilvl w:val="0"/>
          <w:numId w:val="45"/>
        </w:numPr>
        <w:rPr>
          <w:rFonts w:ascii="Arial" w:cs="Arial" w:eastAsia="Arial" w:hAnsi="Arial"/>
          <w:sz w:val="9"/>
          <w:szCs w:val="9"/>
          <w:color w:val="auto"/>
        </w:rPr>
      </w:pPr>
      <w:r>
        <w:rPr>
          <w:rFonts w:ascii="Arial" w:cs="Arial" w:eastAsia="Arial" w:hAnsi="Arial"/>
          <w:sz w:val="16"/>
          <w:szCs w:val="16"/>
          <w:b w:val="1"/>
          <w:bCs w:val="1"/>
          <w:color w:val="auto"/>
        </w:rPr>
        <w:t xml:space="preserve">Other Stock or Cash-Based Awards. </w:t>
      </w:r>
      <w:r>
        <w:rPr>
          <w:rFonts w:ascii="Arial" w:cs="Arial" w:eastAsia="Arial" w:hAnsi="Arial"/>
          <w:sz w:val="16"/>
          <w:szCs w:val="16"/>
          <w:color w:val="auto"/>
        </w:rPr>
        <w:t>The administrator may grant other incentives payable in cash or in shares, subject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terms and conditions determined by the administrator and the Inducement Plan.</w:t>
      </w:r>
    </w:p>
    <w:p>
      <w:pPr>
        <w:spacing w:after="0" w:line="3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b w:val="1"/>
          <w:bCs w:val="1"/>
          <w:color w:val="auto"/>
        </w:rPr>
        <w:t xml:space="preserve">Performance Criteria. </w:t>
      </w:r>
      <w:r>
        <w:rPr>
          <w:rFonts w:ascii="Arial" w:cs="Arial" w:eastAsia="Arial" w:hAnsi="Arial"/>
          <w:sz w:val="16"/>
          <w:szCs w:val="16"/>
          <w:color w:val="auto"/>
        </w:rPr>
        <w:t>Any awards granted under the Inducement Plan may be subject to the achievement of performance objectives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based on Company-wide, divisional, business unit or individual basis and may include performance objectives measuring achievement in: earnings (including earnings per share or net earnings); earnings before interest, taxes and depreciation; earnings before interest, taxes, depreciation and amortization; TSR;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environmental or climate impact; social good impact;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administrator. Performance goals may be established on an absolute basis or relative to the performance of other companies.</w:t>
      </w:r>
    </w:p>
    <w:p>
      <w:pPr>
        <w:spacing w:after="0" w:line="88" w:lineRule="exact"/>
        <w:rPr>
          <w:sz w:val="20"/>
          <w:szCs w:val="20"/>
          <w:color w:val="auto"/>
        </w:rPr>
      </w:pPr>
    </w:p>
    <w:p>
      <w:pPr>
        <w:ind w:left="660" w:right="260"/>
        <w:spacing w:after="0" w:line="284" w:lineRule="auto"/>
        <w:rPr>
          <w:sz w:val="20"/>
          <w:szCs w:val="20"/>
          <w:color w:val="auto"/>
        </w:rPr>
      </w:pPr>
      <w:r>
        <w:rPr>
          <w:rFonts w:ascii="Arial" w:cs="Arial" w:eastAsia="Arial" w:hAnsi="Arial"/>
          <w:sz w:val="16"/>
          <w:szCs w:val="16"/>
          <w:b w:val="1"/>
          <w:bCs w:val="1"/>
          <w:color w:val="auto"/>
        </w:rPr>
        <w:t xml:space="preserve">Limited Transferability. </w:t>
      </w:r>
      <w:r>
        <w:rPr>
          <w:rFonts w:ascii="Arial" w:cs="Arial" w:eastAsia="Arial" w:hAnsi="Arial"/>
          <w:sz w:val="16"/>
          <w:szCs w:val="16"/>
          <w:color w:val="auto"/>
        </w:rPr>
        <w:t>Awards generally may not be transferred, except by will or the laws of descent and distribution,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evidencing the award permits the participant to designate one or more beneficiaries or the administrator otherwise approves a transfer.</w:t>
      </w:r>
    </w:p>
    <w:p>
      <w:pPr>
        <w:spacing w:after="0" w:line="49" w:lineRule="exact"/>
        <w:rPr>
          <w:sz w:val="20"/>
          <w:szCs w:val="20"/>
          <w:color w:val="auto"/>
        </w:rPr>
      </w:pPr>
    </w:p>
    <w:p>
      <w:pPr>
        <w:ind w:left="660" w:right="20"/>
        <w:spacing w:after="0" w:line="275" w:lineRule="auto"/>
        <w:rPr>
          <w:sz w:val="20"/>
          <w:szCs w:val="20"/>
          <w:color w:val="auto"/>
        </w:rPr>
      </w:pPr>
      <w:r>
        <w:rPr>
          <w:rFonts w:ascii="Arial" w:cs="Arial" w:eastAsia="Arial" w:hAnsi="Arial"/>
          <w:sz w:val="16"/>
          <w:szCs w:val="16"/>
          <w:b w:val="1"/>
          <w:bCs w:val="1"/>
          <w:color w:val="auto"/>
        </w:rPr>
        <w:t xml:space="preserve">Change of Control or Liquidation. </w:t>
      </w:r>
      <w:r>
        <w:rPr>
          <w:rFonts w:ascii="Arial" w:cs="Arial" w:eastAsia="Arial" w:hAnsi="Arial"/>
          <w:sz w:val="16"/>
          <w:szCs w:val="16"/>
          <w:color w:val="auto"/>
        </w:rPr>
        <w:t>Under the Inducement Plan, unless otherwise provided in the instrument evidencing an award or</w:t>
      </w:r>
      <w:r>
        <w:rPr>
          <w:rFonts w:ascii="Arial" w:cs="Arial" w:eastAsia="Arial" w:hAnsi="Arial"/>
          <w:sz w:val="16"/>
          <w:szCs w:val="16"/>
          <w:b w:val="1"/>
          <w:bCs w:val="1"/>
          <w:color w:val="auto"/>
        </w:rPr>
        <w:t xml:space="preserve"> </w:t>
      </w:r>
      <w:r>
        <w:rPr>
          <w:rFonts w:ascii="Arial" w:cs="Arial" w:eastAsia="Arial" w:hAnsi="Arial"/>
          <w:sz w:val="16"/>
          <w:szCs w:val="16"/>
          <w:color w:val="auto"/>
        </w:rPr>
        <w:t>in a written employment, services or other agreement between a participant and us, upon the closing or consummation of the change of control:</w:t>
      </w:r>
    </w:p>
    <w:p>
      <w:pPr>
        <w:spacing w:after="0" w:line="70" w:lineRule="exact"/>
        <w:rPr>
          <w:sz w:val="20"/>
          <w:szCs w:val="20"/>
          <w:color w:val="auto"/>
        </w:rPr>
      </w:pPr>
    </w:p>
    <w:p>
      <w:pPr>
        <w:ind w:left="1060" w:hanging="178"/>
        <w:spacing w:after="0" w:line="269" w:lineRule="auto"/>
        <w:tabs>
          <w:tab w:leader="none" w:pos="1060" w:val="left"/>
        </w:tabs>
        <w:numPr>
          <w:ilvl w:val="0"/>
          <w:numId w:val="46"/>
        </w:numPr>
        <w:rPr>
          <w:rFonts w:ascii="Arial" w:cs="Arial" w:eastAsia="Arial" w:hAnsi="Arial"/>
          <w:sz w:val="9"/>
          <w:szCs w:val="9"/>
          <w:color w:val="auto"/>
        </w:rPr>
      </w:pPr>
      <w:r>
        <w:rPr>
          <w:rFonts w:ascii="Arial" w:cs="Arial" w:eastAsia="Arial" w:hAnsi="Arial"/>
          <w:sz w:val="16"/>
          <w:szCs w:val="16"/>
          <w:color w:val="auto"/>
        </w:rPr>
        <w:t>Upon a change of control that qualifies as a company transaction in which outstanding awards could be converted, assumed, substituted for or replaced by a successor company, outstanding awards that vest based on continued employment will become vested and exercisable or payable, all applicable restrictions or forfeiture provisions will lapse, and such awards will terminate at the effective time of the change of control, only if and to the extent the awards are not converted, assumed, substituted for or replaced by a successor company.</w:t>
      </w:r>
    </w:p>
    <w:p>
      <w:pPr>
        <w:spacing w:after="0" w:line="62" w:lineRule="exact"/>
        <w:rPr>
          <w:rFonts w:ascii="Arial" w:cs="Arial" w:eastAsia="Arial" w:hAnsi="Arial"/>
          <w:sz w:val="9"/>
          <w:szCs w:val="9"/>
          <w:color w:val="auto"/>
        </w:rPr>
      </w:pPr>
    </w:p>
    <w:p>
      <w:pPr>
        <w:ind w:left="1060" w:right="140" w:hanging="178"/>
        <w:spacing w:after="0" w:line="271" w:lineRule="auto"/>
        <w:tabs>
          <w:tab w:leader="none" w:pos="1060" w:val="left"/>
        </w:tabs>
        <w:numPr>
          <w:ilvl w:val="0"/>
          <w:numId w:val="46"/>
        </w:numPr>
        <w:rPr>
          <w:rFonts w:ascii="Arial" w:cs="Arial" w:eastAsia="Arial" w:hAnsi="Arial"/>
          <w:sz w:val="9"/>
          <w:szCs w:val="9"/>
          <w:color w:val="auto"/>
        </w:rPr>
      </w:pPr>
      <w:r>
        <w:rPr>
          <w:rFonts w:ascii="Arial" w:cs="Arial" w:eastAsia="Arial" w:hAnsi="Arial"/>
          <w:sz w:val="16"/>
          <w:szCs w:val="16"/>
          <w:color w:val="auto"/>
        </w:rPr>
        <w:t>In the event of a change of control that does not qualify as a company transaction or if outstanding time-based awards are not converted, assumed, substituted for or replaced by a successor company in a company transaction, the awards will become fully and immediately vested and exercisable or payable, and all applicable restrictions or forfeiture provisions, will lapse immediately prior to the change of control and the awards will terminate at the effective time of the change of control.</w:t>
      </w:r>
    </w:p>
    <w:p>
      <w:pPr>
        <w:spacing w:after="0" w:line="73" w:lineRule="exact"/>
        <w:rPr>
          <w:rFonts w:ascii="Arial" w:cs="Arial" w:eastAsia="Arial" w:hAnsi="Arial"/>
          <w:sz w:val="9"/>
          <w:szCs w:val="9"/>
          <w:color w:val="auto"/>
        </w:rPr>
      </w:pPr>
    </w:p>
    <w:p>
      <w:pPr>
        <w:jc w:val="both"/>
        <w:ind w:left="1060" w:right="80" w:hanging="178"/>
        <w:spacing w:after="0" w:line="275" w:lineRule="auto"/>
        <w:tabs>
          <w:tab w:leader="none" w:pos="1060" w:val="left"/>
        </w:tabs>
        <w:numPr>
          <w:ilvl w:val="0"/>
          <w:numId w:val="46"/>
        </w:numPr>
        <w:rPr>
          <w:rFonts w:ascii="Arial" w:cs="Arial" w:eastAsia="Arial" w:hAnsi="Arial"/>
          <w:sz w:val="9"/>
          <w:szCs w:val="9"/>
          <w:color w:val="auto"/>
        </w:rPr>
      </w:pPr>
      <w:r>
        <w:rPr>
          <w:rFonts w:ascii="Arial" w:cs="Arial" w:eastAsia="Arial" w:hAnsi="Arial"/>
          <w:sz w:val="16"/>
          <w:szCs w:val="16"/>
          <w:color w:val="auto"/>
        </w:rPr>
        <w:t>All outstanding performance-based awards for which the payout level has been determined will be paid in accordance with the payout schedule for the award. All outstanding performance-based awards for which the payout level has not been determined will be prorated based on actual results measured against the performance goals as of the effective date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198755</wp:posOffset>
            </wp:positionV>
            <wp:extent cx="334010" cy="162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24"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61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060" w:right="140"/>
        <w:spacing w:after="0" w:line="271" w:lineRule="auto"/>
        <w:rPr>
          <w:sz w:val="20"/>
          <w:szCs w:val="20"/>
          <w:color w:val="auto"/>
        </w:rPr>
      </w:pPr>
      <w:r>
        <w:rPr>
          <w:rFonts w:ascii="Arial" w:cs="Arial" w:eastAsia="Arial" w:hAnsi="Arial"/>
          <w:sz w:val="16"/>
          <w:szCs w:val="16"/>
          <w:color w:val="auto"/>
        </w:rPr>
        <w:t>change of control and will be paid in accordance with the payout schedule for the award. With respect to a change of control that is a company transaction in which the awards could be converted, assumed, substituted for, or replaced by the successor company, such awards will terminate at the effective time of the change of control if and to the extent the awards are not converted, assumed, substituted for, or replaced by the successor company.</w:t>
      </w:r>
    </w:p>
    <w:p>
      <w:pPr>
        <w:spacing w:after="0" w:line="73" w:lineRule="exact"/>
        <w:rPr>
          <w:sz w:val="20"/>
          <w:szCs w:val="20"/>
          <w:color w:val="auto"/>
        </w:rPr>
      </w:pPr>
    </w:p>
    <w:p>
      <w:pPr>
        <w:ind w:left="1060" w:right="200" w:hanging="178"/>
        <w:spacing w:after="0" w:line="286" w:lineRule="auto"/>
        <w:tabs>
          <w:tab w:leader="none" w:pos="1060" w:val="left"/>
        </w:tabs>
        <w:numPr>
          <w:ilvl w:val="0"/>
          <w:numId w:val="47"/>
        </w:numPr>
        <w:rPr>
          <w:rFonts w:ascii="Arial" w:cs="Arial" w:eastAsia="Arial" w:hAnsi="Arial"/>
          <w:sz w:val="9"/>
          <w:szCs w:val="9"/>
          <w:color w:val="auto"/>
        </w:rPr>
      </w:pPr>
      <w:r>
        <w:rPr>
          <w:rFonts w:ascii="Arial" w:cs="Arial" w:eastAsia="Arial" w:hAnsi="Arial"/>
          <w:sz w:val="16"/>
          <w:szCs w:val="16"/>
          <w:color w:val="auto"/>
        </w:rPr>
        <w:t>In the event of a company transaction, the administrator, in its discretion, may provide that a participant’s outstanding awards will be cashed out, net of any purchase or exercise prices applicable to such awards.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Inducement Plan generally defines “change of control” as the occurrence of any of the following events:</w:t>
      </w:r>
    </w:p>
    <w:p>
      <w:pPr>
        <w:spacing w:after="0" w:line="127" w:lineRule="exact"/>
        <w:rPr>
          <w:sz w:val="20"/>
          <w:szCs w:val="20"/>
          <w:color w:val="auto"/>
        </w:rPr>
      </w:pPr>
    </w:p>
    <w:p>
      <w:pPr>
        <w:ind w:left="1060" w:right="520" w:hanging="178"/>
        <w:spacing w:after="0" w:line="286" w:lineRule="auto"/>
        <w:tabs>
          <w:tab w:leader="none" w:pos="1060" w:val="left"/>
        </w:tabs>
        <w:numPr>
          <w:ilvl w:val="0"/>
          <w:numId w:val="48"/>
        </w:numPr>
        <w:rPr>
          <w:rFonts w:ascii="Arial" w:cs="Arial" w:eastAsia="Arial" w:hAnsi="Arial"/>
          <w:sz w:val="9"/>
          <w:szCs w:val="9"/>
          <w:color w:val="auto"/>
        </w:rPr>
      </w:pPr>
      <w:r>
        <w:rPr>
          <w:rFonts w:ascii="Arial" w:cs="Arial" w:eastAsia="Arial" w:hAnsi="Arial"/>
          <w:sz w:val="16"/>
          <w:szCs w:val="16"/>
          <w:color w:val="auto"/>
        </w:rPr>
        <w:t>an acquisition of 50% or more of the combined voting power of our outstanding voting securities other than by virtue of a merger, consolidation, or similar transaction; or</w:t>
      </w:r>
    </w:p>
    <w:p>
      <w:pPr>
        <w:spacing w:after="0" w:line="61" w:lineRule="exact"/>
        <w:rPr>
          <w:rFonts w:ascii="Arial" w:cs="Arial" w:eastAsia="Arial" w:hAnsi="Arial"/>
          <w:sz w:val="9"/>
          <w:szCs w:val="9"/>
          <w:color w:val="auto"/>
        </w:rPr>
      </w:pPr>
    </w:p>
    <w:p>
      <w:pPr>
        <w:ind w:left="1060" w:hanging="178"/>
        <w:spacing w:after="0"/>
        <w:tabs>
          <w:tab w:leader="none" w:pos="1060" w:val="left"/>
        </w:tabs>
        <w:numPr>
          <w:ilvl w:val="0"/>
          <w:numId w:val="48"/>
        </w:numPr>
        <w:rPr>
          <w:rFonts w:ascii="Arial" w:cs="Arial" w:eastAsia="Arial" w:hAnsi="Arial"/>
          <w:sz w:val="9"/>
          <w:szCs w:val="9"/>
          <w:color w:val="auto"/>
        </w:rPr>
      </w:pPr>
      <w:r>
        <w:rPr>
          <w:rFonts w:ascii="Arial" w:cs="Arial" w:eastAsia="Arial" w:hAnsi="Arial"/>
          <w:sz w:val="16"/>
          <w:szCs w:val="16"/>
          <w:color w:val="auto"/>
        </w:rPr>
        <w:t>a “corporate transaction”.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Inducement Plan generally defines a “corporate transaction” as the occurrence of any of the following events:</w:t>
      </w:r>
    </w:p>
    <w:p>
      <w:pPr>
        <w:spacing w:after="0" w:line="113" w:lineRule="exact"/>
        <w:rPr>
          <w:sz w:val="20"/>
          <w:szCs w:val="20"/>
          <w:color w:val="auto"/>
        </w:rPr>
      </w:pPr>
    </w:p>
    <w:p>
      <w:pPr>
        <w:ind w:left="1060" w:right="20" w:hanging="178"/>
        <w:spacing w:after="0" w:line="265" w:lineRule="auto"/>
        <w:tabs>
          <w:tab w:leader="none" w:pos="1060" w:val="left"/>
        </w:tabs>
        <w:numPr>
          <w:ilvl w:val="0"/>
          <w:numId w:val="49"/>
        </w:numPr>
        <w:rPr>
          <w:rFonts w:ascii="Arial" w:cs="Arial" w:eastAsia="Arial" w:hAnsi="Arial"/>
          <w:sz w:val="9"/>
          <w:szCs w:val="9"/>
          <w:color w:val="auto"/>
        </w:rPr>
      </w:pPr>
      <w:r>
        <w:rPr>
          <w:rFonts w:ascii="Arial" w:cs="Arial" w:eastAsia="Arial" w:hAnsi="Arial"/>
          <w:sz w:val="16"/>
          <w:szCs w:val="16"/>
          <w:color w:val="auto"/>
        </w:rPr>
        <w:t>a merger, consolidation or similar transaction directly or indirectly involving the Company and, immediately after the consummation of such transaction, the stockholders of the Company immediately prior to the transaction do not own, directly or indirectly, either outstanding voting securities representing more than 50% of the combined outstanding voting power of the surviving entity in such merger, consolidation or similar transaction, or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77" w:lineRule="exact"/>
        <w:rPr>
          <w:rFonts w:ascii="Arial" w:cs="Arial" w:eastAsia="Arial" w:hAnsi="Arial"/>
          <w:sz w:val="9"/>
          <w:szCs w:val="9"/>
          <w:color w:val="auto"/>
        </w:rPr>
      </w:pPr>
    </w:p>
    <w:p>
      <w:pPr>
        <w:ind w:left="1060" w:right="220" w:hanging="178"/>
        <w:spacing w:after="0" w:line="304" w:lineRule="auto"/>
        <w:tabs>
          <w:tab w:leader="none" w:pos="1060" w:val="left"/>
        </w:tabs>
        <w:numPr>
          <w:ilvl w:val="0"/>
          <w:numId w:val="49"/>
        </w:numPr>
        <w:rPr>
          <w:rFonts w:ascii="Arial" w:cs="Arial" w:eastAsia="Arial" w:hAnsi="Arial"/>
          <w:sz w:val="9"/>
          <w:szCs w:val="9"/>
          <w:color w:val="auto"/>
        </w:rPr>
      </w:pPr>
      <w:r>
        <w:rPr>
          <w:rFonts w:ascii="Arial" w:cs="Arial" w:eastAsia="Arial" w:hAnsi="Arial"/>
          <w:sz w:val="16"/>
          <w:szCs w:val="16"/>
          <w:color w:val="auto"/>
        </w:rPr>
        <w:t>a sale in one transaction or a series of transactions undertaken with a common purpose of more than 50% of the Company’s outstanding voting securities; or</w:t>
      </w:r>
    </w:p>
    <w:p>
      <w:pPr>
        <w:spacing w:after="0" w:line="33" w:lineRule="exact"/>
        <w:rPr>
          <w:rFonts w:ascii="Arial" w:cs="Arial" w:eastAsia="Arial" w:hAnsi="Arial"/>
          <w:sz w:val="9"/>
          <w:szCs w:val="9"/>
          <w:color w:val="auto"/>
        </w:rPr>
      </w:pPr>
    </w:p>
    <w:p>
      <w:pPr>
        <w:ind w:left="1060" w:right="80" w:hanging="178"/>
        <w:spacing w:after="0" w:line="269" w:lineRule="auto"/>
        <w:tabs>
          <w:tab w:leader="none" w:pos="1060" w:val="left"/>
        </w:tabs>
        <w:numPr>
          <w:ilvl w:val="0"/>
          <w:numId w:val="49"/>
        </w:numPr>
        <w:rPr>
          <w:rFonts w:ascii="Arial" w:cs="Arial" w:eastAsia="Arial" w:hAnsi="Arial"/>
          <w:sz w:val="9"/>
          <w:szCs w:val="9"/>
          <w:color w:val="auto"/>
        </w:rPr>
      </w:pPr>
      <w:r>
        <w:rPr>
          <w:rFonts w:ascii="Arial" w:cs="Arial" w:eastAsia="Arial" w:hAnsi="Arial"/>
          <w:sz w:val="16"/>
          <w:szCs w:val="16"/>
          <w:color w:val="auto"/>
        </w:rPr>
        <w:t>a sale or other disposition of all or substantially all of the consolidated assets of the Company and its subsidiaries, other than a sale or other disposition of all or substantially all of the consolidated assets of the Company and its subsidiaries to a person or entity, more than 50% of the combined voting power of the voting securities of which are owned by stockholders of the Company in substantially the same proportions as their ownership of the outstanding voting securities of the Company immediately prior to such sale or other disposition.</w:t>
      </w:r>
    </w:p>
    <w:p>
      <w:pPr>
        <w:spacing w:after="0" w:line="76"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If we dissolve or liquidate, unless the administrator determines otherwise, outstanding awards will terminate immediately prior to such dissolution or liquidation.</w:t>
      </w:r>
    </w:p>
    <w:p>
      <w:pPr>
        <w:spacing w:after="0" w:line="61" w:lineRule="exact"/>
        <w:rPr>
          <w:sz w:val="20"/>
          <w:szCs w:val="20"/>
          <w:color w:val="auto"/>
        </w:rPr>
      </w:pPr>
    </w:p>
    <w:p>
      <w:pPr>
        <w:ind w:left="660" w:right="20"/>
        <w:spacing w:after="0" w:line="262" w:lineRule="auto"/>
        <w:rPr>
          <w:sz w:val="20"/>
          <w:szCs w:val="20"/>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Our compensation committee is permitted to amend the Inducement Plan or any outstanding award</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under the Inducement Plan, provided that such amendment would not require approval of our stockholders pursuant to the Listing Rule. Amendment of an outstanding award generally may not materially adversely affect a participant’s rights under the award without the participant’s written consent, subject to certain limited exceptions set forth in the Inducement Plan. In addition, the compensation committee has broad authority to amend the Inducement Plan or any outstanding award without the consent of a participant, but subject to compliance with the Listing Rule, to the extent the compensation committee deems necessary or advisable to (a) comply with, or take into account, changes in applicable tax laws, securities laws, accounting rules and other applicable law, rules and regulations, (b) ensure that an award is not subject to certain additional taxes, interest or penalties or (c) correct clerical or typographical errors.</w:t>
      </w:r>
    </w:p>
    <w:p>
      <w:pPr>
        <w:spacing w:after="0" w:line="82" w:lineRule="exact"/>
        <w:rPr>
          <w:sz w:val="20"/>
          <w:szCs w:val="20"/>
          <w:color w:val="auto"/>
        </w:rPr>
      </w:pPr>
    </w:p>
    <w:p>
      <w:pPr>
        <w:ind w:left="660" w:right="60"/>
        <w:spacing w:after="0" w:line="275" w:lineRule="auto"/>
        <w:rPr>
          <w:sz w:val="20"/>
          <w:szCs w:val="20"/>
          <w:color w:val="auto"/>
        </w:rPr>
      </w:pPr>
      <w:r>
        <w:rPr>
          <w:rFonts w:ascii="Arial" w:cs="Arial" w:eastAsia="Arial" w:hAnsi="Arial"/>
          <w:sz w:val="16"/>
          <w:szCs w:val="16"/>
          <w:color w:val="auto"/>
        </w:rPr>
        <w:t>Our Board or the compensation committee may suspend or terminate all or any portion of the Inducement Plan at any time, but in such event, outstanding awards will remain outstanding in accordance with their existing terms and conditions. The Inducement Plan has no fixed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2402205</wp:posOffset>
            </wp:positionV>
            <wp:extent cx="334010" cy="162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62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6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3217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75565</wp:posOffset>
            </wp:positionV>
            <wp:extent cx="5966460" cy="9683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6460" cy="968375"/>
                    </a:xfrm>
                    <a:prstGeom prst="rect">
                      <a:avLst/>
                    </a:prstGeom>
                    <a:noFill/>
                  </pic:spPr>
                </pic:pic>
              </a:graphicData>
            </a:graphic>
          </wp:anchor>
        </w:drawing>
      </w:r>
    </w:p>
    <w:p>
      <w:pPr>
        <w:spacing w:after="0" w:line="219" w:lineRule="exact"/>
        <w:rPr>
          <w:sz w:val="20"/>
          <w:szCs w:val="20"/>
          <w:color w:val="auto"/>
        </w:rPr>
      </w:pPr>
    </w:p>
    <w:p>
      <w:pPr>
        <w:ind w:left="780" w:right="860"/>
        <w:spacing w:after="0" w:line="247" w:lineRule="auto"/>
        <w:rPr>
          <w:sz w:val="20"/>
          <w:szCs w:val="20"/>
          <w:color w:val="auto"/>
        </w:rPr>
      </w:pPr>
      <w:r>
        <w:rPr>
          <w:rFonts w:ascii="Arial" w:cs="Arial" w:eastAsia="Arial" w:hAnsi="Arial"/>
          <w:sz w:val="22"/>
          <w:szCs w:val="22"/>
          <w:b w:val="1"/>
          <w:bCs w:val="1"/>
          <w:color w:val="FFFFFF"/>
        </w:rPr>
        <w:t>The Board of Directors unanimously recommends that you vote “FOR” the approval of a proposal to adjourn the Annual Meeting to a later date or dates, if necessary or appropriate, to permit further solicitation and vote of proxies in the event that there are insufficient votes for, or otherwise in connection with, one or more of the other items to be voted on at the Annual Meeting.</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jc w:val="both"/>
        <w:ind w:left="660" w:right="120"/>
        <w:spacing w:after="0" w:line="271" w:lineRule="auto"/>
        <w:rPr>
          <w:sz w:val="20"/>
          <w:szCs w:val="20"/>
          <w:color w:val="auto"/>
        </w:rPr>
      </w:pPr>
      <w:r>
        <w:rPr>
          <w:rFonts w:ascii="Arial" w:cs="Arial" w:eastAsia="Arial" w:hAnsi="Arial"/>
          <w:sz w:val="16"/>
          <w:szCs w:val="16"/>
          <w:color w:val="auto"/>
        </w:rPr>
        <w:t>In the Adjournment Proposal, we are asking stockholders to authorize the holder of any proxy solicited by the Board to vote in favor of adjourning the Annual Meeting or any adjournment or postponement thereof. If our stockholders approve this Proposal No. 6, we could adjourn the Annual Meeting, and any adjourned session of the Annual Meeting, to use the additional time to solicit additional proxies in favor of the other proposals contained in this Proxy Statement.</w:t>
      </w:r>
    </w:p>
    <w:p>
      <w:pPr>
        <w:spacing w:after="0" w:line="73" w:lineRule="exact"/>
        <w:rPr>
          <w:sz w:val="20"/>
          <w:szCs w:val="20"/>
          <w:color w:val="auto"/>
        </w:rPr>
      </w:pPr>
    </w:p>
    <w:p>
      <w:pPr>
        <w:ind w:left="660"/>
        <w:spacing w:after="0" w:line="264" w:lineRule="auto"/>
        <w:rPr>
          <w:sz w:val="20"/>
          <w:szCs w:val="20"/>
          <w:color w:val="auto"/>
        </w:rPr>
      </w:pPr>
      <w:r>
        <w:rPr>
          <w:rFonts w:ascii="Arial" w:cs="Arial" w:eastAsia="Arial" w:hAnsi="Arial"/>
          <w:sz w:val="16"/>
          <w:szCs w:val="16"/>
          <w:color w:val="auto"/>
        </w:rPr>
        <w:t>The Board of Directors believes that, if the number of voting shares voting in favor of any of the proposals presented at the Annual Meeting is insufficient to approve a proposal, it is in the best interests of our stockholders to enable the Board of Directors, for a limited period of time, to continue to seek to obtain a sufficient number of additional votes in favor of the proposal. Any signed proxies received by us in which no voting instructions are provided on such matter will be voted in favor of an adjournment in these circumstances. The time and place of the adjourned meeting will be announced at the time the adjournment is taken. Any adjournment of the Annual Meeting for the purpose of soliciting additional proxies will allow our stockholders who have already sent in their proxies to revoke them at any time prior to their use at the Meeting as adjourned.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 and Board of Directors Recommendation</w:t>
      </w:r>
    </w:p>
    <w:p>
      <w:pPr>
        <w:spacing w:after="0" w:line="112" w:lineRule="exact"/>
        <w:rPr>
          <w:sz w:val="20"/>
          <w:szCs w:val="20"/>
          <w:color w:val="auto"/>
        </w:rPr>
      </w:pPr>
    </w:p>
    <w:p>
      <w:pPr>
        <w:jc w:val="both"/>
        <w:ind w:left="660" w:right="540"/>
        <w:spacing w:after="0" w:line="340" w:lineRule="auto"/>
        <w:rPr>
          <w:sz w:val="20"/>
          <w:szCs w:val="20"/>
          <w:color w:val="auto"/>
        </w:rPr>
      </w:pPr>
      <w:r>
        <w:rPr>
          <w:rFonts w:ascii="Arial" w:cs="Arial" w:eastAsia="Arial" w:hAnsi="Arial"/>
          <w:sz w:val="15"/>
          <w:szCs w:val="15"/>
          <w:color w:val="auto"/>
        </w:rPr>
        <w:t>Approval of Proposal No. 6 requires the affirmative vote of a majority of the votes properly cast on the proposal at the Annual Meeting, where a quorum is present. Abstentions and broker non-votes, if any, will have no effect on the outcome of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3487420</wp:posOffset>
            </wp:positionV>
            <wp:extent cx="334010" cy="162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63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7886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321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Related Party Transaction Policy</w:t>
      </w:r>
    </w:p>
    <w:p>
      <w:pPr>
        <w:spacing w:after="0" w:line="126" w:lineRule="exact"/>
        <w:rPr>
          <w:sz w:val="20"/>
          <w:szCs w:val="20"/>
          <w:color w:val="auto"/>
        </w:rPr>
      </w:pPr>
    </w:p>
    <w:p>
      <w:pPr>
        <w:ind w:left="660" w:right="20"/>
        <w:spacing w:after="0" w:line="264" w:lineRule="auto"/>
        <w:rPr>
          <w:sz w:val="20"/>
          <w:szCs w:val="20"/>
          <w:color w:val="auto"/>
        </w:rPr>
      </w:pPr>
      <w:r>
        <w:rPr>
          <w:rFonts w:ascii="Arial" w:cs="Arial" w:eastAsia="Arial" w:hAnsi="Arial"/>
          <w:sz w:val="16"/>
          <w:szCs w:val="16"/>
          <w:color w:val="auto"/>
        </w:rPr>
        <w:t>We have a written Related Party Transactions Policy. Pursuant to this policy, related party transactions include any transaction, arrangement or relationship, or series of such transactions, including any indebtedness or guarantees, in which the amount involved exceeds $120,000 and in which any of our directors, executive officers, holders of more than 5% of any class of our voting securities, or any member of the immediate family of any of the foregoing persons, had or will have a direct or indirect material interest. In the event that a related party transaction is identified, such transaction must be reported to our Corporate Secretary and subsequently must be reviewed and approved or ratified by the chairman of our audit committee or our full audit committee, depending on the amount of the transaction. Any member of the audit committee who is one of the parties in the related party transaction and who has a direct material interest in the transaction may not participate in the approval of the transaction.</w:t>
      </w:r>
    </w:p>
    <w:p>
      <w:pPr>
        <w:spacing w:after="0" w:line="68" w:lineRule="exact"/>
        <w:rPr>
          <w:sz w:val="20"/>
          <w:szCs w:val="20"/>
          <w:color w:val="auto"/>
        </w:rPr>
      </w:pPr>
    </w:p>
    <w:p>
      <w:pPr>
        <w:ind w:left="660" w:right="300"/>
        <w:spacing w:after="0" w:line="340" w:lineRule="auto"/>
        <w:rPr>
          <w:sz w:val="20"/>
          <w:szCs w:val="20"/>
          <w:color w:val="auto"/>
        </w:rPr>
      </w:pPr>
      <w:r>
        <w:rPr>
          <w:rFonts w:ascii="Arial" w:cs="Arial" w:eastAsia="Arial" w:hAnsi="Arial"/>
          <w:sz w:val="15"/>
          <w:szCs w:val="15"/>
          <w:color w:val="auto"/>
        </w:rPr>
        <w:t>We have adopted changes to our policies and procedures to identify and report employees who, pursuant to Item 404 of Regulation S-K under the Exchange Act, are related to a related party and received annual compensation in excess of $120,000.</w:t>
      </w:r>
    </w:p>
    <w:p>
      <w:pPr>
        <w:spacing w:after="0" w:line="24" w:lineRule="exact"/>
        <w:rPr>
          <w:sz w:val="20"/>
          <w:szCs w:val="20"/>
          <w:color w:val="auto"/>
        </w:rPr>
      </w:pPr>
    </w:p>
    <w:p>
      <w:pPr>
        <w:ind w:left="660" w:right="240"/>
        <w:spacing w:after="0" w:line="265" w:lineRule="auto"/>
        <w:rPr>
          <w:sz w:val="20"/>
          <w:szCs w:val="20"/>
          <w:color w:val="auto"/>
        </w:rPr>
      </w:pPr>
      <w:r>
        <w:rPr>
          <w:rFonts w:ascii="Arial" w:cs="Arial" w:eastAsia="Arial" w:hAnsi="Arial"/>
          <w:sz w:val="16"/>
          <w:szCs w:val="16"/>
          <w:color w:val="auto"/>
        </w:rPr>
        <w:t>The following list includes all such transactions or series of similar transactions since the beginning of fiscal 2025, or any currently proposed transaction, to which we were or are a party in which the amount involved exceeded or exceeds $120,000 and in which any of our directors, executive officers, holders of more than 5% of any class of our voting securities, or any member of the immediate family of any of the foregoing persons, had or will have a direct or indirect material interest. The following list of related person transactions were all subject to our Related Party Transactions Policy.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Related Person Transactions</w:t>
      </w:r>
    </w:p>
    <w:p>
      <w:pPr>
        <w:spacing w:after="0" w:line="112" w:lineRule="exact"/>
        <w:rPr>
          <w:sz w:val="20"/>
          <w:szCs w:val="20"/>
          <w:color w:val="auto"/>
        </w:rPr>
      </w:pPr>
    </w:p>
    <w:p>
      <w:pPr>
        <w:ind w:left="660"/>
        <w:spacing w:after="0" w:line="271" w:lineRule="auto"/>
        <w:rPr>
          <w:sz w:val="20"/>
          <w:szCs w:val="20"/>
          <w:color w:val="auto"/>
        </w:rPr>
      </w:pPr>
      <w:r>
        <w:rPr>
          <w:rFonts w:ascii="Arial" w:cs="Arial" w:eastAsia="Arial" w:hAnsi="Arial"/>
          <w:sz w:val="16"/>
          <w:szCs w:val="16"/>
          <w:color w:val="auto"/>
        </w:rPr>
        <w:t>Min-Hsien (Matthew) Chen, the brother of Dr. Min-Chu (Mike) Chen, our non-employee director, has been employed by the Company since June 2012 and currently serves as Senior Section Manager of the OMD Production Line department. Mr. M. Chen is not an executive officer of the Company. Pursuant to his role as Senior Section Manager, Mr. M. Chen received compensation in an aggregate amount of $121,528 during the fiscal year ended December 31, 2025.</w:t>
      </w:r>
    </w:p>
    <w:p>
      <w:pPr>
        <w:spacing w:after="0" w:line="73" w:lineRule="exact"/>
        <w:rPr>
          <w:sz w:val="20"/>
          <w:szCs w:val="20"/>
          <w:color w:val="auto"/>
        </w:rPr>
      </w:pPr>
    </w:p>
    <w:p>
      <w:pPr>
        <w:jc w:val="both"/>
        <w:ind w:left="660" w:right="20"/>
        <w:spacing w:after="0" w:line="295" w:lineRule="auto"/>
        <w:rPr>
          <w:sz w:val="20"/>
          <w:szCs w:val="20"/>
          <w:color w:val="auto"/>
        </w:rPr>
      </w:pPr>
      <w:r>
        <w:rPr>
          <w:rFonts w:ascii="Arial" w:cs="Arial" w:eastAsia="Arial" w:hAnsi="Arial"/>
          <w:sz w:val="15"/>
          <w:szCs w:val="15"/>
          <w:color w:val="auto"/>
        </w:rPr>
        <w:t>Willis Chen, the son of Dr. Min-Chu (Mike) Chen, our non-employee director, has been employed by the Company since March 2004 and currently serves as Director — Strategy, Planning and Operations of the Broadband Access — Sales and Marketing department. Mr. W. Chen is not an executive officer of the Company. Pursuant to his role as Director — Strategy, Planning and Operations, Mr. W. Chen received compensation in an aggregate amount of $258,430 during the fiscal year ended December 31, 2025.</w:t>
      </w:r>
    </w:p>
    <w:p>
      <w:pPr>
        <w:spacing w:after="0" w:line="56" w:lineRule="exact"/>
        <w:rPr>
          <w:sz w:val="20"/>
          <w:szCs w:val="20"/>
          <w:color w:val="auto"/>
        </w:rPr>
      </w:pPr>
    </w:p>
    <w:p>
      <w:pPr>
        <w:ind w:left="660"/>
        <w:spacing w:after="0" w:line="295" w:lineRule="auto"/>
        <w:rPr>
          <w:sz w:val="20"/>
          <w:szCs w:val="20"/>
          <w:color w:val="auto"/>
        </w:rPr>
      </w:pPr>
      <w:r>
        <w:rPr>
          <w:rFonts w:ascii="Arial" w:cs="Arial" w:eastAsia="Arial" w:hAnsi="Arial"/>
          <w:sz w:val="15"/>
          <w:szCs w:val="15"/>
          <w:color w:val="auto"/>
        </w:rPr>
        <w:t>Eric Lin, the brother of Dr. Chih-Hsiang (Thompson) Lin, our President, Chief Executive Officer, and Chairman of the Board of Directors, has been employed by the Company since June 2018 and currently serves as Director of the Manufacturing Division department. Mr. E. Lin is not an executive officer of the Company. Pursuant to his role as Director of the Manufacturing Division department, Mr. E. Lin received compensation in an aggregate amount of $146,852 during the fiscal year ended December 31, 2025.</w:t>
      </w:r>
    </w:p>
    <w:p>
      <w:pPr>
        <w:spacing w:after="0" w:line="43" w:lineRule="exact"/>
        <w:rPr>
          <w:sz w:val="20"/>
          <w:szCs w:val="20"/>
          <w:color w:val="auto"/>
        </w:rPr>
      </w:pPr>
    </w:p>
    <w:p>
      <w:pPr>
        <w:ind w:left="660"/>
        <w:spacing w:after="0" w:line="268" w:lineRule="auto"/>
        <w:rPr>
          <w:sz w:val="20"/>
          <w:szCs w:val="20"/>
          <w:color w:val="auto"/>
        </w:rPr>
      </w:pPr>
      <w:r>
        <w:rPr>
          <w:rFonts w:ascii="Arial" w:cs="Arial" w:eastAsia="Arial" w:hAnsi="Arial"/>
          <w:sz w:val="16"/>
          <w:szCs w:val="16"/>
          <w:color w:val="auto"/>
        </w:rPr>
        <w:t>Mr. W. Chen and Mr. E. Lin also received compensation in excess of $120,000 in prior years, including during the fiscal years ended December 31, 2023 and 2024, when Mr. W. Chen received an aggregate amount of $237,676 and $227,123, respectively, and Mr. E. Lin received an aggregate amount of $171,469 and $150,542, respectively. Additionally, Mr. W. Chen received compensation in excess of $120,000 in each of the fiscal years ended December 31, 2018 to 2022 and Mr. E. Lin received compensation in excess of $120,000 in the fiscal years ended December 31, 2020 and 2021. These annual compensation amounts ranged from an aggregate of $155,672 to $234,162 for Mr. W. Chen and an aggregate of $127,512 to $135,919 for Mr. 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1892300</wp:posOffset>
            </wp:positionV>
            <wp:extent cx="334010" cy="162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64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7886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321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right="220"/>
        <w:spacing w:after="0" w:line="286" w:lineRule="auto"/>
        <w:rPr>
          <w:sz w:val="20"/>
          <w:szCs w:val="20"/>
          <w:color w:val="auto"/>
        </w:rPr>
      </w:pPr>
      <w:r>
        <w:rPr>
          <w:rFonts w:ascii="Arial" w:cs="Arial" w:eastAsia="Arial" w:hAnsi="Arial"/>
          <w:sz w:val="16"/>
          <w:szCs w:val="16"/>
          <w:color w:val="auto"/>
        </w:rPr>
        <w:t>The following table and footnotes set forth information with respect to the beneficial ownership of our common stock as of April 10, 2026 by:</w:t>
      </w:r>
    </w:p>
    <w:p>
      <w:pPr>
        <w:spacing w:after="0" w:line="48" w:lineRule="exact"/>
        <w:rPr>
          <w:sz w:val="20"/>
          <w:szCs w:val="20"/>
          <w:color w:val="auto"/>
        </w:rPr>
      </w:pPr>
    </w:p>
    <w:p>
      <w:pPr>
        <w:ind w:left="1060" w:right="20" w:hanging="178"/>
        <w:spacing w:after="0" w:line="304" w:lineRule="auto"/>
        <w:tabs>
          <w:tab w:leader="none" w:pos="1060" w:val="left"/>
        </w:tabs>
        <w:numPr>
          <w:ilvl w:val="0"/>
          <w:numId w:val="50"/>
        </w:numPr>
        <w:rPr>
          <w:rFonts w:ascii="Arial" w:cs="Arial" w:eastAsia="Arial" w:hAnsi="Arial"/>
          <w:sz w:val="9"/>
          <w:szCs w:val="9"/>
          <w:color w:val="auto"/>
        </w:rPr>
      </w:pPr>
      <w:r>
        <w:rPr>
          <w:rFonts w:ascii="Arial" w:cs="Arial" w:eastAsia="Arial" w:hAnsi="Arial"/>
          <w:sz w:val="16"/>
          <w:szCs w:val="16"/>
          <w:color w:val="auto"/>
        </w:rPr>
        <w:t>each stockholder, or group of affiliated stockholders, who we know beneficially owns more than 5% of the outstanding shares of our common stock;</w:t>
      </w:r>
    </w:p>
    <w:p>
      <w:pPr>
        <w:spacing w:after="0" w:line="33" w:lineRule="exact"/>
        <w:rPr>
          <w:rFonts w:ascii="Arial" w:cs="Arial" w:eastAsia="Arial" w:hAnsi="Arial"/>
          <w:sz w:val="9"/>
          <w:szCs w:val="9"/>
          <w:color w:val="auto"/>
        </w:rPr>
      </w:pPr>
    </w:p>
    <w:p>
      <w:pPr>
        <w:ind w:left="1060" w:hanging="178"/>
        <w:spacing w:after="0"/>
        <w:tabs>
          <w:tab w:leader="none" w:pos="1060" w:val="left"/>
        </w:tabs>
        <w:numPr>
          <w:ilvl w:val="0"/>
          <w:numId w:val="50"/>
        </w:numPr>
        <w:rPr>
          <w:rFonts w:ascii="Arial" w:cs="Arial" w:eastAsia="Arial" w:hAnsi="Arial"/>
          <w:sz w:val="9"/>
          <w:szCs w:val="9"/>
          <w:color w:val="auto"/>
        </w:rPr>
      </w:pPr>
      <w:r>
        <w:rPr>
          <w:rFonts w:ascii="Arial" w:cs="Arial" w:eastAsia="Arial" w:hAnsi="Arial"/>
          <w:sz w:val="16"/>
          <w:szCs w:val="16"/>
          <w:color w:val="auto"/>
        </w:rPr>
        <w:t>each of our named executive officers;</w:t>
      </w:r>
    </w:p>
    <w:p>
      <w:pPr>
        <w:spacing w:after="0" w:line="140" w:lineRule="exact"/>
        <w:rPr>
          <w:rFonts w:ascii="Arial" w:cs="Arial" w:eastAsia="Arial" w:hAnsi="Arial"/>
          <w:sz w:val="9"/>
          <w:szCs w:val="9"/>
          <w:color w:val="auto"/>
        </w:rPr>
      </w:pPr>
    </w:p>
    <w:p>
      <w:pPr>
        <w:ind w:left="1060" w:hanging="178"/>
        <w:spacing w:after="0"/>
        <w:tabs>
          <w:tab w:leader="none" w:pos="1060" w:val="left"/>
        </w:tabs>
        <w:numPr>
          <w:ilvl w:val="0"/>
          <w:numId w:val="50"/>
        </w:numPr>
        <w:rPr>
          <w:rFonts w:ascii="Arial" w:cs="Arial" w:eastAsia="Arial" w:hAnsi="Arial"/>
          <w:sz w:val="9"/>
          <w:szCs w:val="9"/>
          <w:color w:val="auto"/>
        </w:rPr>
      </w:pPr>
      <w:r>
        <w:rPr>
          <w:rFonts w:ascii="Arial" w:cs="Arial" w:eastAsia="Arial" w:hAnsi="Arial"/>
          <w:sz w:val="16"/>
          <w:szCs w:val="16"/>
          <w:color w:val="auto"/>
        </w:rPr>
        <w:t>each of our current directors and nominees; and</w:t>
      </w:r>
    </w:p>
    <w:p>
      <w:pPr>
        <w:spacing w:after="0" w:line="153" w:lineRule="exact"/>
        <w:rPr>
          <w:rFonts w:ascii="Arial" w:cs="Arial" w:eastAsia="Arial" w:hAnsi="Arial"/>
          <w:sz w:val="9"/>
          <w:szCs w:val="9"/>
          <w:color w:val="auto"/>
        </w:rPr>
      </w:pPr>
    </w:p>
    <w:p>
      <w:pPr>
        <w:ind w:left="1060" w:hanging="178"/>
        <w:spacing w:after="0"/>
        <w:tabs>
          <w:tab w:leader="none" w:pos="1060" w:val="left"/>
        </w:tabs>
        <w:numPr>
          <w:ilvl w:val="0"/>
          <w:numId w:val="50"/>
        </w:numPr>
        <w:rPr>
          <w:rFonts w:ascii="Arial" w:cs="Arial" w:eastAsia="Arial" w:hAnsi="Arial"/>
          <w:sz w:val="9"/>
          <w:szCs w:val="9"/>
          <w:color w:val="auto"/>
        </w:rPr>
      </w:pPr>
      <w:r>
        <w:rPr>
          <w:rFonts w:ascii="Arial" w:cs="Arial" w:eastAsia="Arial" w:hAnsi="Arial"/>
          <w:sz w:val="16"/>
          <w:szCs w:val="16"/>
          <w:color w:val="auto"/>
        </w:rPr>
        <w:t>all of our current directors and current executive officers as a group.</w:t>
      </w:r>
    </w:p>
    <w:p>
      <w:pPr>
        <w:spacing w:after="0" w:line="140" w:lineRule="exact"/>
        <w:rPr>
          <w:sz w:val="20"/>
          <w:szCs w:val="20"/>
          <w:color w:val="auto"/>
        </w:rPr>
      </w:pPr>
    </w:p>
    <w:p>
      <w:pPr>
        <w:ind w:left="660" w:right="120"/>
        <w:spacing w:after="0" w:line="254" w:lineRule="auto"/>
        <w:rPr>
          <w:sz w:val="20"/>
          <w:szCs w:val="20"/>
          <w:color w:val="auto"/>
        </w:rPr>
      </w:pPr>
      <w:r>
        <w:rPr>
          <w:rFonts w:ascii="Arial" w:cs="Arial" w:eastAsia="Arial" w:hAnsi="Arial"/>
          <w:sz w:val="16"/>
          <w:szCs w:val="16"/>
          <w:color w:val="auto"/>
        </w:rPr>
        <w:t>Beneficial ownership of shares is determined under the rules of the SEC and generally includes any shares over which a person exercises sole or shared voting or investment power. Except as indicated by footnote, and subject to applicable community property laws, we believe each person identified in the table possesses sole voting and investment power with respect to all shares of common stock beneficially owned by them. There are no material legal proceedings to which any stockholder who beneficially owns more than 5% of the outstanding shares of our common stock is a party adverse to the Company or any of its subsidiaries or has a material interest adverse to the Company or any of its subsidiaries.</w:t>
      </w:r>
    </w:p>
    <w:p>
      <w:pPr>
        <w:spacing w:after="0" w:line="74" w:lineRule="exact"/>
        <w:rPr>
          <w:sz w:val="20"/>
          <w:szCs w:val="20"/>
          <w:color w:val="auto"/>
        </w:rPr>
      </w:pPr>
    </w:p>
    <w:p>
      <w:pPr>
        <w:ind w:left="660" w:right="180"/>
        <w:spacing w:after="0" w:line="256" w:lineRule="auto"/>
        <w:rPr>
          <w:sz w:val="20"/>
          <w:szCs w:val="20"/>
          <w:color w:val="auto"/>
        </w:rPr>
      </w:pPr>
      <w:r>
        <w:rPr>
          <w:rFonts w:ascii="Arial" w:cs="Arial" w:eastAsia="Arial" w:hAnsi="Arial"/>
          <w:sz w:val="16"/>
          <w:szCs w:val="16"/>
          <w:color w:val="auto"/>
        </w:rPr>
        <w:t>Applicable percentage ownership in the following table is based on 80,047,663 shares of common stock outstanding as of April 10, 2026. Restricted stock units, or RSUs, which vest or will vest within 60 days of April 10, 2026, are deemed to be outstanding for calculating the number and percentage of outstanding shares of the person holding such RSUs, but are not deemed to be outstanding for calculating the percentage ownership of any other person. Beneficial ownership or voting power representing less than 1% is denoted with an asterisk (*).</w:t>
      </w:r>
    </w:p>
    <w:p>
      <w:pPr>
        <w:spacing w:after="0" w:line="72"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Unless otherwise noted below, the address of each person listed on the table is c/o Applied Optoelectronics, Inc., 13139 Jess Pirtle Blvd, Sugar Land, Texas 77478.</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242"/>
        </w:trPr>
        <w:tc>
          <w:tcPr>
            <w:tcW w:w="5420" w:type="dxa"/>
            <w:vAlign w:val="bottom"/>
            <w:shd w:val="clear" w:color="auto" w:fill="4834BA"/>
          </w:tcPr>
          <w:p>
            <w:pPr>
              <w:spacing w:after="0"/>
              <w:rPr>
                <w:sz w:val="21"/>
                <w:szCs w:val="21"/>
                <w:color w:val="auto"/>
              </w:rPr>
            </w:pPr>
          </w:p>
        </w:tc>
        <w:tc>
          <w:tcPr>
            <w:tcW w:w="2580" w:type="dxa"/>
            <w:vAlign w:val="bottom"/>
            <w:shd w:val="clear" w:color="auto" w:fill="4834BA"/>
          </w:tcPr>
          <w:p>
            <w:pPr>
              <w:spacing w:after="0"/>
              <w:rPr>
                <w:sz w:val="21"/>
                <w:szCs w:val="21"/>
                <w:color w:val="auto"/>
              </w:rPr>
            </w:pPr>
          </w:p>
        </w:tc>
        <w:tc>
          <w:tcPr>
            <w:tcW w:w="140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Percentage of</w:t>
            </w:r>
          </w:p>
        </w:tc>
        <w:tc>
          <w:tcPr>
            <w:tcW w:w="0" w:type="dxa"/>
            <w:vAlign w:val="bottom"/>
          </w:tcPr>
          <w:p>
            <w:pPr>
              <w:spacing w:after="0"/>
              <w:rPr>
                <w:sz w:val="1"/>
                <w:szCs w:val="1"/>
                <w:color w:val="auto"/>
              </w:rPr>
            </w:pPr>
          </w:p>
        </w:tc>
      </w:tr>
      <w:tr>
        <w:trPr>
          <w:trHeight w:val="175"/>
        </w:trPr>
        <w:tc>
          <w:tcPr>
            <w:tcW w:w="5420" w:type="dxa"/>
            <w:vAlign w:val="bottom"/>
            <w:shd w:val="clear" w:color="auto" w:fill="4834BA"/>
          </w:tcPr>
          <w:p>
            <w:pPr>
              <w:spacing w:after="0"/>
              <w:rPr>
                <w:sz w:val="15"/>
                <w:szCs w:val="15"/>
                <w:color w:val="auto"/>
              </w:rPr>
            </w:pPr>
          </w:p>
        </w:tc>
        <w:tc>
          <w:tcPr>
            <w:tcW w:w="2580" w:type="dxa"/>
            <w:vAlign w:val="bottom"/>
            <w:shd w:val="clear" w:color="auto" w:fill="4834BA"/>
          </w:tcPr>
          <w:p>
            <w:pPr>
              <w:jc w:val="center"/>
              <w:ind w:left="739"/>
              <w:spacing w:after="0" w:line="175" w:lineRule="exact"/>
              <w:rPr>
                <w:sz w:val="20"/>
                <w:szCs w:val="20"/>
                <w:color w:val="auto"/>
              </w:rPr>
            </w:pPr>
            <w:r>
              <w:rPr>
                <w:rFonts w:ascii="Arial" w:cs="Arial" w:eastAsia="Arial" w:hAnsi="Arial"/>
                <w:sz w:val="16"/>
                <w:szCs w:val="16"/>
                <w:b w:val="1"/>
                <w:bCs w:val="1"/>
                <w:color w:val="FFFFFF"/>
                <w:w w:val="95"/>
              </w:rPr>
              <w:t>Number of Shares</w:t>
            </w:r>
          </w:p>
        </w:tc>
        <w:tc>
          <w:tcPr>
            <w:tcW w:w="1400" w:type="dxa"/>
            <w:vAlign w:val="bottom"/>
            <w:shd w:val="clear" w:color="auto" w:fill="4834BA"/>
          </w:tcPr>
          <w:p>
            <w:pPr>
              <w:jc w:val="right"/>
              <w:ind w:right="19"/>
              <w:spacing w:after="0" w:line="175" w:lineRule="exact"/>
              <w:rPr>
                <w:sz w:val="20"/>
                <w:szCs w:val="20"/>
                <w:color w:val="auto"/>
              </w:rPr>
            </w:pPr>
            <w:r>
              <w:rPr>
                <w:rFonts w:ascii="Arial" w:cs="Arial" w:eastAsia="Arial" w:hAnsi="Arial"/>
                <w:sz w:val="16"/>
                <w:szCs w:val="16"/>
                <w:b w:val="1"/>
                <w:bCs w:val="1"/>
                <w:color w:val="FFFFFF"/>
              </w:rPr>
              <w:t>Common Stock</w:t>
            </w:r>
          </w:p>
        </w:tc>
        <w:tc>
          <w:tcPr>
            <w:tcW w:w="0" w:type="dxa"/>
            <w:vAlign w:val="bottom"/>
          </w:tcPr>
          <w:p>
            <w:pPr>
              <w:spacing w:after="0"/>
              <w:rPr>
                <w:sz w:val="1"/>
                <w:szCs w:val="1"/>
                <w:color w:val="auto"/>
              </w:rPr>
            </w:pPr>
          </w:p>
        </w:tc>
      </w:tr>
      <w:tr>
        <w:trPr>
          <w:trHeight w:val="189"/>
        </w:trPr>
        <w:tc>
          <w:tcPr>
            <w:tcW w:w="5420" w:type="dxa"/>
            <w:vAlign w:val="bottom"/>
            <w:vMerge w:val="restart"/>
            <w:shd w:val="clear" w:color="auto" w:fill="4834BA"/>
          </w:tcPr>
          <w:p>
            <w:pPr>
              <w:ind w:left="80"/>
              <w:spacing w:after="0"/>
              <w:rPr>
                <w:sz w:val="20"/>
                <w:szCs w:val="20"/>
                <w:color w:val="auto"/>
              </w:rPr>
            </w:pPr>
            <w:r>
              <w:rPr>
                <w:rFonts w:ascii="Arial" w:cs="Arial" w:eastAsia="Arial" w:hAnsi="Arial"/>
                <w:sz w:val="16"/>
                <w:szCs w:val="16"/>
                <w:b w:val="1"/>
                <w:bCs w:val="1"/>
                <w:color w:val="FFFFFF"/>
              </w:rPr>
              <w:t>Names of Beneficial owner</w:t>
            </w:r>
          </w:p>
        </w:tc>
        <w:tc>
          <w:tcPr>
            <w:tcW w:w="2580" w:type="dxa"/>
            <w:vAlign w:val="bottom"/>
            <w:shd w:val="clear" w:color="auto" w:fill="4834BA"/>
          </w:tcPr>
          <w:p>
            <w:pPr>
              <w:jc w:val="center"/>
              <w:ind w:left="739"/>
              <w:spacing w:after="0"/>
              <w:rPr>
                <w:sz w:val="20"/>
                <w:szCs w:val="20"/>
                <w:color w:val="auto"/>
              </w:rPr>
            </w:pPr>
            <w:r>
              <w:rPr>
                <w:rFonts w:ascii="Arial" w:cs="Arial" w:eastAsia="Arial" w:hAnsi="Arial"/>
                <w:sz w:val="16"/>
                <w:szCs w:val="16"/>
                <w:b w:val="1"/>
                <w:bCs w:val="1"/>
                <w:color w:val="FFFFFF"/>
                <w:w w:val="96"/>
              </w:rPr>
              <w:t>of Common Stock</w:t>
            </w:r>
          </w:p>
        </w:tc>
        <w:tc>
          <w:tcPr>
            <w:tcW w:w="140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Beneficially</w:t>
            </w:r>
          </w:p>
        </w:tc>
        <w:tc>
          <w:tcPr>
            <w:tcW w:w="0" w:type="dxa"/>
            <w:vAlign w:val="bottom"/>
          </w:tcPr>
          <w:p>
            <w:pPr>
              <w:spacing w:after="0"/>
              <w:rPr>
                <w:sz w:val="1"/>
                <w:szCs w:val="1"/>
                <w:color w:val="auto"/>
              </w:rPr>
            </w:pPr>
          </w:p>
        </w:tc>
      </w:tr>
      <w:tr>
        <w:trPr>
          <w:trHeight w:val="230"/>
        </w:trPr>
        <w:tc>
          <w:tcPr>
            <w:tcW w:w="5420" w:type="dxa"/>
            <w:vAlign w:val="bottom"/>
            <w:vMerge w:val="continue"/>
            <w:shd w:val="clear" w:color="auto" w:fill="4834BA"/>
          </w:tcPr>
          <w:p>
            <w:pPr>
              <w:spacing w:after="0"/>
              <w:rPr>
                <w:sz w:val="20"/>
                <w:szCs w:val="20"/>
                <w:color w:val="auto"/>
              </w:rPr>
            </w:pPr>
          </w:p>
        </w:tc>
        <w:tc>
          <w:tcPr>
            <w:tcW w:w="2580" w:type="dxa"/>
            <w:vAlign w:val="bottom"/>
            <w:shd w:val="clear" w:color="auto" w:fill="4834BA"/>
          </w:tcPr>
          <w:p>
            <w:pPr>
              <w:jc w:val="center"/>
              <w:ind w:left="739"/>
              <w:spacing w:after="0"/>
              <w:rPr>
                <w:sz w:val="20"/>
                <w:szCs w:val="20"/>
                <w:color w:val="auto"/>
              </w:rPr>
            </w:pPr>
            <w:r>
              <w:rPr>
                <w:rFonts w:ascii="Arial" w:cs="Arial" w:eastAsia="Arial" w:hAnsi="Arial"/>
                <w:sz w:val="16"/>
                <w:szCs w:val="16"/>
                <w:b w:val="1"/>
                <w:bCs w:val="1"/>
                <w:color w:val="FFFFFF"/>
                <w:w w:val="95"/>
              </w:rPr>
              <w:t>Beneficially Owned</w:t>
            </w:r>
          </w:p>
        </w:tc>
        <w:tc>
          <w:tcPr>
            <w:tcW w:w="140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Owned</w:t>
            </w:r>
          </w:p>
        </w:tc>
        <w:tc>
          <w:tcPr>
            <w:tcW w:w="0" w:type="dxa"/>
            <w:vAlign w:val="bottom"/>
          </w:tcPr>
          <w:p>
            <w:pPr>
              <w:spacing w:after="0"/>
              <w:rPr>
                <w:sz w:val="1"/>
                <w:szCs w:val="1"/>
                <w:color w:val="auto"/>
              </w:rPr>
            </w:pPr>
          </w:p>
        </w:tc>
      </w:tr>
      <w:tr>
        <w:trPr>
          <w:trHeight w:val="235"/>
        </w:trPr>
        <w:tc>
          <w:tcPr>
            <w:tcW w:w="5420" w:type="dxa"/>
            <w:vAlign w:val="bottom"/>
          </w:tcPr>
          <w:p>
            <w:pPr>
              <w:ind w:left="80"/>
              <w:spacing w:after="0"/>
              <w:rPr>
                <w:sz w:val="20"/>
                <w:szCs w:val="20"/>
                <w:color w:val="auto"/>
              </w:rPr>
            </w:pPr>
            <w:r>
              <w:rPr>
                <w:rFonts w:ascii="Arial" w:cs="Arial" w:eastAsia="Arial" w:hAnsi="Arial"/>
                <w:sz w:val="16"/>
                <w:szCs w:val="16"/>
                <w:b w:val="1"/>
                <w:bCs w:val="1"/>
                <w:color w:val="auto"/>
              </w:rPr>
              <w:t>5% or Greater Stockholders:</w:t>
            </w:r>
          </w:p>
        </w:tc>
        <w:tc>
          <w:tcPr>
            <w:tcW w:w="2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Jane Street Group, LLC</w:t>
            </w:r>
            <w:r>
              <w:rPr>
                <w:rFonts w:ascii="Arial" w:cs="Arial" w:eastAsia="Arial" w:hAnsi="Arial"/>
                <w:sz w:val="19"/>
                <w:szCs w:val="19"/>
                <w:color w:val="auto"/>
                <w:vertAlign w:val="superscript"/>
              </w:rPr>
              <w:t>(1)</w:t>
            </w:r>
          </w:p>
        </w:tc>
        <w:tc>
          <w:tcPr>
            <w:tcW w:w="258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6"/>
                <w:szCs w:val="16"/>
                <w:color w:val="auto"/>
              </w:rPr>
              <w:t>4,097,237</w:t>
            </w:r>
          </w:p>
        </w:tc>
        <w:tc>
          <w:tcPr>
            <w:tcW w:w="1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19"/>
                <w:szCs w:val="19"/>
                <w:color w:val="auto"/>
                <w:vertAlign w:val="superscript"/>
              </w:rPr>
              <w:t>(2)</w:t>
            </w:r>
          </w:p>
        </w:tc>
        <w:tc>
          <w:tcPr>
            <w:tcW w:w="2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4,072,660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9"/>
        </w:trPr>
        <w:tc>
          <w:tcPr>
            <w:tcW w:w="5420" w:type="dxa"/>
            <w:vAlign w:val="bottom"/>
            <w:vMerge w:val="restart"/>
            <w:shd w:val="clear" w:color="auto" w:fill="E5E5E5"/>
          </w:tcPr>
          <w:p>
            <w:pPr>
              <w:ind w:left="80"/>
              <w:spacing w:after="0"/>
              <w:rPr>
                <w:sz w:val="20"/>
                <w:szCs w:val="20"/>
                <w:color w:val="auto"/>
              </w:rPr>
            </w:pPr>
            <w:r>
              <w:rPr>
                <w:rFonts w:ascii="Arial" w:cs="Arial" w:eastAsia="Arial" w:hAnsi="Arial"/>
                <w:sz w:val="16"/>
                <w:szCs w:val="16"/>
                <w:b w:val="1"/>
                <w:bCs w:val="1"/>
                <w:color w:val="auto"/>
              </w:rPr>
              <w:t>Directors, Named Executive Officers and Director Nominee:</w:t>
            </w:r>
          </w:p>
        </w:tc>
        <w:tc>
          <w:tcPr>
            <w:tcW w:w="2580" w:type="dxa"/>
            <w:vAlign w:val="bottom"/>
            <w:shd w:val="clear" w:color="auto" w:fill="E5E5E5"/>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5420" w:type="dxa"/>
            <w:vAlign w:val="bottom"/>
            <w:tcBorders>
              <w:bottom w:val="single" w:sz="8" w:color="E5E5E5"/>
            </w:tcBorders>
            <w:vMerge w:val="continue"/>
            <w:shd w:val="clear" w:color="auto" w:fill="E5E5E5"/>
          </w:tcPr>
          <w:p>
            <w:pPr>
              <w:spacing w:after="0"/>
              <w:rPr>
                <w:sz w:val="7"/>
                <w:szCs w:val="7"/>
                <w:color w:val="auto"/>
              </w:rPr>
            </w:pPr>
          </w:p>
        </w:tc>
        <w:tc>
          <w:tcPr>
            <w:tcW w:w="2580" w:type="dxa"/>
            <w:vAlign w:val="bottom"/>
            <w:tcBorders>
              <w:bottom w:val="single" w:sz="8" w:color="E5E5E5"/>
            </w:tcBorders>
            <w:shd w:val="clear" w:color="auto" w:fill="E5E5E5"/>
          </w:tcPr>
          <w:p>
            <w:pPr>
              <w:spacing w:after="0"/>
              <w:rPr>
                <w:sz w:val="7"/>
                <w:szCs w:val="7"/>
                <w:color w:val="auto"/>
              </w:rPr>
            </w:pPr>
          </w:p>
        </w:tc>
        <w:tc>
          <w:tcPr>
            <w:tcW w:w="1400" w:type="dxa"/>
            <w:vAlign w:val="bottom"/>
            <w:tcBorders>
              <w:bottom w:val="single" w:sz="8" w:color="E5E5E5"/>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5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color w:val="auto"/>
              </w:rPr>
              <w:t>Chih-Hsiang (Thompson) Lin</w:t>
            </w:r>
            <w:r>
              <w:rPr>
                <w:rFonts w:ascii="Arial" w:cs="Arial" w:eastAsia="Arial" w:hAnsi="Arial"/>
                <w:sz w:val="19"/>
                <w:szCs w:val="19"/>
                <w:color w:val="auto"/>
                <w:vertAlign w:val="superscript"/>
              </w:rPr>
              <w:t>(3)</w:t>
            </w:r>
          </w:p>
        </w:tc>
        <w:tc>
          <w:tcPr>
            <w:tcW w:w="25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1,449,150</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Richard B. Black</w:t>
            </w:r>
            <w:r>
              <w:rPr>
                <w:rFonts w:ascii="Arial" w:cs="Arial" w:eastAsia="Arial" w:hAnsi="Arial"/>
                <w:sz w:val="19"/>
                <w:szCs w:val="19"/>
                <w:color w:val="auto"/>
                <w:vertAlign w:val="superscript"/>
              </w:rPr>
              <w:t>(4)</w:t>
            </w:r>
          </w:p>
        </w:tc>
        <w:tc>
          <w:tcPr>
            <w:tcW w:w="258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6"/>
                <w:szCs w:val="16"/>
                <w:color w:val="auto"/>
              </w:rPr>
              <w:t>161,292</w:t>
            </w:r>
          </w:p>
        </w:tc>
        <w:tc>
          <w:tcPr>
            <w:tcW w:w="1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Min-Chu (Mike) Chen</w:t>
            </w:r>
            <w:r>
              <w:rPr>
                <w:rFonts w:ascii="Arial" w:cs="Arial" w:eastAsia="Arial" w:hAnsi="Arial"/>
                <w:sz w:val="19"/>
                <w:szCs w:val="19"/>
                <w:color w:val="auto"/>
                <w:vertAlign w:val="superscript"/>
              </w:rPr>
              <w:t>(5)</w:t>
            </w:r>
          </w:p>
        </w:tc>
        <w:tc>
          <w:tcPr>
            <w:tcW w:w="2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186,229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Cynthia (Cindy) DeLaney</w:t>
            </w:r>
            <w:r>
              <w:rPr>
                <w:rFonts w:ascii="Arial" w:cs="Arial" w:eastAsia="Arial" w:hAnsi="Arial"/>
                <w:sz w:val="19"/>
                <w:szCs w:val="19"/>
                <w:color w:val="auto"/>
                <w:vertAlign w:val="superscript"/>
              </w:rPr>
              <w:t>(6)</w:t>
            </w:r>
          </w:p>
        </w:tc>
        <w:tc>
          <w:tcPr>
            <w:tcW w:w="258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6"/>
                <w:szCs w:val="16"/>
                <w:color w:val="auto"/>
              </w:rPr>
              <w:t>115,531</w:t>
            </w:r>
          </w:p>
        </w:tc>
        <w:tc>
          <w:tcPr>
            <w:tcW w:w="1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Che-Wei Lin</w:t>
            </w:r>
            <w:r>
              <w:rPr>
                <w:rFonts w:ascii="Arial" w:cs="Arial" w:eastAsia="Arial" w:hAnsi="Arial"/>
                <w:sz w:val="19"/>
                <w:szCs w:val="19"/>
                <w:color w:val="auto"/>
                <w:vertAlign w:val="superscript"/>
              </w:rPr>
              <w:t>(7)</w:t>
            </w:r>
          </w:p>
        </w:tc>
        <w:tc>
          <w:tcPr>
            <w:tcW w:w="2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250,435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Elizabeth Loboa</w:t>
            </w:r>
            <w:r>
              <w:rPr>
                <w:rFonts w:ascii="Arial" w:cs="Arial" w:eastAsia="Arial" w:hAnsi="Arial"/>
                <w:sz w:val="19"/>
                <w:szCs w:val="19"/>
                <w:color w:val="auto"/>
                <w:vertAlign w:val="superscript"/>
              </w:rPr>
              <w:t>(8)</w:t>
            </w:r>
          </w:p>
        </w:tc>
        <w:tc>
          <w:tcPr>
            <w:tcW w:w="258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6"/>
                <w:szCs w:val="16"/>
                <w:color w:val="auto"/>
              </w:rPr>
              <w:t>17,452</w:t>
            </w:r>
          </w:p>
        </w:tc>
        <w:tc>
          <w:tcPr>
            <w:tcW w:w="1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4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William H. Yeh</w:t>
            </w:r>
            <w:r>
              <w:rPr>
                <w:rFonts w:ascii="Arial" w:cs="Arial" w:eastAsia="Arial" w:hAnsi="Arial"/>
                <w:sz w:val="19"/>
                <w:szCs w:val="19"/>
                <w:color w:val="auto"/>
                <w:vertAlign w:val="superscript"/>
              </w:rPr>
              <w:t>(9)</w:t>
            </w:r>
          </w:p>
        </w:tc>
        <w:tc>
          <w:tcPr>
            <w:tcW w:w="2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235,748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Stefan J. Murry</w:t>
            </w:r>
            <w:r>
              <w:rPr>
                <w:rFonts w:ascii="Arial" w:cs="Arial" w:eastAsia="Arial" w:hAnsi="Arial"/>
                <w:sz w:val="19"/>
                <w:szCs w:val="19"/>
                <w:color w:val="auto"/>
                <w:vertAlign w:val="superscript"/>
              </w:rPr>
              <w:t>(10)</w:t>
            </w:r>
          </w:p>
        </w:tc>
        <w:tc>
          <w:tcPr>
            <w:tcW w:w="258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6"/>
                <w:szCs w:val="16"/>
                <w:color w:val="auto"/>
              </w:rPr>
              <w:t>181,580</w:t>
            </w:r>
          </w:p>
        </w:tc>
        <w:tc>
          <w:tcPr>
            <w:tcW w:w="1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Hung-Lun (Fred) Chang</w:t>
            </w:r>
            <w:r>
              <w:rPr>
                <w:rFonts w:ascii="Arial" w:cs="Arial" w:eastAsia="Arial" w:hAnsi="Arial"/>
                <w:sz w:val="19"/>
                <w:szCs w:val="19"/>
                <w:color w:val="auto"/>
                <w:vertAlign w:val="superscript"/>
              </w:rPr>
              <w:t>(11)</w:t>
            </w:r>
          </w:p>
        </w:tc>
        <w:tc>
          <w:tcPr>
            <w:tcW w:w="2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154,907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Shu-Hua (Joshua) Yeh</w:t>
            </w:r>
            <w:r>
              <w:rPr>
                <w:rFonts w:ascii="Arial" w:cs="Arial" w:eastAsia="Arial" w:hAnsi="Arial"/>
                <w:sz w:val="19"/>
                <w:szCs w:val="19"/>
                <w:color w:val="auto"/>
                <w:vertAlign w:val="superscript"/>
              </w:rPr>
              <w:t>(12)</w:t>
            </w:r>
          </w:p>
        </w:tc>
        <w:tc>
          <w:tcPr>
            <w:tcW w:w="258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6"/>
                <w:szCs w:val="16"/>
                <w:color w:val="auto"/>
              </w:rPr>
              <w:t>247,553</w:t>
            </w:r>
          </w:p>
        </w:tc>
        <w:tc>
          <w:tcPr>
            <w:tcW w:w="1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David Kuo</w:t>
            </w:r>
            <w:r>
              <w:rPr>
                <w:rFonts w:ascii="Arial" w:cs="Arial" w:eastAsia="Arial" w:hAnsi="Arial"/>
                <w:sz w:val="19"/>
                <w:szCs w:val="19"/>
                <w:color w:val="auto"/>
                <w:vertAlign w:val="superscript"/>
              </w:rPr>
              <w:t>(13)</w:t>
            </w:r>
          </w:p>
        </w:tc>
        <w:tc>
          <w:tcPr>
            <w:tcW w:w="2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28,531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Robert Flanagan</w:t>
            </w:r>
            <w:r>
              <w:rPr>
                <w:rFonts w:ascii="Arial" w:cs="Arial" w:eastAsia="Arial" w:hAnsi="Arial"/>
                <w:sz w:val="19"/>
                <w:szCs w:val="19"/>
                <w:color w:val="auto"/>
                <w:vertAlign w:val="superscript"/>
              </w:rPr>
              <w:t>(14)</w:t>
            </w:r>
          </w:p>
        </w:tc>
        <w:tc>
          <w:tcPr>
            <w:tcW w:w="258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54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All executive officers and directors as a group (12 persons)</w:t>
            </w:r>
            <w:r>
              <w:rPr>
                <w:rFonts w:ascii="Arial" w:cs="Arial" w:eastAsia="Arial" w:hAnsi="Arial"/>
                <w:sz w:val="19"/>
                <w:szCs w:val="19"/>
                <w:color w:val="auto"/>
                <w:vertAlign w:val="superscript"/>
              </w:rPr>
              <w:t>(15)</w:t>
            </w:r>
          </w:p>
        </w:tc>
        <w:tc>
          <w:tcPr>
            <w:tcW w:w="2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3,028,408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240" w:right="40" w:hanging="358"/>
        <w:spacing w:after="0" w:line="284" w:lineRule="auto"/>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Beneficial ownership as of March 17, 2026 as reported by Jane Street Group, LLC (“Jane Street Group”) on a Schedule 13G filed with the SEC on March 23, 2026, pursuant to which Jane Street Group has shared voting power with respect to 4,097,237 shares and shared dispositive power with respect to 4,097,237 shares on behalf of itself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185420</wp:posOffset>
            </wp:positionV>
            <wp:extent cx="334010" cy="162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04"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65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240"/>
        <w:spacing w:after="0" w:line="304" w:lineRule="auto"/>
        <w:rPr>
          <w:sz w:val="20"/>
          <w:szCs w:val="20"/>
          <w:color w:val="auto"/>
        </w:rPr>
      </w:pPr>
      <w:r>
        <w:rPr>
          <w:rFonts w:ascii="Arial" w:cs="Arial" w:eastAsia="Arial" w:hAnsi="Arial"/>
          <w:sz w:val="16"/>
          <w:szCs w:val="16"/>
          <w:color w:val="auto"/>
        </w:rPr>
        <w:t>subsidiaries: Jane Street Capital, LLC, Jane Street Options, LLC and Jane Street Global Trading, LLC. The principal address for Jane Street Group is 250 Vesey Street, 6th Floor, New York, NY 10281.</w:t>
      </w:r>
    </w:p>
    <w:p>
      <w:pPr>
        <w:spacing w:after="0" w:line="6" w:lineRule="exact"/>
        <w:rPr>
          <w:sz w:val="20"/>
          <w:szCs w:val="20"/>
          <w:color w:val="auto"/>
        </w:rPr>
      </w:pPr>
    </w:p>
    <w:p>
      <w:pPr>
        <w:ind w:left="1240" w:hanging="358"/>
        <w:spacing w:after="0" w:line="280" w:lineRule="auto"/>
        <w:tabs>
          <w:tab w:leader="none" w:pos="12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Beneficial ownership as of June 30, 2025 as reported by The Vanguard Group (“Vanguard”) on a Schedule 13G filed with the SEC on July 29, 2025, pursuant to which Vanguard has shared voting power with respect to 57,840 shares, sole dispositive power with respect to 3,965,210 shares and shared dispositive power of 107,450. The principal address for Vanguard is 100 Vanguard Blvd., Malvern, PA 19355. On a Schedule 13G/A filed with the SEC on March 26, 2026, Vanguard reported that due to an internal realignment on January 12, 2026, certain subsidiaries or business divisions that formerly had, or were deemed to have, beneficial ownership with Vanguard will now report their ownership separately (on a disaggregated basis). These entities, including Vanguard Capital Management / Vanguard Portfolio Management and/or other affiliates, pursue the same investment strategies as previously pursued by Vanguard. Because the Company has reason to believe that the aggregate beneficial ownership of shares of Company’s common stock by Vanguard’s disaggregated subsidiaries and business divisions continues to exceed 5% of our outstanding common stock, we have included the share amount and percentage ownership as of June 30, 2025 from Vanguard’s previous Schedule 13G/A filed on July 29, 2025.</w:t>
      </w:r>
    </w:p>
    <w:p>
      <w:pPr>
        <w:spacing w:after="0" w:line="27" w:lineRule="exact"/>
        <w:rPr>
          <w:rFonts w:ascii="Arial" w:cs="Arial" w:eastAsia="Arial" w:hAnsi="Arial"/>
          <w:sz w:val="15"/>
          <w:szCs w:val="15"/>
          <w:color w:val="auto"/>
        </w:rPr>
      </w:pPr>
    </w:p>
    <w:p>
      <w:pPr>
        <w:ind w:left="1240" w:right="40" w:hanging="358"/>
        <w:spacing w:after="0" w:line="275" w:lineRule="auto"/>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1,409,413 shares of common stock and (ii) 39,737 RSUs which vest within 60 days of April 10, 2026. Dr. Lin is our President, Chief Executive Officer, and Chairman of the Board. Excludes shares of common stock subject to outstanding PSUs.</w:t>
      </w:r>
    </w:p>
    <w:p>
      <w:pPr>
        <w:spacing w:after="0" w:line="29" w:lineRule="exact"/>
        <w:rPr>
          <w:rFonts w:ascii="Arial" w:cs="Arial" w:eastAsia="Arial" w:hAnsi="Arial"/>
          <w:sz w:val="16"/>
          <w:szCs w:val="16"/>
          <w:color w:val="auto"/>
        </w:rPr>
      </w:pPr>
    </w:p>
    <w:p>
      <w:pPr>
        <w:ind w:left="1240" w:hanging="358"/>
        <w:spacing w:after="0"/>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161,292 shares of common stock. Mr. Black is a member of our Board.</w:t>
      </w:r>
    </w:p>
    <w:p>
      <w:pPr>
        <w:spacing w:after="0" w:line="86" w:lineRule="exact"/>
        <w:rPr>
          <w:rFonts w:ascii="Arial" w:cs="Arial" w:eastAsia="Arial" w:hAnsi="Arial"/>
          <w:sz w:val="16"/>
          <w:szCs w:val="16"/>
          <w:color w:val="auto"/>
        </w:rPr>
      </w:pPr>
    </w:p>
    <w:p>
      <w:pPr>
        <w:ind w:left="1240" w:right="320" w:hanging="358"/>
        <w:spacing w:after="0" w:line="304" w:lineRule="auto"/>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166,229 shares of common stock; and (ii) 20,000 shares of common stock held of record by Yuh-Mei Chung. Ms. Chung is Dr. Chen’s spouse. Dr. Chen is a member of our Board.</w:t>
      </w:r>
    </w:p>
    <w:p>
      <w:pPr>
        <w:spacing w:after="0" w:line="6" w:lineRule="exact"/>
        <w:rPr>
          <w:rFonts w:ascii="Arial" w:cs="Arial" w:eastAsia="Arial" w:hAnsi="Arial"/>
          <w:sz w:val="16"/>
          <w:szCs w:val="16"/>
          <w:color w:val="auto"/>
        </w:rPr>
      </w:pPr>
    </w:p>
    <w:p>
      <w:pPr>
        <w:ind w:left="1240" w:right="380" w:hanging="358"/>
        <w:spacing w:after="0" w:line="304" w:lineRule="auto"/>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113,151 shares of common stock and (ii) 2,380 shares of common stock held of record by Norman Kinsella. Mr. Kinsella is Ms. DeLaney’s spouse. Ms. DeLaney is a member of our Board.</w:t>
      </w:r>
    </w:p>
    <w:p>
      <w:pPr>
        <w:spacing w:after="0" w:line="6" w:lineRule="exact"/>
        <w:rPr>
          <w:rFonts w:ascii="Arial" w:cs="Arial" w:eastAsia="Arial" w:hAnsi="Arial"/>
          <w:sz w:val="16"/>
          <w:szCs w:val="16"/>
          <w:color w:val="auto"/>
        </w:rPr>
      </w:pPr>
    </w:p>
    <w:p>
      <w:pPr>
        <w:ind w:left="1240" w:hanging="358"/>
        <w:spacing w:after="0"/>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250,435 shares of common stock. Mr. Lin is a member of our Board.</w:t>
      </w:r>
    </w:p>
    <w:p>
      <w:pPr>
        <w:spacing w:after="0" w:line="86" w:lineRule="exact"/>
        <w:rPr>
          <w:rFonts w:ascii="Arial" w:cs="Arial" w:eastAsia="Arial" w:hAnsi="Arial"/>
          <w:sz w:val="16"/>
          <w:szCs w:val="16"/>
          <w:color w:val="auto"/>
        </w:rPr>
      </w:pPr>
    </w:p>
    <w:p>
      <w:pPr>
        <w:ind w:left="1240" w:hanging="358"/>
        <w:spacing w:after="0"/>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17,452 shares of common stock. Dr. Loboa is a member of our Board.</w:t>
      </w:r>
    </w:p>
    <w:p>
      <w:pPr>
        <w:spacing w:after="0" w:line="86" w:lineRule="exact"/>
        <w:rPr>
          <w:rFonts w:ascii="Arial" w:cs="Arial" w:eastAsia="Arial" w:hAnsi="Arial"/>
          <w:sz w:val="16"/>
          <w:szCs w:val="16"/>
          <w:color w:val="auto"/>
        </w:rPr>
      </w:pPr>
    </w:p>
    <w:p>
      <w:pPr>
        <w:ind w:left="1240" w:hanging="358"/>
        <w:spacing w:after="0"/>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235,748 shares of common stock. Mr. Yeh is a member of our Board.</w:t>
      </w:r>
    </w:p>
    <w:p>
      <w:pPr>
        <w:spacing w:after="0" w:line="86" w:lineRule="exact"/>
        <w:rPr>
          <w:rFonts w:ascii="Arial" w:cs="Arial" w:eastAsia="Arial" w:hAnsi="Arial"/>
          <w:sz w:val="16"/>
          <w:szCs w:val="16"/>
          <w:color w:val="auto"/>
        </w:rPr>
      </w:pPr>
    </w:p>
    <w:p>
      <w:pPr>
        <w:ind w:left="1240" w:right="140" w:hanging="358"/>
        <w:spacing w:after="0" w:line="286" w:lineRule="auto"/>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167,417 shares of common stock and (ii) 14,163 RSUs which vest within 60 days of April 10, 2026. Dr. Murry is our Chief Financial Officer and Chief Strategy Officer. Excludes shares of common stock subject to outstanding PSUs.</w:t>
      </w:r>
    </w:p>
    <w:p>
      <w:pPr>
        <w:spacing w:after="0" w:line="20" w:lineRule="exact"/>
        <w:rPr>
          <w:rFonts w:ascii="Arial" w:cs="Arial" w:eastAsia="Arial" w:hAnsi="Arial"/>
          <w:sz w:val="16"/>
          <w:szCs w:val="16"/>
          <w:color w:val="auto"/>
        </w:rPr>
      </w:pPr>
    </w:p>
    <w:p>
      <w:pPr>
        <w:ind w:left="1240" w:right="80" w:hanging="358"/>
        <w:spacing w:after="0" w:line="284" w:lineRule="auto"/>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142,660 shares of common stock and (ii) 12,247 RSUs which vest within 60 days of April 10, 2026. Dr. Chang is our Senior Vice President and North America General Manager. Excludes shares of common stock subject to outstanding PSUs.</w:t>
      </w:r>
    </w:p>
    <w:p>
      <w:pPr>
        <w:spacing w:after="0" w:line="21" w:lineRule="exact"/>
        <w:rPr>
          <w:rFonts w:ascii="Arial" w:cs="Arial" w:eastAsia="Arial" w:hAnsi="Arial"/>
          <w:sz w:val="16"/>
          <w:szCs w:val="16"/>
          <w:color w:val="auto"/>
        </w:rPr>
      </w:pPr>
    </w:p>
    <w:p>
      <w:pPr>
        <w:ind w:left="1240" w:hanging="358"/>
        <w:spacing w:after="0" w:line="286" w:lineRule="auto"/>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236,479 shares of common stock and (ii) 11,074 RSUs which vest within 60 days of April 10, 2026. Mr. Yeh is our Senior Vice President and Asia General Manager. Excludes shares of common stock subject to outstanding PSUs.</w:t>
      </w:r>
    </w:p>
    <w:p>
      <w:pPr>
        <w:spacing w:after="0" w:line="20" w:lineRule="exact"/>
        <w:rPr>
          <w:rFonts w:ascii="Arial" w:cs="Arial" w:eastAsia="Arial" w:hAnsi="Arial"/>
          <w:sz w:val="16"/>
          <w:szCs w:val="16"/>
          <w:color w:val="auto"/>
        </w:rPr>
      </w:pPr>
    </w:p>
    <w:p>
      <w:pPr>
        <w:jc w:val="both"/>
        <w:ind w:left="1240" w:right="140" w:hanging="358"/>
        <w:spacing w:after="0" w:line="284" w:lineRule="auto"/>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19,990 shares of common stock and (ii) 8,541 RSUs which vest within 60 days of April 10, 2026. Mr. Kuo is our Senior Vice President, Chief Legal Officer, Chief Compliance Officer and Corporate Secretary. Excludes shares of common stock subject to outstanding PSUs.</w:t>
      </w:r>
    </w:p>
    <w:p>
      <w:pPr>
        <w:spacing w:after="0" w:line="21" w:lineRule="exact"/>
        <w:rPr>
          <w:rFonts w:ascii="Arial" w:cs="Arial" w:eastAsia="Arial" w:hAnsi="Arial"/>
          <w:sz w:val="16"/>
          <w:szCs w:val="16"/>
          <w:color w:val="auto"/>
        </w:rPr>
      </w:pPr>
    </w:p>
    <w:p>
      <w:pPr>
        <w:ind w:left="1240" w:hanging="358"/>
        <w:spacing w:after="0"/>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Flanagan is a director nominee.</w:t>
      </w:r>
    </w:p>
    <w:p>
      <w:pPr>
        <w:spacing w:after="0" w:line="86" w:lineRule="exact"/>
        <w:rPr>
          <w:rFonts w:ascii="Arial" w:cs="Arial" w:eastAsia="Arial" w:hAnsi="Arial"/>
          <w:sz w:val="16"/>
          <w:szCs w:val="16"/>
          <w:color w:val="auto"/>
        </w:rPr>
      </w:pPr>
    </w:p>
    <w:p>
      <w:pPr>
        <w:jc w:val="both"/>
        <w:ind w:left="1240" w:right="420" w:hanging="358"/>
        <w:spacing w:after="0" w:line="321" w:lineRule="auto"/>
        <w:tabs>
          <w:tab w:leader="none" w:pos="12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an aggregate of (i) 2,920,266 shares of common stock held directly and 22,380 shares of common stock held indirectly by our current executive officers and directors and (ii) 85,762 RSUs that vest within 60 days of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2639060</wp:posOffset>
            </wp:positionV>
            <wp:extent cx="334010" cy="162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66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4834BA"/>
        </w:rPr>
        <w:t>Section 16(a) Beneficial Ownership Reporting Compliance</w:t>
      </w:r>
    </w:p>
    <w:p>
      <w:pPr>
        <w:spacing w:after="0" w:line="119" w:lineRule="exact"/>
        <w:rPr>
          <w:sz w:val="20"/>
          <w:szCs w:val="20"/>
          <w:color w:val="auto"/>
        </w:rPr>
      </w:pPr>
    </w:p>
    <w:p>
      <w:pPr>
        <w:ind w:left="660" w:right="60"/>
        <w:spacing w:after="0" w:line="284" w:lineRule="auto"/>
        <w:rPr>
          <w:sz w:val="20"/>
          <w:szCs w:val="20"/>
          <w:color w:val="auto"/>
        </w:rPr>
      </w:pPr>
      <w:r>
        <w:rPr>
          <w:rFonts w:ascii="Arial" w:cs="Arial" w:eastAsia="Arial" w:hAnsi="Arial"/>
          <w:sz w:val="15"/>
          <w:szCs w:val="15"/>
          <w:color w:val="auto"/>
        </w:rPr>
        <w:t>Section 16(a) of the Exchange Act requires the Corporation’s directors and executive officers, and persons who own more than 10% of a registered class of the Corporation’s equity securities, to file with the SEC initial reports of ownership and reports of changes in ownership of Common Stock and other equity securities of the Corporation. Officers, directors and greater than 10% stockholders are required by SEC regulation to furnish the Corporation with copies of all Section 16(a) forms they file. To the Corporation’s knowledge, based solely on a review of the copies of such reports furnished to the Corporation and written representations that no other reports were required, during the fiscal year ended December 31, 2025, all Section 16(a) filing requirements applicable to its officers, directors and greater than 10% beneficial owners were complied with, except that Mr. Richard Black, a director, did not timely file a Form 4 for a transaction that occurred in August of 2025, but such Form 4 was subsequently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6661785</wp:posOffset>
            </wp:positionV>
            <wp:extent cx="334010" cy="162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67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7886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9321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right="20"/>
        <w:spacing w:after="0" w:line="268" w:lineRule="auto"/>
        <w:rPr>
          <w:sz w:val="20"/>
          <w:szCs w:val="20"/>
          <w:color w:val="auto"/>
        </w:rPr>
      </w:pPr>
      <w:r>
        <w:rPr>
          <w:rFonts w:ascii="Arial" w:cs="Arial" w:eastAsia="Arial" w:hAnsi="Arial"/>
          <w:sz w:val="16"/>
          <w:szCs w:val="16"/>
          <w:color w:val="auto"/>
        </w:rPr>
        <w:t>Pursuant to Rule 14a-8 under the Exchange Act, some stockholder proposals may be eligible for inclusion in our proxy statement for the 2027 annual meeting of stockholders (the “2027 Annual Meeting”). These stockholder proposals must be submitted, along with proof of ownership of our stock in accordance with Rule 14a-8(b)(2), to the Corporate Secretary, Applied Optoelectronics, Inc., 13139 Jess Pirtle Blvd., Sugar Land, TX 77478, no later than the close of business on December 25, 2026 (120 days prior to the anniversary of this year’s mailing date). Stockholders must comply with the procedures and requirements of Rule 14a-8 for their proposal to be included in our proxy statement for the 2027 Annual Meeting.</w:t>
      </w:r>
    </w:p>
    <w:p>
      <w:pPr>
        <w:spacing w:after="0" w:line="63" w:lineRule="exact"/>
        <w:rPr>
          <w:sz w:val="20"/>
          <w:szCs w:val="20"/>
          <w:color w:val="auto"/>
        </w:rPr>
      </w:pPr>
    </w:p>
    <w:p>
      <w:pPr>
        <w:jc w:val="both"/>
        <w:ind w:left="660" w:right="180"/>
        <w:spacing w:after="0" w:line="271" w:lineRule="auto"/>
        <w:rPr>
          <w:sz w:val="20"/>
          <w:szCs w:val="20"/>
          <w:color w:val="auto"/>
        </w:rPr>
      </w:pPr>
      <w:r>
        <w:rPr>
          <w:rFonts w:ascii="Arial" w:cs="Arial" w:eastAsia="Arial" w:hAnsi="Arial"/>
          <w:sz w:val="16"/>
          <w:szCs w:val="16"/>
          <w:color w:val="auto"/>
        </w:rPr>
        <w:t>Submitting a stockholder proposal does not guarantee that we will include it in our proxy statement. Our nominating and corporate governance committee reviews all stockholder proposals and makes recommendations to the Board for actions on such proposals. For information on qualifications of director nominees considered by our nominating and corporate governance committee, see the “Corporate Governance — Director Nominations” section of this Proxy Statement.</w:t>
      </w:r>
    </w:p>
    <w:p>
      <w:pPr>
        <w:spacing w:after="0" w:line="73" w:lineRule="exact"/>
        <w:rPr>
          <w:sz w:val="20"/>
          <w:szCs w:val="20"/>
          <w:color w:val="auto"/>
        </w:rPr>
      </w:pPr>
    </w:p>
    <w:p>
      <w:pPr>
        <w:ind w:left="660"/>
        <w:spacing w:after="0" w:line="261" w:lineRule="auto"/>
        <w:rPr>
          <w:sz w:val="20"/>
          <w:szCs w:val="20"/>
          <w:color w:val="auto"/>
        </w:rPr>
      </w:pPr>
      <w:r>
        <w:rPr>
          <w:rFonts w:ascii="Arial" w:cs="Arial" w:eastAsia="Arial" w:hAnsi="Arial"/>
          <w:sz w:val="16"/>
          <w:szCs w:val="16"/>
          <w:color w:val="auto"/>
        </w:rPr>
        <w:t>In addition, our By-laws provide that any stockholder intending to nominate a candidate for election to the Board or to propose any business at our 2027 Annual Meeting, other than proposals presented pursuant to Rule 14a-8 under the Exchange Act, must give notice to the Corporate Secretary at our principal executive offices, not earlier than the close of business on the 120th day nor later than the close of business on the 90th day prior to the first anniversary of the date of the preceding year’s annual meeting as first specified in the notice of meeting, which for 2027, will be no earlier than the close of business on February 4, 2027 nor later than the close of business on March 6, 2027. In addition to satisfying the requirements under our By-laws with respect to advance notice of any nomination, any stockholder that intends to solicit proxies in support of director nominees other than the Company’s nominees for the 2027 Annual Meeting in accordance with Rule 14a-19 under the Exchange Act must provide notice to the Corporate Secretary at the address above no later than 60 calendar days prior to the anniversary of the previous year’s annual meeting (for the 2027 Annual Meeting, such notice must be provided by April 5, 2027). Any such notice of intent to solicit proxies must comply with all the requirements of Rule 14a-19. We will not entertain any proposals or nominations at the meeting that do not meet the requirements set forth in our By-laws or the applicable requirements of the Exchange Act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4082415</wp:posOffset>
            </wp:positionV>
            <wp:extent cx="334010" cy="1625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68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6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3217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line="271" w:lineRule="auto"/>
        <w:rPr>
          <w:sz w:val="20"/>
          <w:szCs w:val="20"/>
          <w:color w:val="auto"/>
        </w:rPr>
      </w:pPr>
      <w:r>
        <w:rPr>
          <w:rFonts w:ascii="Arial" w:cs="Arial" w:eastAsia="Arial" w:hAnsi="Arial"/>
          <w:sz w:val="16"/>
          <w:szCs w:val="16"/>
          <w:color w:val="auto"/>
        </w:rPr>
        <w:t>As of the date of this Proxy Statement, the Board knows of no other business that will be conducted at the Annual Meeting other than as described in this Proxy Statement. If any other matter or matters are properly brought before the meeting or any adjournment or postponement of the meeting, it is the intention of the persons named in the accompanying proxy to vote the proxy on such matters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6682105</wp:posOffset>
            </wp:positionV>
            <wp:extent cx="334010" cy="1625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69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6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3217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line="264" w:lineRule="auto"/>
        <w:rPr>
          <w:sz w:val="20"/>
          <w:szCs w:val="20"/>
          <w:color w:val="auto"/>
        </w:rPr>
      </w:pPr>
      <w:r>
        <w:rPr>
          <w:rFonts w:ascii="Arial" w:cs="Arial" w:eastAsia="Arial" w:hAnsi="Arial"/>
          <w:sz w:val="16"/>
          <w:szCs w:val="16"/>
          <w:color w:val="auto"/>
        </w:rPr>
        <w:t>The SEC has adopted rules that permit companies and intermediaries, such as brokers, to satisfy the delivery requirements for proxy statements with respect to two or more stockholders sharing the same address by delivering one copy of these materials, other than the proxy card, to those stockholders. This process, which is commonly referred to as “householding,” can mean extra convenience for stockholders and cost savings for the Company. Beneficial stockholders can request information about householding from their banks, brokers, or other nominees. Through householding, stockholders of record who have the same address and last name will receive only one copy of our Proxy Statement and Annual Report, unless one or more of these stockholders notifies us that they wish to continue receiving individual copies. This procedure will reduce printing costs and postage fees.</w:t>
      </w:r>
    </w:p>
    <w:p>
      <w:pPr>
        <w:spacing w:after="0" w:line="82" w:lineRule="exact"/>
        <w:rPr>
          <w:sz w:val="20"/>
          <w:szCs w:val="20"/>
          <w:color w:val="auto"/>
        </w:rPr>
      </w:pPr>
    </w:p>
    <w:p>
      <w:pPr>
        <w:ind w:left="660" w:right="40"/>
        <w:spacing w:after="0" w:line="277" w:lineRule="auto"/>
        <w:rPr>
          <w:sz w:val="20"/>
          <w:szCs w:val="20"/>
          <w:color w:val="auto"/>
        </w:rPr>
      </w:pPr>
      <w:r>
        <w:rPr>
          <w:rFonts w:ascii="Arial" w:cs="Arial" w:eastAsia="Arial" w:hAnsi="Arial"/>
          <w:sz w:val="15"/>
          <w:szCs w:val="15"/>
          <w:color w:val="auto"/>
        </w:rPr>
        <w:t>Stockholders who participate in householding will continue to receive separate proxy cards, to the extent requested. If you are eligible for householding, but you and other stockholders of record with whom you share an address currently receive multiple copies of the Proxy Statement and Annual Report, or if you hold stock in more than one account and wish to receive only a single copy of the Proxy Statement or Annual Report for your household, please contact Broadridge Householding Department, in writing, at</w:t>
      </w:r>
    </w:p>
    <w:p>
      <w:pPr>
        <w:spacing w:after="0" w:line="3" w:lineRule="exact"/>
        <w:rPr>
          <w:sz w:val="20"/>
          <w:szCs w:val="20"/>
          <w:color w:val="auto"/>
        </w:rPr>
      </w:pPr>
    </w:p>
    <w:p>
      <w:pPr>
        <w:jc w:val="both"/>
        <w:ind w:left="660" w:right="240"/>
        <w:spacing w:after="0" w:line="264" w:lineRule="auto"/>
        <w:rPr>
          <w:sz w:val="20"/>
          <w:szCs w:val="20"/>
          <w:color w:val="auto"/>
        </w:rPr>
      </w:pPr>
      <w:r>
        <w:rPr>
          <w:rFonts w:ascii="Arial" w:cs="Arial" w:eastAsia="Arial" w:hAnsi="Arial"/>
          <w:sz w:val="16"/>
          <w:szCs w:val="16"/>
          <w:color w:val="auto"/>
        </w:rPr>
        <w:t>51 Mercedes Way, Edgewood, New York 11717, or by phone at (800) 542-1061 or (866) 540-7095. If you are a beneficial owner, please contact your bank, broker, or other nominee directly if you have questions, require additional copies of the proxy materials, wish to receive multiple copies by revoking your consent to householding or wish to request single copies of the proxy materials in the future.</w:t>
      </w:r>
    </w:p>
    <w:p>
      <w:pPr>
        <w:spacing w:after="0" w:line="7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89535</wp:posOffset>
            </wp:positionV>
            <wp:extent cx="1020445" cy="1968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0445" cy="1968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David Kuo</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i w:val="1"/>
          <w:iCs w:val="1"/>
          <w:color w:val="auto"/>
        </w:rPr>
        <w:t>Chief Legal Officer, Chief Compliance Officer and</w:t>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6"/>
          <w:szCs w:val="16"/>
          <w:i w:val="1"/>
          <w:iCs w:val="1"/>
          <w:color w:val="auto"/>
        </w:rPr>
        <w:t>Corporate Secretary</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4135755</wp:posOffset>
            </wp:positionV>
            <wp:extent cx="334010" cy="162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70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7886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9321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APPLIED OPTOELECTRONICS, INC.</w:t>
      </w:r>
    </w:p>
    <w:p>
      <w:pPr>
        <w:spacing w:after="0" w:line="26" w:lineRule="exact"/>
        <w:rPr>
          <w:sz w:val="20"/>
          <w:szCs w:val="20"/>
          <w:color w:val="auto"/>
        </w:rPr>
      </w:pPr>
    </w:p>
    <w:p>
      <w:pPr>
        <w:jc w:val="center"/>
        <w:ind w:right="-679"/>
        <w:spacing w:after="0"/>
        <w:rPr>
          <w:sz w:val="20"/>
          <w:szCs w:val="20"/>
          <w:color w:val="auto"/>
        </w:rPr>
      </w:pPr>
      <w:r>
        <w:rPr>
          <w:rFonts w:ascii="Arial" w:cs="Arial" w:eastAsia="Arial" w:hAnsi="Arial"/>
          <w:sz w:val="22"/>
          <w:szCs w:val="22"/>
          <w:b w:val="1"/>
          <w:bCs w:val="1"/>
          <w:color w:val="auto"/>
        </w:rPr>
        <w:t>13139 Jess Pirtle Blvd., Sugar Land, TX 77478</w:t>
      </w:r>
    </w:p>
    <w:p>
      <w:pPr>
        <w:spacing w:after="0" w:line="104" w:lineRule="exact"/>
        <w:rPr>
          <w:sz w:val="20"/>
          <w:szCs w:val="20"/>
          <w:color w:val="auto"/>
        </w:rPr>
      </w:pPr>
    </w:p>
    <w:p>
      <w:pPr>
        <w:ind w:left="660" w:right="240"/>
        <w:spacing w:after="0" w:line="261" w:lineRule="auto"/>
        <w:rPr>
          <w:sz w:val="20"/>
          <w:szCs w:val="20"/>
          <w:color w:val="auto"/>
        </w:rPr>
      </w:pPr>
      <w:r>
        <w:rPr>
          <w:rFonts w:ascii="Arial" w:cs="Arial" w:eastAsia="Arial" w:hAnsi="Arial"/>
          <w:sz w:val="16"/>
          <w:szCs w:val="16"/>
          <w:color w:val="auto"/>
        </w:rPr>
        <w:t>The Board of Directors (the “Board”) of Applied Optoelectronics, Inc. (the “Company”) is soliciting your proxy for the 2026 Annual Meeting of Stockholders to be held on Thursday, June 4, 2026, or any adjournment or postponement thereof, for the purposes set forth in the accompanying Notice of Annual Meeting of Stockholders. This Proxy Statement and related materials are first being made available to stockholders beginning on April 24, 2026. A Notice of Internet Availability of Proxy Materials indicating how to access our proxy materials over the Internet will be sent, or given, to stockholders beginning on April 24, 2026. References in this Proxy Statement to the “Company,” “we,” “our,” “us” and “Applied Optoelectronics” are to Applied Optoelectronics, Inc. and its consolidated subsidiaries, and references to the “Annual Meeting” are to the 2026 Annual Meeting of Stockholders. This Proxy Statement covers our 2025 fiscal year, which was from January 1, 2025 through December 31, 2025 (“fiscal 2025”). Certain information contained in this Proxy Statement is incorporated by reference into Part III of our Annual Report on Form 10-K for the fiscal year ended December 31, 2025, as filed by the Company with the U.S. Securities and Exchange Commission (“SEC”) on February 26, 2026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5212080</wp:posOffset>
            </wp:positionV>
            <wp:extent cx="334010" cy="1625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71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0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9321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Record Date</w:t>
      </w:r>
    </w:p>
    <w:p>
      <w:pPr>
        <w:spacing w:after="0" w:line="127" w:lineRule="exact"/>
        <w:rPr>
          <w:sz w:val="20"/>
          <w:szCs w:val="20"/>
          <w:color w:val="auto"/>
        </w:rPr>
      </w:pPr>
    </w:p>
    <w:p>
      <w:pPr>
        <w:jc w:val="both"/>
        <w:ind w:left="660" w:right="60"/>
        <w:spacing w:after="0" w:line="266" w:lineRule="auto"/>
        <w:rPr>
          <w:sz w:val="20"/>
          <w:szCs w:val="20"/>
          <w:color w:val="auto"/>
        </w:rPr>
      </w:pPr>
      <w:r>
        <w:rPr>
          <w:rFonts w:ascii="Arial" w:cs="Arial" w:eastAsia="Arial" w:hAnsi="Arial"/>
          <w:sz w:val="16"/>
          <w:szCs w:val="16"/>
          <w:color w:val="auto"/>
        </w:rPr>
        <w:t>Only stockholders of record of common stock at the close of business on April 10, 2026 (the “Record Date”) will be entitled to notice of and to vote at the Annual Meeting and any adjournment or postponement thereof. As of the close of business on the Record Date, there were 80,047,663 shares of common stock outstanding and entitled to vote at the Annual Meeting.</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Quorum</w:t>
      </w:r>
    </w:p>
    <w:p>
      <w:pPr>
        <w:spacing w:after="0" w:line="113" w:lineRule="exact"/>
        <w:rPr>
          <w:sz w:val="20"/>
          <w:szCs w:val="20"/>
          <w:color w:val="auto"/>
        </w:rPr>
      </w:pPr>
    </w:p>
    <w:p>
      <w:pPr>
        <w:ind w:left="660" w:right="20"/>
        <w:spacing w:after="0" w:line="252" w:lineRule="auto"/>
        <w:rPr>
          <w:sz w:val="20"/>
          <w:szCs w:val="20"/>
          <w:color w:val="auto"/>
        </w:rPr>
      </w:pPr>
      <w:r>
        <w:rPr>
          <w:rFonts w:ascii="Arial" w:cs="Arial" w:eastAsia="Arial" w:hAnsi="Arial"/>
          <w:sz w:val="16"/>
          <w:szCs w:val="16"/>
          <w:color w:val="auto"/>
        </w:rPr>
        <w:t>A majority of the shares of common stock entitled to vote as of the close of business on the Record Date must be represented at the meeting, either in person or by proxy, to constitute a quorum for the transaction of business at the Annual Meeting. Your shares will be counted towards the quorum if you submit a valid proxy (or one is submitted on your behalf by your bank, broker, or other nominee) or if you attend the meeting. If less than a quorum is present at any Annual Meeting or at any special meeting of stockholders, the holders of voting stock representing a majority of the voting power present in person or represented by proxy at the meeting or the presiding officer may adjourn the meeting from time to time, and the meeting may be held as adjourned without further notice. In addition, abstentions and broker non-votes will each be counted as present for purposes of determining the presence of a quorum.</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Vote Required to Adopt Proposals</w:t>
      </w:r>
    </w:p>
    <w:p>
      <w:pPr>
        <w:spacing w:after="0" w:line="127" w:lineRule="exact"/>
        <w:rPr>
          <w:sz w:val="20"/>
          <w:szCs w:val="20"/>
          <w:color w:val="auto"/>
        </w:rPr>
      </w:pPr>
    </w:p>
    <w:p>
      <w:pPr>
        <w:ind w:left="660" w:right="120"/>
        <w:spacing w:after="0" w:line="286" w:lineRule="auto"/>
        <w:rPr>
          <w:sz w:val="20"/>
          <w:szCs w:val="20"/>
          <w:color w:val="auto"/>
        </w:rPr>
      </w:pPr>
      <w:r>
        <w:rPr>
          <w:rFonts w:ascii="Arial" w:cs="Arial" w:eastAsia="Arial" w:hAnsi="Arial"/>
          <w:sz w:val="16"/>
          <w:szCs w:val="16"/>
          <w:color w:val="auto"/>
        </w:rPr>
        <w:t>Each share of our common stock outstanding on the Record Date is entitled to one vote on each of the two director nominees under Proposal No. 1 and to one vote on each other proposal.</w:t>
      </w:r>
    </w:p>
    <w:p>
      <w:pPr>
        <w:spacing w:after="0" w:line="21" w:lineRule="exact"/>
        <w:rPr>
          <w:sz w:val="20"/>
          <w:szCs w:val="20"/>
          <w:color w:val="auto"/>
        </w:rPr>
      </w:pPr>
    </w:p>
    <w:tbl>
      <w:tblPr>
        <w:tblLayout w:type="fixed"/>
        <w:tblInd w:w="660" w:type="dxa"/>
        <w:tblCellMar>
          <w:top w:w="0" w:type="dxa"/>
          <w:left w:w="0" w:type="dxa"/>
          <w:bottom w:w="0" w:type="dxa"/>
          <w:right w:w="0" w:type="dxa"/>
        </w:tblCellMar>
      </w:tblPr>
      <w:tr>
        <w:trPr>
          <w:trHeight w:val="310"/>
        </w:trPr>
        <w:tc>
          <w:tcPr>
            <w:tcW w:w="1040" w:type="dxa"/>
            <w:vAlign w:val="bottom"/>
            <w:shd w:val="clear" w:color="auto" w:fill="4834BA"/>
          </w:tcPr>
          <w:p>
            <w:pPr>
              <w:ind w:left="140"/>
              <w:spacing w:after="0"/>
              <w:rPr>
                <w:sz w:val="20"/>
                <w:szCs w:val="20"/>
                <w:color w:val="auto"/>
              </w:rPr>
            </w:pPr>
            <w:r>
              <w:rPr>
                <w:rFonts w:ascii="Arial" w:cs="Arial" w:eastAsia="Arial" w:hAnsi="Arial"/>
                <w:sz w:val="16"/>
                <w:szCs w:val="16"/>
                <w:b w:val="1"/>
                <w:bCs w:val="1"/>
                <w:color w:val="FFFFFF"/>
              </w:rPr>
              <w:t>Proposals</w:t>
            </w:r>
          </w:p>
        </w:tc>
        <w:tc>
          <w:tcPr>
            <w:tcW w:w="160" w:type="dxa"/>
            <w:vAlign w:val="bottom"/>
            <w:tcBorders>
              <w:bottom w:val="single" w:sz="8" w:color="FEFEFE"/>
            </w:tcBorders>
            <w:shd w:val="clear" w:color="auto" w:fill="FEFEFE"/>
          </w:tcPr>
          <w:p>
            <w:pPr>
              <w:spacing w:after="0"/>
              <w:rPr>
                <w:sz w:val="24"/>
                <w:szCs w:val="24"/>
                <w:color w:val="auto"/>
              </w:rPr>
            </w:pPr>
          </w:p>
        </w:tc>
        <w:tc>
          <w:tcPr>
            <w:tcW w:w="8140" w:type="dxa"/>
            <w:vAlign w:val="bottom"/>
            <w:shd w:val="clear" w:color="auto" w:fill="4834BA"/>
          </w:tcPr>
          <w:p>
            <w:pPr>
              <w:ind w:left="100"/>
              <w:spacing w:after="0"/>
              <w:rPr>
                <w:sz w:val="20"/>
                <w:szCs w:val="20"/>
                <w:color w:val="auto"/>
              </w:rPr>
            </w:pPr>
            <w:r>
              <w:rPr>
                <w:rFonts w:ascii="Arial" w:cs="Arial" w:eastAsia="Arial" w:hAnsi="Arial"/>
                <w:sz w:val="16"/>
                <w:szCs w:val="16"/>
                <w:b w:val="1"/>
                <w:bCs w:val="1"/>
                <w:color w:val="FFFFFF"/>
              </w:rPr>
              <w:t>Meeting Agenda</w:t>
            </w:r>
          </w:p>
        </w:tc>
        <w:tc>
          <w:tcPr>
            <w:tcW w:w="60" w:type="dxa"/>
            <w:vAlign w:val="bottom"/>
            <w:shd w:val="clear" w:color="auto" w:fill="4834BA"/>
          </w:tcPr>
          <w:p>
            <w:pPr>
              <w:ind w:left="20"/>
              <w:spacing w:after="0"/>
              <w:rPr>
                <w:sz w:val="20"/>
                <w:szCs w:val="20"/>
                <w:color w:val="auto"/>
              </w:rPr>
            </w:pPr>
            <w:r>
              <w:rPr>
                <w:rFonts w:ascii="Arial" w:cs="Arial" w:eastAsia="Arial" w:hAnsi="Arial"/>
                <w:sz w:val="16"/>
                <w:szCs w:val="16"/>
                <w:b w:val="1"/>
                <w:bCs w:val="1"/>
                <w:color w:val="FFFFF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140" w:type="dxa"/>
            <w:vAlign w:val="bottom"/>
            <w:vMerge w:val="restart"/>
          </w:tcPr>
          <w:p>
            <w:pPr>
              <w:ind w:left="100"/>
              <w:spacing w:after="0"/>
              <w:rPr>
                <w:sz w:val="20"/>
                <w:szCs w:val="20"/>
                <w:color w:val="auto"/>
              </w:rPr>
            </w:pPr>
            <w:r>
              <w:rPr>
                <w:rFonts w:ascii="Arial" w:cs="Arial" w:eastAsia="Arial" w:hAnsi="Arial"/>
                <w:sz w:val="14"/>
                <w:szCs w:val="14"/>
                <w:b w:val="1"/>
                <w:bCs w:val="1"/>
                <w:color w:val="4834BA"/>
              </w:rPr>
              <w:t>Election of Directors.</w:t>
            </w: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1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40" w:type="dxa"/>
            <w:vAlign w:val="bottom"/>
          </w:tcPr>
          <w:p>
            <w:pPr>
              <w:ind w:left="100"/>
              <w:spacing w:after="0"/>
              <w:rPr>
                <w:sz w:val="20"/>
                <w:szCs w:val="20"/>
                <w:color w:val="auto"/>
              </w:rPr>
            </w:pPr>
            <w:r>
              <w:rPr>
                <w:rFonts w:ascii="Arial" w:cs="Arial" w:eastAsia="Arial" w:hAnsi="Arial"/>
                <w:sz w:val="14"/>
                <w:szCs w:val="14"/>
                <w:color w:val="auto"/>
              </w:rPr>
              <w:t>The two director nominees to serve as Class I directors will be elected by a plurality of the votes properly cast on the proposal at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40" w:type="dxa"/>
            <w:vAlign w:val="bottom"/>
          </w:tcPr>
          <w:p>
            <w:pPr>
              <w:ind w:left="100"/>
              <w:spacing w:after="0"/>
              <w:rPr>
                <w:sz w:val="20"/>
                <w:szCs w:val="20"/>
                <w:color w:val="auto"/>
              </w:rPr>
            </w:pPr>
            <w:r>
              <w:rPr>
                <w:rFonts w:ascii="Arial" w:cs="Arial" w:eastAsia="Arial" w:hAnsi="Arial"/>
                <w:sz w:val="14"/>
                <w:szCs w:val="14"/>
                <w:color w:val="auto"/>
              </w:rPr>
              <w:t>the Annual Meeting, where a quorum is present, meaning that the two nominees who receive the highest number of “FOR”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40" w:type="dxa"/>
            <w:vAlign w:val="bottom"/>
          </w:tcPr>
          <w:p>
            <w:pPr>
              <w:ind w:left="100"/>
              <w:spacing w:after="0"/>
              <w:rPr>
                <w:sz w:val="20"/>
                <w:szCs w:val="20"/>
                <w:color w:val="auto"/>
              </w:rPr>
            </w:pPr>
            <w:r>
              <w:rPr>
                <w:rFonts w:ascii="Arial" w:cs="Arial" w:eastAsia="Arial" w:hAnsi="Arial"/>
                <w:sz w:val="14"/>
                <w:szCs w:val="14"/>
                <w:color w:val="auto"/>
              </w:rPr>
              <w:t>votes will be elected as Class I directors. You may vote “FOR” or “WITHHOLD” with respect to each director nominee.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40" w:type="dxa"/>
            <w:vAlign w:val="bottom"/>
          </w:tcPr>
          <w:p>
            <w:pPr>
              <w:ind w:left="100"/>
              <w:spacing w:after="0"/>
              <w:rPr>
                <w:sz w:val="20"/>
                <w:szCs w:val="20"/>
                <w:color w:val="auto"/>
              </w:rPr>
            </w:pPr>
            <w:r>
              <w:rPr>
                <w:rFonts w:ascii="Arial" w:cs="Arial" w:eastAsia="Arial" w:hAnsi="Arial"/>
                <w:sz w:val="14"/>
                <w:szCs w:val="14"/>
                <w:color w:val="auto"/>
              </w:rPr>
              <w:t>“WITHHOLD” votes and broker non-votes are not considered votes cast for the election of directors and will have no effect 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1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the election of the nominee.</w:t>
            </w: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tcPr>
          <w:p>
            <w:pPr>
              <w:ind w:left="100"/>
              <w:spacing w:after="0"/>
              <w:rPr>
                <w:sz w:val="20"/>
                <w:szCs w:val="20"/>
                <w:color w:val="auto"/>
              </w:rPr>
            </w:pPr>
            <w:r>
              <w:rPr>
                <w:rFonts w:ascii="Arial" w:cs="Arial" w:eastAsia="Arial" w:hAnsi="Arial"/>
                <w:sz w:val="14"/>
                <w:szCs w:val="14"/>
                <w:b w:val="1"/>
                <w:bCs w:val="1"/>
                <w:color w:val="4834BA"/>
              </w:rPr>
              <w:t>Ratification of Appointment of Independent Registered Public Accounting Firm.</w:t>
            </w: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40" w:type="dxa"/>
            <w:vAlign w:val="bottom"/>
          </w:tcPr>
          <w:p>
            <w:pPr>
              <w:ind w:left="100"/>
              <w:spacing w:after="0"/>
              <w:rPr>
                <w:sz w:val="20"/>
                <w:szCs w:val="20"/>
                <w:color w:val="auto"/>
              </w:rPr>
            </w:pPr>
            <w:r>
              <w:rPr>
                <w:rFonts w:ascii="Arial" w:cs="Arial" w:eastAsia="Arial" w:hAnsi="Arial"/>
                <w:sz w:val="14"/>
                <w:szCs w:val="14"/>
                <w:color w:val="auto"/>
              </w:rPr>
              <w:t>Approval of Proposal No. 2 requires the affirmative vote of a majority of the votes properly cast on the proposal at the Annual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40" w:type="dxa"/>
            <w:vAlign w:val="bottom"/>
          </w:tcPr>
          <w:p>
            <w:pPr>
              <w:ind w:left="100"/>
              <w:spacing w:after="0"/>
              <w:rPr>
                <w:sz w:val="20"/>
                <w:szCs w:val="20"/>
                <w:color w:val="auto"/>
              </w:rPr>
            </w:pPr>
            <w:r>
              <w:rPr>
                <w:rFonts w:ascii="Arial" w:cs="Arial" w:eastAsia="Arial" w:hAnsi="Arial"/>
                <w:sz w:val="14"/>
                <w:szCs w:val="14"/>
                <w:color w:val="auto"/>
              </w:rPr>
              <w:t>Meeting, where a quorum is present. Abstentions will have no effect on the outcome of the proposal, and there should be no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40" w:type="dxa"/>
            <w:vAlign w:val="bottom"/>
          </w:tcPr>
          <w:p>
            <w:pPr>
              <w:ind w:left="100"/>
              <w:spacing w:after="0"/>
              <w:rPr>
                <w:sz w:val="20"/>
                <w:szCs w:val="20"/>
                <w:color w:val="auto"/>
              </w:rPr>
            </w:pPr>
            <w:r>
              <w:rPr>
                <w:rFonts w:ascii="Arial" w:cs="Arial" w:eastAsia="Arial" w:hAnsi="Arial"/>
                <w:sz w:val="14"/>
                <w:szCs w:val="14"/>
                <w:color w:val="auto"/>
              </w:rPr>
              <w:t>broker non-votes on the proposal because brokers have discretion to vote on this proposal, as described in more detail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40" w:type="dxa"/>
            <w:vAlign w:val="bottom"/>
          </w:tcPr>
          <w:p>
            <w:pPr>
              <w:ind w:left="100"/>
              <w:spacing w:after="0"/>
              <w:rPr>
                <w:sz w:val="20"/>
                <w:szCs w:val="20"/>
                <w:color w:val="auto"/>
              </w:rPr>
            </w:pPr>
            <w:r>
              <w:rPr>
                <w:rFonts w:ascii="Arial" w:cs="Arial" w:eastAsia="Arial" w:hAnsi="Arial"/>
                <w:sz w:val="14"/>
                <w:szCs w:val="14"/>
                <w:color w:val="auto"/>
              </w:rPr>
              <w:t>elsewhere in this proxy statement.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5080</wp:posOffset>
            </wp:positionV>
            <wp:extent cx="59664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-1297305</wp:posOffset>
            </wp:positionV>
            <wp:extent cx="282575" cy="283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-560070</wp:posOffset>
            </wp:positionV>
            <wp:extent cx="282575" cy="2825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p>
      <w:pPr>
        <w:spacing w:after="0" w:line="53"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4834BA"/>
        </w:rPr>
        <w:t>Advisory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-78740</wp:posOffset>
            </wp:positionV>
            <wp:extent cx="282575" cy="2825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15" w:lineRule="exact"/>
        <w:rPr>
          <w:sz w:val="20"/>
          <w:szCs w:val="20"/>
          <w:color w:val="auto"/>
        </w:rPr>
      </w:pPr>
    </w:p>
    <w:p>
      <w:pPr>
        <w:ind w:left="1960"/>
        <w:spacing w:after="0" w:line="279" w:lineRule="auto"/>
        <w:rPr>
          <w:sz w:val="20"/>
          <w:szCs w:val="20"/>
          <w:color w:val="auto"/>
        </w:rPr>
      </w:pPr>
      <w:r>
        <w:rPr>
          <w:rFonts w:ascii="Arial" w:cs="Arial" w:eastAsia="Arial" w:hAnsi="Arial"/>
          <w:sz w:val="14"/>
          <w:szCs w:val="14"/>
          <w:color w:val="auto"/>
        </w:rPr>
        <w:t>Approval of Proposal No. 3 requires the affirmative vote of a majority of the votes properly cast on the proposal at the Annual Meeting, where a quorum is present. However, the say-on-pay vote is only advisory in nature and has no binding effect on us or the Board. Nevertheless, the Board will consider the result of the say-on-pay vote when making future compensation decisions regarding our named executive officers. Abstentions and broker non-votes will have no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-10795</wp:posOffset>
            </wp:positionV>
            <wp:extent cx="59664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7" w:lineRule="exact"/>
        <w:rPr>
          <w:sz w:val="20"/>
          <w:szCs w:val="20"/>
          <w:color w:val="auto"/>
        </w:rPr>
      </w:pPr>
    </w:p>
    <w:p>
      <w:pPr>
        <w:ind w:left="1960" w:right="340"/>
        <w:spacing w:after="0" w:line="282" w:lineRule="auto"/>
        <w:rPr>
          <w:sz w:val="20"/>
          <w:szCs w:val="20"/>
          <w:color w:val="auto"/>
        </w:rPr>
      </w:pPr>
      <w:r>
        <w:rPr>
          <w:rFonts w:ascii="Arial" w:cs="Arial" w:eastAsia="Arial" w:hAnsi="Arial"/>
          <w:sz w:val="14"/>
          <w:szCs w:val="14"/>
          <w:b w:val="1"/>
          <w:bCs w:val="1"/>
          <w:color w:val="4834BA"/>
        </w:rPr>
        <w:t>Approve the Amendment of our Certificate of Incorporation to Clarify the Voting Standard that Applies to Certain Future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-216535</wp:posOffset>
            </wp:positionV>
            <wp:extent cx="282575" cy="283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ind w:left="1960" w:right="140"/>
        <w:spacing w:after="0" w:line="292" w:lineRule="auto"/>
        <w:rPr>
          <w:sz w:val="20"/>
          <w:szCs w:val="20"/>
          <w:color w:val="auto"/>
        </w:rPr>
      </w:pPr>
      <w:r>
        <w:rPr>
          <w:rFonts w:ascii="Arial" w:cs="Arial" w:eastAsia="Arial" w:hAnsi="Arial"/>
          <w:sz w:val="14"/>
          <w:szCs w:val="14"/>
          <w:color w:val="auto"/>
        </w:rPr>
        <w:t>Approval of Proposal No. 4 requires the affirmative vote of not less than 66</w:t>
      </w:r>
      <w:r>
        <w:rPr>
          <w:rFonts w:ascii="Arial" w:cs="Arial" w:eastAsia="Arial" w:hAnsi="Arial"/>
          <w:sz w:val="8"/>
          <w:szCs w:val="8"/>
          <w:color w:val="auto"/>
        </w:rPr>
        <w:t>2</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of the outstanding shares of capital stock entitled to vote thereon and the affirmative vote of not less than 66</w:t>
      </w:r>
      <w:r>
        <w:rPr>
          <w:rFonts w:ascii="Arial" w:cs="Arial" w:eastAsia="Arial" w:hAnsi="Arial"/>
          <w:sz w:val="8"/>
          <w:szCs w:val="8"/>
          <w:color w:val="auto"/>
        </w:rPr>
        <w:t>2</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of the outstanding shares of each class entitled to vote thereon as a class. Abstentions and broker non-votes will have the same effect as votes AGAINST Proposal No.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46" w:lineRule="exact"/>
        <w:rPr>
          <w:sz w:val="20"/>
          <w:szCs w:val="20"/>
          <w:color w:val="auto"/>
        </w:rPr>
      </w:pPr>
    </w:p>
    <w:p>
      <w:pPr>
        <w:sectPr>
          <w:pgSz w:w="11900" w:h="16838" w:orient="portrait"/>
          <w:cols w:equalWidth="0" w:num="2">
            <w:col w:w="9960" w:space="60"/>
            <w:col w:w="60"/>
          </w:cols>
          <w:pgMar w:left="580" w:top="97" w:right="1239" w:bottom="1440" w:gutter="0" w:footer="0" w:header="0"/>
          <w:type w:val="continuous"/>
        </w:sectPr>
      </w:pPr>
    </w:p>
    <w:tbl>
      <w:tblPr>
        <w:tblLayout w:type="fixed"/>
        <w:tblInd w:w="660" w:type="dxa"/>
        <w:tblCellMar>
          <w:top w:w="0" w:type="dxa"/>
          <w:left w:w="0" w:type="dxa"/>
          <w:bottom w:w="0" w:type="dxa"/>
          <w:right w:w="0" w:type="dxa"/>
        </w:tblCellMar>
      </w:tblPr>
      <w:tr>
        <w:trPr>
          <w:trHeight w:val="202"/>
        </w:trPr>
        <w:tc>
          <w:tcPr>
            <w:tcW w:w="9240" w:type="dxa"/>
            <w:vAlign w:val="bottom"/>
            <w:tcBorders>
              <w:top w:val="single" w:sz="8" w:color="auto"/>
            </w:tcBorders>
          </w:tcPr>
          <w:p>
            <w:pPr>
              <w:ind w:left="1300"/>
              <w:spacing w:after="0"/>
              <w:rPr>
                <w:sz w:val="20"/>
                <w:szCs w:val="20"/>
                <w:color w:val="auto"/>
              </w:rPr>
            </w:pPr>
            <w:r>
              <w:rPr>
                <w:rFonts w:ascii="Arial" w:cs="Arial" w:eastAsia="Arial" w:hAnsi="Arial"/>
                <w:sz w:val="14"/>
                <w:szCs w:val="14"/>
                <w:b w:val="1"/>
                <w:bCs w:val="1"/>
                <w:color w:val="4834BA"/>
              </w:rPr>
              <w:t>Approve the 2026 equity incentive plan.</w:t>
            </w:r>
          </w:p>
        </w:tc>
        <w:tc>
          <w:tcPr>
            <w:tcW w:w="1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w:t>
            </w:r>
          </w:p>
        </w:tc>
      </w:tr>
      <w:tr>
        <w:trPr>
          <w:trHeight w:val="175"/>
        </w:trPr>
        <w:tc>
          <w:tcPr>
            <w:tcW w:w="9240" w:type="dxa"/>
            <w:vAlign w:val="bottom"/>
          </w:tcPr>
          <w:p>
            <w:pPr>
              <w:ind w:left="1300"/>
              <w:spacing w:after="0"/>
              <w:rPr>
                <w:sz w:val="20"/>
                <w:szCs w:val="20"/>
                <w:color w:val="auto"/>
              </w:rPr>
            </w:pPr>
            <w:r>
              <w:rPr>
                <w:rFonts w:ascii="Arial" w:cs="Arial" w:eastAsia="Arial" w:hAnsi="Arial"/>
                <w:sz w:val="14"/>
                <w:szCs w:val="14"/>
                <w:color w:val="auto"/>
              </w:rPr>
              <w:t>Approval of Proposal No. 5 requires the affirmative vote of a majority of the votes properly cast on the proposal at the Annual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924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Meeting, where a quorum is present. Abstentions and broker non-votes will have no effect on the outcome of the proposal.</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9240" w:type="dxa"/>
            <w:vAlign w:val="bottom"/>
          </w:tcPr>
          <w:p>
            <w:pPr>
              <w:ind w:left="1300"/>
              <w:spacing w:after="0"/>
              <w:rPr>
                <w:sz w:val="20"/>
                <w:szCs w:val="20"/>
                <w:color w:val="auto"/>
              </w:rPr>
            </w:pPr>
            <w:r>
              <w:rPr>
                <w:rFonts w:ascii="Arial" w:cs="Arial" w:eastAsia="Arial" w:hAnsi="Arial"/>
                <w:sz w:val="14"/>
                <w:szCs w:val="14"/>
                <w:b w:val="1"/>
                <w:bCs w:val="1"/>
                <w:color w:val="4834BA"/>
              </w:rPr>
              <w:t>Approve an adjournment of the Annual Meeting.</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175"/>
        </w:trPr>
        <w:tc>
          <w:tcPr>
            <w:tcW w:w="9240" w:type="dxa"/>
            <w:vAlign w:val="bottom"/>
          </w:tcPr>
          <w:p>
            <w:pPr>
              <w:ind w:left="1300"/>
              <w:spacing w:after="0"/>
              <w:rPr>
                <w:sz w:val="20"/>
                <w:szCs w:val="20"/>
                <w:color w:val="auto"/>
              </w:rPr>
            </w:pPr>
            <w:r>
              <w:rPr>
                <w:rFonts w:ascii="Arial" w:cs="Arial" w:eastAsia="Arial" w:hAnsi="Arial"/>
                <w:sz w:val="14"/>
                <w:szCs w:val="14"/>
                <w:color w:val="auto"/>
              </w:rPr>
              <w:t>Approval of Proposal No. 6 requires the affirmative vote of a majority of the votes properly cast on the proposal at the Annual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9240" w:type="dxa"/>
            <w:vAlign w:val="bottom"/>
          </w:tcPr>
          <w:p>
            <w:pPr>
              <w:ind w:left="1300"/>
              <w:spacing w:after="0"/>
              <w:rPr>
                <w:sz w:val="20"/>
                <w:szCs w:val="20"/>
                <w:color w:val="auto"/>
              </w:rPr>
            </w:pPr>
            <w:r>
              <w:rPr>
                <w:rFonts w:ascii="Arial" w:cs="Arial" w:eastAsia="Arial" w:hAnsi="Arial"/>
                <w:sz w:val="14"/>
                <w:szCs w:val="14"/>
                <w:color w:val="auto"/>
              </w:rPr>
              <w:t>Meeting, where a quorum is present. Abstentions and broker non-votes will have no effect on the outcome of the proposal.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-714375</wp:posOffset>
            </wp:positionV>
            <wp:extent cx="282575" cy="2825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-328930</wp:posOffset>
            </wp:positionV>
            <wp:extent cx="282575" cy="2825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Broker Non-Votes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your shares are held in an account at a bank, broker, or other nominee, that bank, broker, or other nominee may vote your shares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Proposal No. 2 as a “routine” matter, but will not be permitted to vote your shares of common stock with respect to Proposals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No. 1, 3, 4, 5 and 6 unless you provide instructions as to how your shares should be voted (where no instructions are provided, this is</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“broker non-vote”). If an executed proxy card is returned by a bank, broker, or other nominee holding shares which indicates that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bank, broker, or other nominee has not received voting instructions to vote on Proposals No. 1, 3, 4, 5 and 6 the shares will not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 considered to have been voted with respect to such matters, but will be considered present for the purposes of establishing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quorum for the Annual Meeting. Your bank, broker, or other nominee will vote your shares of common stock on Proposals No. 1, 3, 4,</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 and 6, only if you provide instructions on how to vote by following the instructions they provide to you. Accordingly, we encourage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to vote promptly, even if you plan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216535</wp:posOffset>
            </wp:positionV>
            <wp:extent cx="334010" cy="162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52"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72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Voting Instructions</w:t>
      </w:r>
    </w:p>
    <w:p>
      <w:pPr>
        <w:spacing w:after="0" w:line="127" w:lineRule="exact"/>
        <w:rPr>
          <w:sz w:val="20"/>
          <w:szCs w:val="20"/>
          <w:color w:val="auto"/>
        </w:rPr>
      </w:pPr>
    </w:p>
    <w:p>
      <w:pPr>
        <w:ind w:left="660" w:right="60"/>
        <w:spacing w:after="0" w:line="256" w:lineRule="auto"/>
        <w:rPr>
          <w:sz w:val="20"/>
          <w:szCs w:val="20"/>
          <w:color w:val="auto"/>
        </w:rPr>
      </w:pPr>
      <w:r>
        <w:rPr>
          <w:rFonts w:ascii="Arial" w:cs="Arial" w:eastAsia="Arial" w:hAnsi="Arial"/>
          <w:sz w:val="16"/>
          <w:szCs w:val="16"/>
          <w:color w:val="auto"/>
        </w:rPr>
        <w:t>If you timely vote by telephone or Internet or by marking, signing, and returning your proxy card (if you have received one), the persons named as proxies will follow your instructions. If no choice is indicated on the proxy card, but the proxy card is signed, the shares will be voted as the Board recommends on each proposal. Many banks, brokers and other nominees have a process for their beneficial owners to provide instructions via telephone or the Internet. The voting form that you receive from your bank, broker, or other nominee will contain instructions for voting.</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Depending on how you hold your shares, you may vote in one of the following ways:</w:t>
      </w:r>
    </w:p>
    <w:p>
      <w:pPr>
        <w:spacing w:after="0" w:line="113"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6"/>
          <w:szCs w:val="16"/>
          <w:b w:val="1"/>
          <w:bCs w:val="1"/>
          <w:color w:val="auto"/>
        </w:rPr>
        <w:t xml:space="preserve">Stockholders of Record: </w:t>
      </w:r>
      <w:r>
        <w:rPr>
          <w:rFonts w:ascii="Arial" w:cs="Arial" w:eastAsia="Arial" w:hAnsi="Arial"/>
          <w:sz w:val="16"/>
          <w:szCs w:val="16"/>
          <w:color w:val="auto"/>
        </w:rPr>
        <w:t>You may vote by proxy or over the Internet or by telephone. Please follow the instructions provided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Notice of Internet Availability of Proxy Materials or proxy card (if you received one), or available at </w:t>
      </w:r>
      <w:r>
        <w:rPr>
          <w:rFonts w:ascii="Arial" w:cs="Arial" w:eastAsia="Arial" w:hAnsi="Arial"/>
          <w:sz w:val="16"/>
          <w:szCs w:val="16"/>
          <w:i w:val="1"/>
          <w:iCs w:val="1"/>
          <w:color w:val="auto"/>
        </w:rPr>
        <w:t>proxyvote.com</w:t>
      </w:r>
      <w:r>
        <w:rPr>
          <w:rFonts w:ascii="Arial" w:cs="Arial" w:eastAsia="Arial" w:hAnsi="Arial"/>
          <w:sz w:val="16"/>
          <w:szCs w:val="16"/>
          <w:color w:val="auto"/>
        </w:rPr>
        <w:t>. You may also vote by signing and returning your proxy card, if you received one, in the prepaid envelope, or by attending the Annual Meeting and voting in person.</w:t>
      </w:r>
    </w:p>
    <w:p>
      <w:pPr>
        <w:spacing w:after="0" w:line="70" w:lineRule="exact"/>
        <w:rPr>
          <w:sz w:val="20"/>
          <w:szCs w:val="20"/>
          <w:color w:val="auto"/>
        </w:rPr>
      </w:pPr>
    </w:p>
    <w:p>
      <w:pPr>
        <w:ind w:left="660" w:right="20"/>
        <w:spacing w:after="0" w:line="259" w:lineRule="auto"/>
        <w:rPr>
          <w:sz w:val="20"/>
          <w:szCs w:val="20"/>
          <w:color w:val="auto"/>
        </w:rPr>
      </w:pPr>
      <w:r>
        <w:rPr>
          <w:rFonts w:ascii="Arial" w:cs="Arial" w:eastAsia="Arial" w:hAnsi="Arial"/>
          <w:sz w:val="16"/>
          <w:szCs w:val="16"/>
          <w:b w:val="1"/>
          <w:bCs w:val="1"/>
          <w:color w:val="auto"/>
        </w:rPr>
        <w:t xml:space="preserve">Beneficial Stockholders: </w:t>
      </w:r>
      <w:r>
        <w:rPr>
          <w:rFonts w:ascii="Arial" w:cs="Arial" w:eastAsia="Arial" w:hAnsi="Arial"/>
          <w:sz w:val="16"/>
          <w:szCs w:val="16"/>
          <w:color w:val="auto"/>
        </w:rPr>
        <w:t>Your bank, broker, or other nominee will provide you with a voting instruction card for you to use to instruct</w:t>
      </w:r>
      <w:r>
        <w:rPr>
          <w:rFonts w:ascii="Arial" w:cs="Arial" w:eastAsia="Arial" w:hAnsi="Arial"/>
          <w:sz w:val="16"/>
          <w:szCs w:val="16"/>
          <w:b w:val="1"/>
          <w:bCs w:val="1"/>
          <w:color w:val="auto"/>
        </w:rPr>
        <w:t xml:space="preserve"> </w:t>
      </w:r>
      <w:r>
        <w:rPr>
          <w:rFonts w:ascii="Arial" w:cs="Arial" w:eastAsia="Arial" w:hAnsi="Arial"/>
          <w:sz w:val="16"/>
          <w:szCs w:val="16"/>
          <w:color w:val="auto"/>
        </w:rPr>
        <w:t>them on how to vote your shares. Check the instructions provided by your bank, broker, or other nominee to see which options are available to you. Since you are not the stockholder of record, you may not vote your shares in person at the Annual Meeting unless you request and obtain a legal proxy.</w:t>
      </w:r>
    </w:p>
    <w:p>
      <w:pPr>
        <w:spacing w:after="0" w:line="70" w:lineRule="exact"/>
        <w:rPr>
          <w:sz w:val="20"/>
          <w:szCs w:val="20"/>
          <w:color w:val="auto"/>
        </w:rPr>
      </w:pPr>
    </w:p>
    <w:p>
      <w:pPr>
        <w:ind w:left="660" w:right="280"/>
        <w:spacing w:after="0" w:line="266" w:lineRule="auto"/>
        <w:rPr>
          <w:sz w:val="20"/>
          <w:szCs w:val="20"/>
          <w:color w:val="auto"/>
        </w:rPr>
      </w:pPr>
      <w:r>
        <w:rPr>
          <w:rFonts w:ascii="Arial" w:cs="Arial" w:eastAsia="Arial" w:hAnsi="Arial"/>
          <w:sz w:val="16"/>
          <w:szCs w:val="16"/>
          <w:color w:val="auto"/>
        </w:rPr>
        <w:t>Votes submitted by telephone or via the Internet must be received by 11:59 p.m. Eastern Time on June 3, 2026. Submitting your proxy by telephone or via the Internet will not affect your right to vote in person should you decide to attend the Annual Meeting in person.</w:t>
      </w:r>
    </w:p>
    <w:p>
      <w:pPr>
        <w:spacing w:after="0" w:line="63" w:lineRule="exact"/>
        <w:rPr>
          <w:sz w:val="20"/>
          <w:szCs w:val="20"/>
          <w:color w:val="auto"/>
        </w:rPr>
      </w:pPr>
    </w:p>
    <w:p>
      <w:pPr>
        <w:ind w:left="660" w:right="140"/>
        <w:spacing w:after="0" w:line="254" w:lineRule="auto"/>
        <w:rPr>
          <w:sz w:val="20"/>
          <w:szCs w:val="20"/>
          <w:color w:val="auto"/>
        </w:rPr>
      </w:pPr>
      <w:r>
        <w:rPr>
          <w:rFonts w:ascii="Arial" w:cs="Arial" w:eastAsia="Arial" w:hAnsi="Arial"/>
          <w:sz w:val="16"/>
          <w:szCs w:val="16"/>
          <w:color w:val="auto"/>
        </w:rPr>
        <w:t>If you are a stockholder of record, you may revoke your proxy and/or change your vote at any time before the polls close at the Annual Meeting by returning a later-dated proxy card, by voting again by Internet or telephone as more fully detailed on your proxy card, by delivering written instructions to the Corporate Secretary at our principal executive offices before the Annual Meeting, or by attending and voting at the Annual Meeting. Attendance at the Annual Meeting will not in and of itself cause your previously voted proxy to be revoked unless you vote again at the Annual Meeting. If your shares are held in an account at a bank, broker, or other nominee, you should contact your bank, broker, or other nominee for instructions regarding how to change your vote.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Electronic Availability of Proxy Statement and 2025 Annual Report</w:t>
      </w:r>
    </w:p>
    <w:p>
      <w:pPr>
        <w:spacing w:after="0" w:line="127"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As permitted by SEC rules, we are making this Proxy Statement and our 2025 Annual Report available to stockholders electronically via the Internet at www.proxyvote.com. On or about April 24, 2026, we will begin mailing to our stockholders a Notice of Internet Availability of Proxy Materials containing instructions on how to access this Proxy Statement and our 2025 Annual Report and how to vote online. You will need the control number printed on your Notice, proxy card or voting instruction card in order to vote. If you received that notice, you will not receive a printed copy of the proxy materials unless you request it by following the instructions for requesting such materials contained in the notice. We are constantly focused on improving the ways people connect with information, and believe that providing our proxy materials over the internet increases the ease and ability of our stockholders to connect with the information they need while reducing the environmental impact of our Annual Meeting. A list of stockholders of record will be available during the Annual Meeting for inspection by stockholders for any legally valid purpose relating to the Annual Meeting. In addition, for the ten days prior to the Annual Meeting, the list will be available for examination by any stockholders of record for a legally valid purpose by contacting our Corporate Secretary at our corporate headquarters.</w:t>
      </w:r>
    </w:p>
    <w:p>
      <w:pPr>
        <w:spacing w:after="0" w:line="79" w:lineRule="exact"/>
        <w:rPr>
          <w:sz w:val="20"/>
          <w:szCs w:val="20"/>
          <w:color w:val="auto"/>
        </w:rPr>
      </w:pPr>
    </w:p>
    <w:p>
      <w:pPr>
        <w:ind w:left="660" w:right="20"/>
        <w:spacing w:after="0" w:line="259" w:lineRule="auto"/>
        <w:rPr>
          <w:sz w:val="20"/>
          <w:szCs w:val="20"/>
          <w:color w:val="auto"/>
        </w:rPr>
      </w:pPr>
      <w:r>
        <w:rPr>
          <w:rFonts w:ascii="Arial" w:cs="Arial" w:eastAsia="Arial" w:hAnsi="Arial"/>
          <w:sz w:val="16"/>
          <w:szCs w:val="16"/>
          <w:color w:val="auto"/>
        </w:rPr>
        <w:t>If you received that notice, you will not receive a printed copy of the proxy materials unless you request it by following the instructions for requesting such materials contained in the notice. We are constantly focused on improving the ways people connect with information, and believe that providing our proxy materials over the internet increases the ease and ability of our stockholders to connect with the information they need while reducing the environmental impact of our Annual Meeting.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Solicitation of Proxies</w:t>
      </w:r>
    </w:p>
    <w:p>
      <w:pPr>
        <w:spacing w:after="0" w:line="127" w:lineRule="exact"/>
        <w:rPr>
          <w:sz w:val="20"/>
          <w:szCs w:val="20"/>
          <w:color w:val="auto"/>
        </w:rPr>
      </w:pPr>
    </w:p>
    <w:p>
      <w:pPr>
        <w:ind w:left="660" w:right="340"/>
        <w:spacing w:after="0" w:line="265" w:lineRule="auto"/>
        <w:rPr>
          <w:sz w:val="20"/>
          <w:szCs w:val="20"/>
          <w:color w:val="auto"/>
        </w:rPr>
      </w:pPr>
      <w:r>
        <w:rPr>
          <w:rFonts w:ascii="Arial" w:cs="Arial" w:eastAsia="Arial" w:hAnsi="Arial"/>
          <w:sz w:val="16"/>
          <w:szCs w:val="16"/>
          <w:color w:val="auto"/>
        </w:rPr>
        <w:t>We will bear the cost of soliciting proxies. In addition to soliciting stockholders by mail, we will request banks, brokers and other nominees holding shares of our common stock beneficially owned by others to obtain proxies from the beneficial owners and will reimburse them for their reasonable, out-of-pocket costs for forwarding proxy and solicitation material to the beneficial owners of common stock. We may use the services of our officers, directors, and employees to solicit proxies, personally or by telephone, without additional compensation.</w:t>
      </w:r>
    </w:p>
    <w:p>
      <w:pPr>
        <w:spacing w:after="0" w:line="78" w:lineRule="exact"/>
        <w:rPr>
          <w:sz w:val="20"/>
          <w:szCs w:val="20"/>
          <w:color w:val="auto"/>
        </w:rPr>
      </w:pPr>
    </w:p>
    <w:p>
      <w:pPr>
        <w:ind w:left="660" w:right="260"/>
        <w:spacing w:after="0" w:line="269" w:lineRule="auto"/>
        <w:rPr>
          <w:sz w:val="20"/>
          <w:szCs w:val="20"/>
          <w:color w:val="auto"/>
        </w:rPr>
      </w:pPr>
      <w:r>
        <w:rPr>
          <w:rFonts w:ascii="Arial" w:cs="Arial" w:eastAsia="Arial" w:hAnsi="Arial"/>
          <w:sz w:val="16"/>
          <w:szCs w:val="16"/>
          <w:color w:val="auto"/>
        </w:rPr>
        <w:t>We also have engaged Alliance Advisors, LLC (“Alliance Advisors”), a proxy solicitation firm, to assist us in soliciting proxies. The Company will be responsible for the full cost of Alliance Advisors’ services. Alliance Advisors will solicit proxies on behalf of the Company from individuals, brokers, bank nominees and other institutional holders in the same manner described above. The fees that will be paid to Alliance Advisors are anticipated to be approximately $20,000. The Company has also agreed to indemnify Alliance Advisors against certain claims.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Voting Results</w:t>
      </w:r>
    </w:p>
    <w:p>
      <w:pPr>
        <w:spacing w:after="0" w:line="127"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color w:val="auto"/>
        </w:rPr>
        <w:t>We will announce preliminary voting results at the Annual Meeting. We will report final results on a Current Report on Form 8-K to be filed with the SEC within 4 business days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193675</wp:posOffset>
            </wp:positionV>
            <wp:extent cx="334010" cy="1625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16" w:lineRule="exact"/>
        <w:rPr>
          <w:sz w:val="20"/>
          <w:szCs w:val="20"/>
          <w:color w:val="auto"/>
        </w:rPr>
      </w:pPr>
    </w:p>
    <w:p>
      <w:pPr>
        <w:ind w:left="4620"/>
        <w:spacing w:after="0"/>
        <w:tabs>
          <w:tab w:leader="none" w:pos="8620" w:val="left"/>
        </w:tabs>
        <w:rPr>
          <w:sz w:val="20"/>
          <w:szCs w:val="20"/>
          <w:color w:val="auto"/>
        </w:rPr>
      </w:pPr>
      <w:r>
        <w:rPr>
          <w:rFonts w:ascii="Arial" w:cs="Arial" w:eastAsia="Arial" w:hAnsi="Arial"/>
          <w:sz w:val="14"/>
          <w:szCs w:val="14"/>
          <w:color w:val="auto"/>
        </w:rPr>
        <w:t>»  73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0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9321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NON-GAAP FINANCIAL MEASURES — NON-GAAP OPERATING INCOME (LOSS)</w:t>
      </w:r>
    </w:p>
    <w:p>
      <w:pPr>
        <w:spacing w:after="0" w:line="127" w:lineRule="exact"/>
        <w:rPr>
          <w:sz w:val="20"/>
          <w:szCs w:val="20"/>
          <w:color w:val="auto"/>
        </w:rPr>
      </w:pPr>
    </w:p>
    <w:p>
      <w:pPr>
        <w:ind w:left="660" w:right="120"/>
        <w:spacing w:after="0" w:line="265" w:lineRule="auto"/>
        <w:rPr>
          <w:sz w:val="20"/>
          <w:szCs w:val="20"/>
          <w:color w:val="auto"/>
        </w:rPr>
      </w:pPr>
      <w:r>
        <w:rPr>
          <w:rFonts w:ascii="Arial" w:cs="Arial" w:eastAsia="Arial" w:hAnsi="Arial"/>
          <w:sz w:val="16"/>
          <w:szCs w:val="16"/>
          <w:color w:val="auto"/>
        </w:rPr>
        <w:t>As discussed in this Proxy Statement, in 2025 we established annual cash incentive plan targets for achieving certain operational milestones, one of which was a specified target of non-GAAP Operating Income/Operating Loss. Non-GAAP Operating Income/​ Operating Loss is calculated as our GAAP operating income (loss) as defined under generally accepted accounting principles, excluding, share-based compensation expense, non-recurring expenses (income), non-recurring tax expenses (benefits), expenses associated with discontinued products, non-cash expenses associated with discontinued products, and amortization expense which are all required under GAAP.</w:t>
      </w:r>
    </w:p>
    <w:p>
      <w:pPr>
        <w:spacing w:after="0" w:line="77" w:lineRule="exact"/>
        <w:rPr>
          <w:sz w:val="20"/>
          <w:szCs w:val="20"/>
          <w:color w:val="auto"/>
        </w:rPr>
      </w:pPr>
    </w:p>
    <w:p>
      <w:pPr>
        <w:ind w:left="660" w:right="60"/>
        <w:spacing w:after="0" w:line="261" w:lineRule="auto"/>
        <w:rPr>
          <w:sz w:val="20"/>
          <w:szCs w:val="20"/>
          <w:color w:val="auto"/>
        </w:rPr>
      </w:pPr>
      <w:r>
        <w:rPr>
          <w:rFonts w:ascii="Arial" w:cs="Arial" w:eastAsia="Arial" w:hAnsi="Arial"/>
          <w:sz w:val="16"/>
          <w:szCs w:val="16"/>
          <w:color w:val="auto"/>
        </w:rPr>
        <w:t>AOI management uses these non-GAAP financial measures internally to understand, manage and evaluate the business and establish its operational goals, review its operations on a period-to-period basis, for compensation evaluations, to measure performance, and for budgeting and resource allocation. AOI management believes it is useful for the Company and investors to review, as applicable, both GAAP information and non-GAAP financial measures to help assess the performance of AOI’s continuing business and to evaluate AOI’s future prospects. These non-GAAP measures, when reviewed together with the GAAP financial information, provide additional transparency and information for comparison and analysis of operating performance and trends. These non-GAAP measures exclude certain items to facilitate management’s review of the comparability of our core operating results on a period-to-period basis. Because the Company’s non-GAAP financial measures are not calculated in accordance with GAAP, they may not necessarily be comparable to similarly titled measures employed by other companies. These non-GAAP financial measures should not be considered in isolation or as a substitute for the comparable GAAP measures and should be read only in conjunction with the Company’s consolidated financial results as presented in accordance with GAAP.</w:t>
      </w:r>
    </w:p>
    <w:p>
      <w:pPr>
        <w:spacing w:after="0" w:line="81"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APPLIED OPTOELECTRONICS, INC.</w:t>
      </w:r>
    </w:p>
    <w:p>
      <w:pPr>
        <w:spacing w:after="0" w:line="113"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RECONCILIATION OF GAAP AND NON-GAAP FINANCIAL INFORMATION</w:t>
      </w:r>
    </w:p>
    <w:p>
      <w:pPr>
        <w:spacing w:after="0" w:line="127"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(unaudited, in thousands)</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42"/>
        </w:trPr>
        <w:tc>
          <w:tcPr>
            <w:tcW w:w="7440" w:type="dxa"/>
            <w:vAlign w:val="bottom"/>
            <w:shd w:val="clear" w:color="auto" w:fill="4834BA"/>
          </w:tcPr>
          <w:p>
            <w:pPr>
              <w:spacing w:after="0"/>
              <w:rPr>
                <w:sz w:val="21"/>
                <w:szCs w:val="21"/>
                <w:color w:val="auto"/>
              </w:rPr>
            </w:pPr>
          </w:p>
        </w:tc>
        <w:tc>
          <w:tcPr>
            <w:tcW w:w="1960" w:type="dxa"/>
            <w:vAlign w:val="bottom"/>
            <w:shd w:val="clear" w:color="auto" w:fill="4834BA"/>
          </w:tcPr>
          <w:p>
            <w:pPr>
              <w:jc w:val="right"/>
              <w:ind w:right="19"/>
              <w:spacing w:after="0"/>
              <w:rPr>
                <w:sz w:val="20"/>
                <w:szCs w:val="20"/>
                <w:color w:val="auto"/>
              </w:rPr>
            </w:pPr>
            <w:r>
              <w:rPr>
                <w:rFonts w:ascii="Arial" w:cs="Arial" w:eastAsia="Arial" w:hAnsi="Arial"/>
                <w:sz w:val="16"/>
                <w:szCs w:val="16"/>
                <w:b w:val="1"/>
                <w:bCs w:val="1"/>
                <w:color w:val="FFFFFF"/>
              </w:rPr>
              <w:t>Twelve Months Ended</w:t>
            </w:r>
          </w:p>
        </w:tc>
      </w:tr>
      <w:tr>
        <w:trPr>
          <w:trHeight w:val="230"/>
        </w:trPr>
        <w:tc>
          <w:tcPr>
            <w:tcW w:w="7440" w:type="dxa"/>
            <w:vAlign w:val="bottom"/>
            <w:shd w:val="clear" w:color="auto" w:fill="4834BA"/>
          </w:tcPr>
          <w:p>
            <w:pPr>
              <w:spacing w:after="0"/>
              <w:rPr>
                <w:sz w:val="20"/>
                <w:szCs w:val="20"/>
                <w:color w:val="auto"/>
              </w:rPr>
            </w:pPr>
          </w:p>
        </w:tc>
        <w:tc>
          <w:tcPr>
            <w:tcW w:w="1960" w:type="dxa"/>
            <w:vAlign w:val="bottom"/>
            <w:shd w:val="clear" w:color="auto" w:fill="4834BA"/>
          </w:tcPr>
          <w:p>
            <w:pPr>
              <w:jc w:val="right"/>
              <w:spacing w:after="0"/>
              <w:rPr>
                <w:sz w:val="20"/>
                <w:szCs w:val="20"/>
                <w:color w:val="auto"/>
              </w:rPr>
            </w:pPr>
            <w:r>
              <w:rPr>
                <w:rFonts w:ascii="Arial" w:cs="Arial" w:eastAsia="Arial" w:hAnsi="Arial"/>
                <w:sz w:val="16"/>
                <w:szCs w:val="16"/>
                <w:b w:val="1"/>
                <w:bCs w:val="1"/>
                <w:color w:val="FFFFFF"/>
              </w:rPr>
              <w:t>December 31, 2025</w:t>
            </w:r>
          </w:p>
        </w:tc>
      </w:tr>
      <w:tr>
        <w:trPr>
          <w:trHeight w:val="215"/>
        </w:trPr>
        <w:tc>
          <w:tcPr>
            <w:tcW w:w="7440" w:type="dxa"/>
            <w:vAlign w:val="bottom"/>
          </w:tcPr>
          <w:p>
            <w:pPr>
              <w:ind w:left="80"/>
              <w:spacing w:after="0"/>
              <w:rPr>
                <w:sz w:val="20"/>
                <w:szCs w:val="20"/>
                <w:color w:val="auto"/>
              </w:rPr>
            </w:pPr>
            <w:r>
              <w:rPr>
                <w:rFonts w:ascii="Arial" w:cs="Arial" w:eastAsia="Arial" w:hAnsi="Arial"/>
                <w:sz w:val="16"/>
                <w:szCs w:val="16"/>
                <w:b w:val="1"/>
                <w:bCs w:val="1"/>
                <w:color w:val="auto"/>
                <w:w w:val="98"/>
              </w:rPr>
              <w:t>Reconciliation of GAAP operating loss attributable to Applied Optoelectronics, Inc. and non-GAAP</w:t>
            </w:r>
          </w:p>
        </w:tc>
        <w:tc>
          <w:tcPr>
            <w:tcW w:w="1960" w:type="dxa"/>
            <w:vAlign w:val="bottom"/>
          </w:tcPr>
          <w:p>
            <w:pPr>
              <w:spacing w:after="0"/>
              <w:rPr>
                <w:sz w:val="18"/>
                <w:szCs w:val="18"/>
                <w:color w:val="auto"/>
              </w:rPr>
            </w:pPr>
          </w:p>
        </w:tc>
      </w:tr>
      <w:tr>
        <w:trPr>
          <w:trHeight w:val="223"/>
        </w:trPr>
        <w:tc>
          <w:tcPr>
            <w:tcW w:w="7440" w:type="dxa"/>
            <w:vAlign w:val="bottom"/>
          </w:tcPr>
          <w:p>
            <w:pPr>
              <w:ind w:left="80"/>
              <w:spacing w:after="0"/>
              <w:rPr>
                <w:sz w:val="20"/>
                <w:szCs w:val="20"/>
                <w:color w:val="auto"/>
              </w:rPr>
            </w:pPr>
            <w:r>
              <w:rPr>
                <w:rFonts w:ascii="Arial" w:cs="Arial" w:eastAsia="Arial" w:hAnsi="Arial"/>
                <w:sz w:val="16"/>
                <w:szCs w:val="16"/>
                <w:b w:val="1"/>
                <w:bCs w:val="1"/>
                <w:color w:val="auto"/>
              </w:rPr>
              <w:t>operating loss</w:t>
            </w:r>
          </w:p>
        </w:tc>
        <w:tc>
          <w:tcPr>
            <w:tcW w:w="1960" w:type="dxa"/>
            <w:vAlign w:val="bottom"/>
          </w:tcPr>
          <w:p>
            <w:pPr>
              <w:spacing w:after="0"/>
              <w:rPr>
                <w:sz w:val="19"/>
                <w:szCs w:val="19"/>
                <w:color w:val="auto"/>
              </w:rPr>
            </w:pPr>
          </w:p>
        </w:tc>
      </w:tr>
      <w:tr>
        <w:trPr>
          <w:trHeight w:val="21"/>
        </w:trPr>
        <w:tc>
          <w:tcPr>
            <w:tcW w:w="7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55"/>
        </w:trPr>
        <w:tc>
          <w:tcPr>
            <w:tcW w:w="74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GAAP Operating Income (Loss)</w:t>
            </w:r>
          </w:p>
        </w:tc>
        <w:tc>
          <w:tcPr>
            <w:tcW w:w="19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(54,602)</w:t>
            </w:r>
          </w:p>
        </w:tc>
      </w:tr>
      <w:tr>
        <w:trPr>
          <w:trHeight w:val="221"/>
        </w:trPr>
        <w:tc>
          <w:tcPr>
            <w:tcW w:w="744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auto"/>
              </w:rPr>
              <w:t>Share-based compensation expense</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11,710</w:t>
            </w:r>
          </w:p>
        </w:tc>
      </w:tr>
      <w:tr>
        <w:trPr>
          <w:trHeight w:val="29"/>
        </w:trPr>
        <w:tc>
          <w:tcPr>
            <w:tcW w:w="7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5"/>
        </w:trPr>
        <w:tc>
          <w:tcPr>
            <w:tcW w:w="744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Expense associated with discontinued products</w:t>
            </w:r>
          </w:p>
        </w:tc>
        <w:tc>
          <w:tcPr>
            <w:tcW w:w="19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3,501</w:t>
            </w:r>
          </w:p>
        </w:tc>
      </w:tr>
      <w:tr>
        <w:trPr>
          <w:trHeight w:val="221"/>
        </w:trPr>
        <w:tc>
          <w:tcPr>
            <w:tcW w:w="744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auto"/>
              </w:rPr>
              <w:t>Non-cash expenses associated with discontinued products</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4,268</w:t>
            </w:r>
          </w:p>
        </w:tc>
      </w:tr>
      <w:tr>
        <w:trPr>
          <w:trHeight w:val="29"/>
        </w:trPr>
        <w:tc>
          <w:tcPr>
            <w:tcW w:w="7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5"/>
        </w:trPr>
        <w:tc>
          <w:tcPr>
            <w:tcW w:w="744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Amortization expense</w:t>
            </w:r>
          </w:p>
        </w:tc>
        <w:tc>
          <w:tcPr>
            <w:tcW w:w="19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447</w:t>
            </w:r>
          </w:p>
        </w:tc>
      </w:tr>
      <w:tr>
        <w:trPr>
          <w:trHeight w:val="221"/>
        </w:trPr>
        <w:tc>
          <w:tcPr>
            <w:tcW w:w="744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auto"/>
              </w:rPr>
              <w:t>Non-recurring expense</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1,691</w:t>
            </w:r>
          </w:p>
        </w:tc>
      </w:tr>
      <w:tr>
        <w:trPr>
          <w:trHeight w:val="29"/>
        </w:trPr>
        <w:tc>
          <w:tcPr>
            <w:tcW w:w="7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5"/>
        </w:trPr>
        <w:tc>
          <w:tcPr>
            <w:tcW w:w="74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Non-GAAP Operating Income (Loss)</w:t>
            </w:r>
          </w:p>
        </w:tc>
        <w:tc>
          <w:tcPr>
            <w:tcW w:w="19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 (32,984)</w:t>
            </w:r>
          </w:p>
        </w:tc>
      </w:tr>
      <w:tr>
        <w:trPr>
          <w:trHeight w:val="221"/>
        </w:trPr>
        <w:tc>
          <w:tcPr>
            <w:tcW w:w="744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auto"/>
              </w:rPr>
              <w:t>Less cash bonus</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(21,814)</w:t>
            </w:r>
          </w:p>
        </w:tc>
      </w:tr>
      <w:tr>
        <w:trPr>
          <w:trHeight w:val="29"/>
        </w:trPr>
        <w:tc>
          <w:tcPr>
            <w:tcW w:w="7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Non-GAAP Operating Loss, excluding cash bonus and related tax</w:t>
            </w:r>
          </w:p>
        </w:tc>
        <w:tc>
          <w:tcPr>
            <w:tcW w:w="19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 (11,170)</w:t>
            </w:r>
          </w:p>
        </w:tc>
      </w:tr>
      <w:tr>
        <w:trPr>
          <w:trHeight w:val="20"/>
        </w:trPr>
        <w:tc>
          <w:tcPr>
            <w:tcW w:w="74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1971675</wp:posOffset>
            </wp:positionV>
            <wp:extent cx="334010" cy="162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20"/>
        <w:spacing w:after="0"/>
        <w:tabs>
          <w:tab w:leader="none" w:pos="1400" w:val="left"/>
        </w:tabs>
        <w:rPr>
          <w:sz w:val="20"/>
          <w:szCs w:val="20"/>
          <w:color w:val="auto"/>
        </w:rPr>
      </w:pPr>
      <w:r>
        <w:rPr>
          <w:rFonts w:ascii="Arial" w:cs="Arial" w:eastAsia="Arial" w:hAnsi="Arial"/>
          <w:sz w:val="14"/>
          <w:szCs w:val="14"/>
          <w:color w:val="auto"/>
        </w:rPr>
        <w:t>»  A-1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0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321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VOTE CLARIFICATION AMENDMENT TO</w:t>
      </w:r>
    </w:p>
    <w:p>
      <w:pPr>
        <w:spacing w:after="0" w:line="3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97" w:lineRule="exact"/>
        <w:rPr>
          <w:sz w:val="20"/>
          <w:szCs w:val="20"/>
          <w:color w:val="auto"/>
        </w:rPr>
      </w:pPr>
    </w:p>
    <w:p>
      <w:pPr>
        <w:ind w:left="1020" w:hanging="354"/>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 the second sentence of ARTICLE IV as follows:</w:t>
      </w:r>
    </w:p>
    <w:p>
      <w:pPr>
        <w:spacing w:after="0" w:line="126" w:lineRule="exact"/>
        <w:rPr>
          <w:rFonts w:ascii="Arial" w:cs="Arial" w:eastAsia="Arial" w:hAnsi="Arial"/>
          <w:sz w:val="16"/>
          <w:szCs w:val="16"/>
          <w:color w:val="auto"/>
        </w:rPr>
      </w:pPr>
    </w:p>
    <w:p>
      <w:pPr>
        <w:ind w:left="1020"/>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w:t>
      </w:r>
      <w:r>
        <w:rPr>
          <w:rFonts w:ascii="Arial" w:cs="Arial" w:eastAsia="Arial" w:hAnsi="Arial"/>
          <w:sz w:val="16"/>
          <w:szCs w:val="16"/>
          <w:color w:val="auto"/>
          <w:strike w:val="1"/>
        </w:rPr>
        <w:t>the affirmative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vote of the holders of </w:t>
      </w:r>
      <w:r>
        <w:rPr>
          <w:rFonts w:ascii="Arial" w:cs="Arial" w:eastAsia="Arial" w:hAnsi="Arial"/>
          <w:sz w:val="16"/>
          <w:szCs w:val="16"/>
          <w:color w:val="auto"/>
          <w:strike w:val="1"/>
        </w:rPr>
        <w:t>a majority</w:t>
      </w:r>
      <w:r>
        <w:rPr>
          <w:rFonts w:ascii="Arial" w:cs="Arial" w:eastAsia="Arial" w:hAnsi="Arial"/>
          <w:sz w:val="16"/>
          <w:szCs w:val="16"/>
          <w:color w:val="auto"/>
        </w:rPr>
        <w:t xml:space="preserve"> </w:t>
      </w:r>
      <w:r>
        <w:rPr>
          <w:rFonts w:ascii="Arial" w:cs="Arial" w:eastAsia="Arial" w:hAnsi="Arial"/>
          <w:sz w:val="16"/>
          <w:szCs w:val="16"/>
          <w:color w:val="auto"/>
          <w:strike w:val="1"/>
        </w:rPr>
        <w:t>in voting power of the outstanding shares of</w:t>
      </w:r>
      <w:r>
        <w:rPr>
          <w:rFonts w:ascii="Arial" w:cs="Arial" w:eastAsia="Arial" w:hAnsi="Arial"/>
          <w:sz w:val="16"/>
          <w:szCs w:val="16"/>
          <w:color w:val="auto"/>
        </w:rPr>
        <w:t xml:space="preserve"> the capital stock of the Corporation </w:t>
      </w:r>
      <w:r>
        <w:rPr>
          <w:rFonts w:ascii="Arial" w:cs="Arial" w:eastAsia="Arial" w:hAnsi="Arial"/>
          <w:sz w:val="16"/>
          <w:szCs w:val="16"/>
          <w:u w:val="single" w:color="auto"/>
          <w:color w:val="auto"/>
        </w:rPr>
        <w:t>entitled to vote thereon, voting as a single class,</w:t>
      </w:r>
      <w:r>
        <w:rPr>
          <w:rFonts w:ascii="Arial" w:cs="Arial" w:eastAsia="Arial" w:hAnsi="Arial"/>
          <w:sz w:val="16"/>
          <w:szCs w:val="16"/>
          <w:color w:val="auto"/>
        </w:rPr>
        <w:t xml:space="preserve"> irrespective of the provisions of Section 242(b)(2) of the DGCL.</w:t>
      </w:r>
    </w:p>
    <w:p>
      <w:pPr>
        <w:spacing w:after="0" w:line="62" w:lineRule="exact"/>
        <w:rPr>
          <w:rFonts w:ascii="Arial" w:cs="Arial" w:eastAsia="Arial" w:hAnsi="Arial"/>
          <w:sz w:val="16"/>
          <w:szCs w:val="16"/>
          <w:color w:val="auto"/>
        </w:rPr>
      </w:pPr>
    </w:p>
    <w:p>
      <w:pPr>
        <w:ind w:left="1020" w:hanging="354"/>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 ARTICLE X of the Certificate as follows:</w:t>
      </w:r>
    </w:p>
    <w:p>
      <w:pPr>
        <w:spacing w:after="0" w:line="127"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X</w:t>
      </w:r>
    </w:p>
    <w:p>
      <w:pPr>
        <w:spacing w:after="0" w:line="31" w:lineRule="exact"/>
        <w:rPr>
          <w:sz w:val="20"/>
          <w:szCs w:val="20"/>
          <w:color w:val="auto"/>
        </w:rPr>
      </w:pPr>
    </w:p>
    <w:p>
      <w:pPr>
        <w:jc w:val="center"/>
        <w:ind w:right="-659"/>
        <w:spacing w:after="0"/>
        <w:rPr>
          <w:sz w:val="20"/>
          <w:szCs w:val="20"/>
          <w:color w:val="auto"/>
        </w:rPr>
      </w:pPr>
      <w:r>
        <w:rPr>
          <w:rFonts w:ascii="Arial" w:cs="Arial" w:eastAsia="Arial" w:hAnsi="Arial"/>
          <w:sz w:val="16"/>
          <w:szCs w:val="16"/>
          <w:color w:val="auto"/>
        </w:rPr>
        <w:t>AMENDMENT OF CERTIFICATE OF INCORPORATION</w:t>
      </w:r>
    </w:p>
    <w:p>
      <w:pPr>
        <w:spacing w:after="0" w:line="101" w:lineRule="exact"/>
        <w:rPr>
          <w:sz w:val="20"/>
          <w:szCs w:val="20"/>
          <w:color w:val="auto"/>
        </w:rPr>
      </w:pPr>
    </w:p>
    <w:p>
      <w:pPr>
        <w:ind w:left="1020" w:right="100"/>
        <w:spacing w:after="0" w:line="290" w:lineRule="auto"/>
        <w:rPr>
          <w:sz w:val="20"/>
          <w:szCs w:val="20"/>
          <w:color w:val="auto"/>
        </w:rPr>
      </w:pPr>
      <w:r>
        <w:rPr>
          <w:rFonts w:ascii="Arial" w:cs="Arial" w:eastAsia="Arial" w:hAnsi="Arial"/>
          <w:sz w:val="15"/>
          <w:szCs w:val="15"/>
          <w:color w:val="auto"/>
        </w:rPr>
        <w:t xml:space="preserve">The Corporation reserves the right to amend or repeal this Certificate in the manner now or hereafter prescribed by statute and this Certificate, and all rights conferred upon stockholders herein are granted subject to this reservation. </w:t>
      </w:r>
      <w:r>
        <w:rPr>
          <w:rFonts w:ascii="Arial" w:cs="Arial" w:eastAsia="Arial" w:hAnsi="Arial"/>
          <w:sz w:val="15"/>
          <w:szCs w:val="15"/>
          <w:color w:val="auto"/>
          <w:strike w:val="1"/>
        </w:rPr>
        <w:t>Whenever any vote of</w:t>
      </w:r>
    </w:p>
    <w:p>
      <w:pPr>
        <w:ind w:left="1020" w:right="100"/>
        <w:spacing w:after="0" w:line="257" w:lineRule="auto"/>
        <w:rPr>
          <w:sz w:val="20"/>
          <w:szCs w:val="20"/>
          <w:color w:val="auto"/>
        </w:rPr>
      </w:pPr>
      <w:r>
        <w:rPr>
          <w:rFonts w:ascii="Arial" w:cs="Arial" w:eastAsia="Arial" w:hAnsi="Arial"/>
          <w:sz w:val="16"/>
          <w:szCs w:val="16"/>
          <w:color w:val="auto"/>
          <w:strike w:val="1"/>
        </w:rPr>
        <w:t xml:space="preserve">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provided, however, that </w:t>
      </w:r>
      <w:r>
        <w:rPr>
          <w:rFonts w:ascii="Arial" w:cs="Arial" w:eastAsia="Arial" w:hAnsi="Arial"/>
          <w:sz w:val="16"/>
          <w:szCs w:val="16"/>
          <w:u w:val="single" w:color="auto"/>
          <w:color w:val="auto"/>
          <w:strike w:val="1"/>
        </w:rPr>
        <w:t>Notwithstanding any other</w:t>
      </w:r>
    </w:p>
    <w:p>
      <w:pPr>
        <w:ind w:left="1020" w:right="240"/>
        <w:spacing w:after="0" w:line="243" w:lineRule="auto"/>
        <w:rPr>
          <w:sz w:val="20"/>
          <w:szCs w:val="20"/>
          <w:color w:val="auto"/>
        </w:rPr>
      </w:pPr>
      <w:r>
        <w:rPr>
          <w:rFonts w:ascii="Arial" w:cs="Arial" w:eastAsia="Arial" w:hAnsi="Arial"/>
          <w:sz w:val="15"/>
          <w:szCs w:val="15"/>
          <w:u w:val="single" w:color="auto"/>
          <w:color w:val="auto"/>
        </w:rPr>
        <w:t>provisions of this Certificate or any provision of law that might otherwise permit a lesser vote or no vote, but in addition to any affirmative vote required by law or by this Certificate,</w:t>
      </w:r>
      <w:r>
        <w:rPr>
          <w:rFonts w:ascii="Arial" w:cs="Arial" w:eastAsia="Arial" w:hAnsi="Arial"/>
          <w:sz w:val="15"/>
          <w:szCs w:val="15"/>
          <w:color w:val="auto"/>
        </w:rPr>
        <w:t xml:space="preserve"> the affirmative vote of not less than 66</w:t>
      </w:r>
      <w:r>
        <w:rPr>
          <w:rFonts w:ascii="Arial" w:cs="Arial" w:eastAsia="Arial" w:hAnsi="Arial"/>
          <w:sz w:val="20"/>
          <w:szCs w:val="20"/>
          <w:color w:val="auto"/>
          <w:vertAlign w:val="superscript"/>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outstanding shares of</w:t>
      </w:r>
    </w:p>
    <w:p>
      <w:pPr>
        <w:ind w:left="1020"/>
        <w:spacing w:after="0" w:line="206" w:lineRule="auto"/>
        <w:rPr>
          <w:sz w:val="20"/>
          <w:szCs w:val="20"/>
          <w:color w:val="auto"/>
        </w:rPr>
      </w:pPr>
      <w:r>
        <w:rPr>
          <w:rFonts w:ascii="Arial" w:cs="Arial" w:eastAsia="Arial" w:hAnsi="Arial"/>
          <w:sz w:val="16"/>
          <w:szCs w:val="16"/>
          <w:color w:val="auto"/>
        </w:rPr>
        <w:t xml:space="preserve">capital stock entitled to vote </w:t>
      </w:r>
      <w:r>
        <w:rPr>
          <w:rFonts w:ascii="Arial" w:cs="Arial" w:eastAsia="Arial" w:hAnsi="Arial"/>
          <w:sz w:val="16"/>
          <w:szCs w:val="16"/>
          <w:u w:val="single" w:color="auto"/>
          <w:color w:val="auto"/>
        </w:rPr>
        <w:t>there</w:t>
      </w:r>
      <w:r>
        <w:rPr>
          <w:rFonts w:ascii="Arial" w:cs="Arial" w:eastAsia="Arial" w:hAnsi="Arial"/>
          <w:sz w:val="16"/>
          <w:szCs w:val="16"/>
          <w:color w:val="auto"/>
        </w:rPr>
        <w:t xml:space="preserve">on </w:t>
      </w:r>
      <w:r>
        <w:rPr>
          <w:rFonts w:ascii="Arial" w:cs="Arial" w:eastAsia="Arial" w:hAnsi="Arial"/>
          <w:sz w:val="16"/>
          <w:szCs w:val="16"/>
          <w:color w:val="auto"/>
          <w:strike w:val="1"/>
        </w:rPr>
        <w:t>such amendment or repeal</w:t>
      </w:r>
      <w:r>
        <w:rPr>
          <w:rFonts w:ascii="Arial" w:cs="Arial" w:eastAsia="Arial" w:hAnsi="Arial"/>
          <w:sz w:val="16"/>
          <w:szCs w:val="16"/>
          <w:color w:val="auto"/>
        </w:rPr>
        <w:t>, and the affirmative vote of not less than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w:t>
      </w:r>
    </w:p>
    <w:p>
      <w:pPr>
        <w:ind w:left="1020" w:right="200"/>
        <w:spacing w:after="0" w:line="269" w:lineRule="auto"/>
        <w:rPr>
          <w:sz w:val="20"/>
          <w:szCs w:val="20"/>
          <w:color w:val="auto"/>
        </w:rPr>
      </w:pPr>
      <w:r>
        <w:rPr>
          <w:rFonts w:ascii="Arial" w:cs="Arial" w:eastAsia="Arial" w:hAnsi="Arial"/>
          <w:sz w:val="15"/>
          <w:szCs w:val="15"/>
          <w:color w:val="auto"/>
        </w:rPr>
        <w:t xml:space="preserve">outstanding shares of each class entitled to vote thereon as a class, shall be required to amend or repeal any provision of Article V, Article VI, Article VII, Article VIII, Article IX or Article X of this Certificate. </w:t>
      </w:r>
      <w:r>
        <w:rPr>
          <w:rFonts w:ascii="Arial" w:cs="Arial" w:eastAsia="Arial" w:hAnsi="Arial"/>
          <w:sz w:val="15"/>
          <w:szCs w:val="15"/>
          <w:u w:val="single" w:color="auto"/>
          <w:color w:val="auto"/>
        </w:rPr>
        <w:t>For the avoidance of doubt, the Corporation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6"/>
          <w:szCs w:val="16"/>
          <w:u w:val="single" w:color="auto"/>
          <w:color w:val="auto"/>
        </w:rPr>
        <w:t>expressly elects to be governed by the provisions of Section 242(d)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3836035</wp:posOffset>
            </wp:positionV>
            <wp:extent cx="334010" cy="1625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0"/>
        <w:spacing w:after="0"/>
        <w:tabs>
          <w:tab w:leader="none" w:pos="8620" w:val="left"/>
        </w:tabs>
        <w:rPr>
          <w:sz w:val="20"/>
          <w:szCs w:val="20"/>
          <w:color w:val="auto"/>
        </w:rPr>
      </w:pPr>
      <w:r>
        <w:rPr>
          <w:rFonts w:ascii="Arial" w:cs="Arial" w:eastAsia="Arial" w:hAnsi="Arial"/>
          <w:sz w:val="14"/>
          <w:szCs w:val="14"/>
          <w:color w:val="auto"/>
        </w:rPr>
        <w:t>»  B-1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32170" cy="5740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9321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APPLIED OPTOELECTRONICS, INC.</w:t>
      </w:r>
    </w:p>
    <w:p>
      <w:pPr>
        <w:spacing w:after="0" w:line="3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2026 EQUITY INCENTIVE PLAN</w:t>
      </w:r>
    </w:p>
    <w:p>
      <w:pPr>
        <w:spacing w:after="0" w:line="97"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Adopted by the Board on April 13, 2026</w:t>
      </w:r>
    </w:p>
    <w:p>
      <w:pPr>
        <w:spacing w:after="0" w:line="31" w:lineRule="exact"/>
        <w:rPr>
          <w:sz w:val="20"/>
          <w:szCs w:val="20"/>
          <w:color w:val="auto"/>
        </w:rPr>
      </w:pPr>
    </w:p>
    <w:p>
      <w:pPr>
        <w:jc w:val="center"/>
        <w:ind w:right="-659"/>
        <w:spacing w:after="0"/>
        <w:rPr>
          <w:sz w:val="20"/>
          <w:szCs w:val="20"/>
          <w:color w:val="auto"/>
        </w:rPr>
      </w:pPr>
      <w:r>
        <w:rPr>
          <w:rFonts w:ascii="Arial" w:cs="Arial" w:eastAsia="Arial" w:hAnsi="Arial"/>
          <w:sz w:val="16"/>
          <w:szCs w:val="16"/>
          <w:color w:val="auto"/>
        </w:rPr>
        <w:t>Approved by the Company’s stockholders on [            ], 2026</w:t>
      </w:r>
    </w:p>
    <w:p>
      <w:pPr>
        <w:spacing w:after="0" w:line="114" w:lineRule="exact"/>
        <w:rPr>
          <w:sz w:val="20"/>
          <w:szCs w:val="20"/>
          <w:color w:val="auto"/>
        </w:rPr>
      </w:pPr>
    </w:p>
    <w:p>
      <w:pPr>
        <w:ind w:left="1020" w:right="20" w:hanging="354"/>
        <w:spacing w:after="0" w:line="265"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Purpose of the Plan</w:t>
      </w:r>
      <w:r>
        <w:rPr>
          <w:rFonts w:ascii="Arial" w:cs="Arial" w:eastAsia="Arial" w:hAnsi="Arial"/>
          <w:sz w:val="16"/>
          <w:szCs w:val="16"/>
          <w:color w:val="auto"/>
        </w:rPr>
        <w:t>. The Company has adopted the 2026 Equity Incentive Plan to attract, retain and motivate individual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providers to the Company and its Related Companies by providing them the opportunity to acquire an equity interest in the Company and align their interests and efforts with the long-term interests of the Company’s stockholders. This Plan is intended to be the successor to the Prior Plans, and no new awards may be granted under the Prior Plans from and after the Effective Date.</w:t>
      </w:r>
    </w:p>
    <w:p>
      <w:pPr>
        <w:spacing w:after="0" w:line="77" w:lineRule="exact"/>
        <w:rPr>
          <w:rFonts w:ascii="Arial" w:cs="Arial" w:eastAsia="Arial" w:hAnsi="Arial"/>
          <w:sz w:val="16"/>
          <w:szCs w:val="16"/>
          <w:color w:val="auto"/>
        </w:rPr>
      </w:pPr>
    </w:p>
    <w:p>
      <w:pPr>
        <w:ind w:left="1020" w:hanging="354"/>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Capitalized terms used but not otherwise defined in the Plan have the meanings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020" w:hanging="354"/>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Administration</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380" w:right="540" w:hanging="354"/>
        <w:spacing w:after="0" w:line="275" w:lineRule="auto"/>
        <w:tabs>
          <w:tab w:leader="none" w:pos="1380" w:val="left"/>
        </w:tabs>
        <w:numPr>
          <w:ilvl w:val="1"/>
          <w:numId w:val="54"/>
        </w:numPr>
        <w:rPr>
          <w:rFonts w:ascii="Arial" w:cs="Arial" w:eastAsia="Arial" w:hAnsi="Arial"/>
          <w:sz w:val="16"/>
          <w:szCs w:val="16"/>
          <w:color w:val="auto"/>
        </w:rPr>
      </w:pPr>
      <w:r>
        <w:rPr>
          <w:rFonts w:ascii="Arial" w:cs="Arial" w:eastAsia="Arial" w:hAnsi="Arial"/>
          <w:sz w:val="16"/>
          <w:szCs w:val="16"/>
          <w:b w:val="1"/>
          <w:bCs w:val="1"/>
          <w:color w:val="auto"/>
        </w:rPr>
        <w:t>Administrator</w:t>
      </w:r>
      <w:r>
        <w:rPr>
          <w:rFonts w:ascii="Arial" w:cs="Arial" w:eastAsia="Arial" w:hAnsi="Arial"/>
          <w:sz w:val="16"/>
          <w:szCs w:val="16"/>
          <w:color w:val="auto"/>
        </w:rPr>
        <w:t>. The Administrator is the Board or a Committee duly authorized by the Board (for so long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 is extended). The Board and any Committee may have concurrent authority to administer the Plan. All references in the Plan to the “Administrator” will be to the Board or the authorized Committee.</w:t>
      </w:r>
    </w:p>
    <w:p>
      <w:pPr>
        <w:spacing w:after="0" w:line="69" w:lineRule="exact"/>
        <w:rPr>
          <w:rFonts w:ascii="Arial" w:cs="Arial" w:eastAsia="Arial" w:hAnsi="Arial"/>
          <w:sz w:val="16"/>
          <w:szCs w:val="16"/>
          <w:color w:val="auto"/>
        </w:rPr>
      </w:pPr>
    </w:p>
    <w:p>
      <w:pPr>
        <w:ind w:left="1740" w:right="40" w:hanging="354"/>
        <w:spacing w:after="0" w:line="287" w:lineRule="auto"/>
        <w:tabs>
          <w:tab w:leader="none" w:pos="1740" w:val="left"/>
        </w:tabs>
        <w:numPr>
          <w:ilvl w:val="2"/>
          <w:numId w:val="54"/>
        </w:numPr>
        <w:rPr>
          <w:rFonts w:ascii="Arial" w:cs="Arial" w:eastAsia="Arial" w:hAnsi="Arial"/>
          <w:sz w:val="15"/>
          <w:szCs w:val="15"/>
          <w:color w:val="auto"/>
        </w:rPr>
      </w:pPr>
      <w:r>
        <w:rPr>
          <w:rFonts w:ascii="Arial" w:cs="Arial" w:eastAsia="Arial" w:hAnsi="Arial"/>
          <w:sz w:val="15"/>
          <w:szCs w:val="15"/>
          <w:b w:val="1"/>
          <w:bCs w:val="1"/>
          <w:color w:val="auto"/>
        </w:rPr>
        <w:t>Rule 16b-3</w:t>
      </w:r>
      <w:r>
        <w:rPr>
          <w:rFonts w:ascii="Arial" w:cs="Arial" w:eastAsia="Arial" w:hAnsi="Arial"/>
          <w:sz w:val="15"/>
          <w:szCs w:val="15"/>
          <w:color w:val="auto"/>
        </w:rPr>
        <w:t>. To the extent desirable to qualify transactions hereunder as exempt under Rule 16b-3, those transactions</w:t>
      </w:r>
      <w:r>
        <w:rPr>
          <w:rFonts w:ascii="Arial" w:cs="Arial" w:eastAsia="Arial" w:hAnsi="Arial"/>
          <w:sz w:val="15"/>
          <w:szCs w:val="15"/>
          <w:b w:val="1"/>
          <w:bCs w:val="1"/>
          <w:color w:val="auto"/>
        </w:rPr>
        <w:t xml:space="preserve"> </w:t>
      </w:r>
      <w:r>
        <w:rPr>
          <w:rFonts w:ascii="Arial" w:cs="Arial" w:eastAsia="Arial" w:hAnsi="Arial"/>
          <w:sz w:val="15"/>
          <w:szCs w:val="15"/>
          <w:color w:val="auto"/>
        </w:rPr>
        <w:t>will be structured to satisfy the requirements for exemption under Rule 16b-3, including that the Award will be granted by the Board or a Committee that consists solely of two or more non-employee directors (as determined under Rule 16b-3(b)(3)) and thereafter any action establishing or modifying the terms of the Award will be approved by the Board or a Committee meeting such requirements to the extent necessary for such exemption to remain available.</w:t>
      </w:r>
    </w:p>
    <w:p>
      <w:pPr>
        <w:spacing w:after="0" w:line="62" w:lineRule="exact"/>
        <w:rPr>
          <w:rFonts w:ascii="Arial" w:cs="Arial" w:eastAsia="Arial" w:hAnsi="Arial"/>
          <w:sz w:val="15"/>
          <w:szCs w:val="15"/>
          <w:color w:val="auto"/>
        </w:rPr>
      </w:pPr>
    </w:p>
    <w:p>
      <w:pPr>
        <w:ind w:left="1740" w:hanging="354"/>
        <w:spacing w:after="0" w:line="261" w:lineRule="auto"/>
        <w:tabs>
          <w:tab w:leader="none" w:pos="1740" w:val="left"/>
        </w:tabs>
        <w:numPr>
          <w:ilvl w:val="2"/>
          <w:numId w:val="54"/>
        </w:numPr>
        <w:rPr>
          <w:rFonts w:ascii="Arial" w:cs="Arial" w:eastAsia="Arial" w:hAnsi="Arial"/>
          <w:sz w:val="16"/>
          <w:szCs w:val="16"/>
          <w:color w:val="auto"/>
        </w:rPr>
      </w:pPr>
      <w:r>
        <w:rPr>
          <w:rFonts w:ascii="Arial" w:cs="Arial" w:eastAsia="Arial" w:hAnsi="Arial"/>
          <w:sz w:val="16"/>
          <w:szCs w:val="16"/>
          <w:b w:val="1"/>
          <w:bCs w:val="1"/>
          <w:color w:val="auto"/>
        </w:rPr>
        <w:t>Delegation to an Officer</w:t>
      </w:r>
      <w:r>
        <w:rPr>
          <w:rFonts w:ascii="Arial" w:cs="Arial" w:eastAsia="Arial" w:hAnsi="Arial"/>
          <w:sz w:val="16"/>
          <w:szCs w:val="16"/>
          <w:color w:val="auto"/>
        </w:rPr>
        <w:t>. The Administrator may delegate to one or more officers of the Company the authority to do</w:t>
      </w:r>
      <w:r>
        <w:rPr>
          <w:rFonts w:ascii="Arial" w:cs="Arial" w:eastAsia="Arial" w:hAnsi="Arial"/>
          <w:sz w:val="16"/>
          <w:szCs w:val="16"/>
          <w:b w:val="1"/>
          <w:bCs w:val="1"/>
          <w:color w:val="auto"/>
        </w:rPr>
        <w:t xml:space="preserve"> </w:t>
      </w:r>
      <w:r>
        <w:rPr>
          <w:rFonts w:ascii="Arial" w:cs="Arial" w:eastAsia="Arial" w:hAnsi="Arial"/>
          <w:sz w:val="16"/>
          <w:szCs w:val="16"/>
          <w:color w:val="auto"/>
        </w:rPr>
        <w:t>one or both of the following: (A) designate employees who are not officers of the Company or members of the Board to be recipients of Options and SARs (and, to the extent permitted by Applicable Law, other types of Awards) and, to the extent permitted by Applicable Law, the terms thereof, and (B) determine the number of shares of Common Stock to be subject to the Awards granted to those employees; provided, however, that the resolutions or charter adopted by the Board or any Committee evidencing such delegation will specify the information required under Section 157(c) of the Delaware General Corporation Law (or any successor statute or rule thereto), including the total number of shares of Common Stock that may be subject to the Awards granted by the officer and that the officer may not grant an Award to themselves. Any such Awards will be granted on the applicable form of Award Agreement most recently approved for use by the Administrator, unless otherwise provided in the resolutions approving the delegation authority. Notwithstanding anything to the contrary herein, the Administrator may not delegate to an officer who is acting solely in the capacity of an officer (and not also as a member of the Board) the authority to determine Fair Market Value of a share of Common Stock for purposes of determining the exercise price of Options or SARs.</w:t>
      </w:r>
    </w:p>
    <w:p>
      <w:pPr>
        <w:spacing w:after="0" w:line="85" w:lineRule="exact"/>
        <w:rPr>
          <w:rFonts w:ascii="Arial" w:cs="Arial" w:eastAsia="Arial" w:hAnsi="Arial"/>
          <w:sz w:val="16"/>
          <w:szCs w:val="16"/>
          <w:color w:val="auto"/>
        </w:rPr>
      </w:pPr>
    </w:p>
    <w:p>
      <w:pPr>
        <w:ind w:left="1380" w:right="160" w:hanging="354"/>
        <w:spacing w:after="0" w:line="304" w:lineRule="auto"/>
        <w:tabs>
          <w:tab w:leader="none" w:pos="1380" w:val="left"/>
        </w:tabs>
        <w:numPr>
          <w:ilvl w:val="1"/>
          <w:numId w:val="54"/>
        </w:numPr>
        <w:rPr>
          <w:rFonts w:ascii="Arial" w:cs="Arial" w:eastAsia="Arial" w:hAnsi="Arial"/>
          <w:sz w:val="16"/>
          <w:szCs w:val="16"/>
          <w:color w:val="auto"/>
        </w:rPr>
      </w:pPr>
      <w:r>
        <w:rPr>
          <w:rFonts w:ascii="Arial" w:cs="Arial" w:eastAsia="Arial" w:hAnsi="Arial"/>
          <w:sz w:val="16"/>
          <w:szCs w:val="16"/>
          <w:b w:val="1"/>
          <w:bCs w:val="1"/>
          <w:color w:val="auto"/>
        </w:rPr>
        <w:t>Powers of Administrator</w:t>
      </w:r>
      <w:r>
        <w:rPr>
          <w:rFonts w:ascii="Arial" w:cs="Arial" w:eastAsia="Arial" w:hAnsi="Arial"/>
          <w:sz w:val="16"/>
          <w:szCs w:val="16"/>
          <w:color w:val="auto"/>
        </w:rPr>
        <w:t>. The Administrator will have full power and exclusive authority, subject to the terms of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under Applicable Law, and the delegation of authority from the Board, to:</w:t>
      </w:r>
    </w:p>
    <w:p>
      <w:pPr>
        <w:spacing w:after="0" w:line="33" w:lineRule="exact"/>
        <w:rPr>
          <w:rFonts w:ascii="Arial" w:cs="Arial" w:eastAsia="Arial" w:hAnsi="Arial"/>
          <w:sz w:val="16"/>
          <w:szCs w:val="16"/>
          <w:color w:val="auto"/>
        </w:rPr>
      </w:pPr>
    </w:p>
    <w:p>
      <w:pPr>
        <w:ind w:left="1740" w:hanging="354"/>
        <w:spacing w:after="0"/>
        <w:tabs>
          <w:tab w:leader="none" w:pos="1740" w:val="left"/>
        </w:tabs>
        <w:numPr>
          <w:ilvl w:val="2"/>
          <w:numId w:val="54"/>
        </w:numPr>
        <w:rPr>
          <w:rFonts w:ascii="Arial" w:cs="Arial" w:eastAsia="Arial" w:hAnsi="Arial"/>
          <w:sz w:val="16"/>
          <w:szCs w:val="16"/>
          <w:color w:val="auto"/>
        </w:rPr>
      </w:pPr>
      <w:r>
        <w:rPr>
          <w:rFonts w:ascii="Arial" w:cs="Arial" w:eastAsia="Arial" w:hAnsi="Arial"/>
          <w:sz w:val="16"/>
          <w:szCs w:val="16"/>
          <w:color w:val="auto"/>
        </w:rPr>
        <w:t>select which Eligible Persons will be granted Awards;</w:t>
      </w:r>
    </w:p>
    <w:p>
      <w:pPr>
        <w:spacing w:after="0" w:line="126" w:lineRule="exact"/>
        <w:rPr>
          <w:rFonts w:ascii="Arial" w:cs="Arial" w:eastAsia="Arial" w:hAnsi="Arial"/>
          <w:sz w:val="16"/>
          <w:szCs w:val="16"/>
          <w:color w:val="auto"/>
        </w:rPr>
      </w:pPr>
    </w:p>
    <w:p>
      <w:pPr>
        <w:ind w:left="1740" w:right="140" w:hanging="354"/>
        <w:spacing w:after="0" w:line="295" w:lineRule="auto"/>
        <w:tabs>
          <w:tab w:leader="none" w:pos="1740" w:val="left"/>
        </w:tabs>
        <w:numPr>
          <w:ilvl w:val="2"/>
          <w:numId w:val="54"/>
        </w:numPr>
        <w:rPr>
          <w:rFonts w:ascii="Arial" w:cs="Arial" w:eastAsia="Arial" w:hAnsi="Arial"/>
          <w:sz w:val="15"/>
          <w:szCs w:val="15"/>
          <w:color w:val="auto"/>
        </w:rPr>
      </w:pPr>
      <w:r>
        <w:rPr>
          <w:rFonts w:ascii="Arial" w:cs="Arial" w:eastAsia="Arial" w:hAnsi="Arial"/>
          <w:sz w:val="15"/>
          <w:szCs w:val="15"/>
          <w:color w:val="auto"/>
        </w:rPr>
        <w:t>determine the type of Awards, number of shares of Common Stock covered by the Award, the Fair Market Value of the shares, and the terms and conditions of that Award (including when the Award may vest, be exercised (including prior to vesting), or settled, whether the Award carries rights to dividends or Dividend Equivalents, and whether the Award is to be settled in cash, shares of Common Stock, or other property) and the form of Award Agreement;</w:t>
      </w:r>
    </w:p>
    <w:p>
      <w:pPr>
        <w:spacing w:after="0" w:line="56" w:lineRule="exact"/>
        <w:rPr>
          <w:rFonts w:ascii="Arial" w:cs="Arial" w:eastAsia="Arial" w:hAnsi="Arial"/>
          <w:sz w:val="15"/>
          <w:szCs w:val="15"/>
          <w:color w:val="auto"/>
        </w:rPr>
      </w:pPr>
    </w:p>
    <w:p>
      <w:pPr>
        <w:ind w:left="1740" w:right="500" w:hanging="354"/>
        <w:spacing w:after="0" w:line="304" w:lineRule="auto"/>
        <w:tabs>
          <w:tab w:leader="none" w:pos="1740" w:val="left"/>
        </w:tabs>
        <w:numPr>
          <w:ilvl w:val="2"/>
          <w:numId w:val="54"/>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Awards may be amended (including to waive restrictions, accelerate vesting or extend exercise periods), tolled, cancelled or terminated;</w:t>
      </w:r>
    </w:p>
    <w:p>
      <w:pPr>
        <w:spacing w:after="0" w:line="33" w:lineRule="exact"/>
        <w:rPr>
          <w:rFonts w:ascii="Arial" w:cs="Arial" w:eastAsia="Arial" w:hAnsi="Arial"/>
          <w:sz w:val="16"/>
          <w:szCs w:val="16"/>
          <w:color w:val="auto"/>
        </w:rPr>
      </w:pPr>
    </w:p>
    <w:p>
      <w:pPr>
        <w:ind w:left="1740" w:right="440" w:hanging="354"/>
        <w:spacing w:after="0" w:line="304" w:lineRule="auto"/>
        <w:tabs>
          <w:tab w:leader="none" w:pos="1740" w:val="left"/>
        </w:tabs>
        <w:numPr>
          <w:ilvl w:val="2"/>
          <w:numId w:val="54"/>
        </w:numPr>
        <w:rPr>
          <w:rFonts w:ascii="Arial" w:cs="Arial" w:eastAsia="Arial" w:hAnsi="Arial"/>
          <w:sz w:val="16"/>
          <w:szCs w:val="16"/>
          <w:color w:val="auto"/>
        </w:rPr>
      </w:pPr>
      <w:r>
        <w:rPr>
          <w:rFonts w:ascii="Arial" w:cs="Arial" w:eastAsia="Arial" w:hAnsi="Arial"/>
          <w:sz w:val="16"/>
          <w:szCs w:val="16"/>
          <w:color w:val="auto"/>
        </w:rPr>
        <w:t>interpret and administer the Plan, any Award Agreement and any other agreements or documents related to the administration of Awards;</w:t>
      </w:r>
    </w:p>
    <w:p>
      <w:pPr>
        <w:spacing w:after="0" w:line="33" w:lineRule="exact"/>
        <w:rPr>
          <w:rFonts w:ascii="Arial" w:cs="Arial" w:eastAsia="Arial" w:hAnsi="Arial"/>
          <w:sz w:val="16"/>
          <w:szCs w:val="16"/>
          <w:color w:val="auto"/>
        </w:rPr>
      </w:pPr>
    </w:p>
    <w:p>
      <w:pPr>
        <w:ind w:left="1740" w:right="200" w:hanging="354"/>
        <w:spacing w:after="0" w:line="304" w:lineRule="auto"/>
        <w:tabs>
          <w:tab w:leader="none" w:pos="1740" w:val="left"/>
        </w:tabs>
        <w:numPr>
          <w:ilvl w:val="2"/>
          <w:numId w:val="54"/>
        </w:numPr>
        <w:rPr>
          <w:rFonts w:ascii="Arial" w:cs="Arial" w:eastAsia="Arial" w:hAnsi="Arial"/>
          <w:sz w:val="16"/>
          <w:szCs w:val="16"/>
          <w:color w:val="auto"/>
        </w:rPr>
      </w:pPr>
      <w:r>
        <w:rPr>
          <w:rFonts w:ascii="Arial" w:cs="Arial" w:eastAsia="Arial" w:hAnsi="Arial"/>
          <w:sz w:val="16"/>
          <w:szCs w:val="16"/>
          <w:color w:val="auto"/>
        </w:rPr>
        <w:t>establish rules, and delegate ministerial duties to the Company’s employees consistent with Applicable Law, for the proper administration of the Plan; and</w:t>
      </w:r>
    </w:p>
    <w:p>
      <w:pPr>
        <w:spacing w:after="0" w:line="46" w:lineRule="exact"/>
        <w:rPr>
          <w:rFonts w:ascii="Arial" w:cs="Arial" w:eastAsia="Arial" w:hAnsi="Arial"/>
          <w:sz w:val="16"/>
          <w:szCs w:val="16"/>
          <w:color w:val="auto"/>
        </w:rPr>
      </w:pPr>
    </w:p>
    <w:p>
      <w:pPr>
        <w:ind w:left="1740" w:right="400" w:hanging="354"/>
        <w:spacing w:after="0" w:line="286" w:lineRule="auto"/>
        <w:tabs>
          <w:tab w:leader="none" w:pos="1740" w:val="left"/>
        </w:tabs>
        <w:numPr>
          <w:ilvl w:val="2"/>
          <w:numId w:val="54"/>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the Administrator deems necessary or desirable for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193675</wp:posOffset>
            </wp:positionV>
            <wp:extent cx="334010" cy="162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16" w:lineRule="exact"/>
        <w:rPr>
          <w:sz w:val="20"/>
          <w:szCs w:val="20"/>
          <w:color w:val="auto"/>
        </w:rPr>
      </w:pPr>
    </w:p>
    <w:p>
      <w:pPr>
        <w:ind w:left="4600"/>
        <w:spacing w:after="0"/>
        <w:tabs>
          <w:tab w:leader="none" w:pos="8620" w:val="left"/>
        </w:tabs>
        <w:rPr>
          <w:sz w:val="20"/>
          <w:szCs w:val="20"/>
          <w:color w:val="auto"/>
        </w:rPr>
      </w:pPr>
      <w:r>
        <w:rPr>
          <w:rFonts w:ascii="Arial" w:cs="Arial" w:eastAsia="Arial" w:hAnsi="Arial"/>
          <w:sz w:val="14"/>
          <w:szCs w:val="14"/>
          <w:color w:val="auto"/>
        </w:rPr>
        <w:t>»  C-1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right="540"/>
        <w:spacing w:after="0" w:line="286" w:lineRule="auto"/>
        <w:rPr>
          <w:sz w:val="20"/>
          <w:szCs w:val="20"/>
          <w:color w:val="auto"/>
        </w:rPr>
      </w:pPr>
      <w:r>
        <w:rPr>
          <w:rFonts w:ascii="Arial" w:cs="Arial" w:eastAsia="Arial" w:hAnsi="Arial"/>
          <w:sz w:val="16"/>
          <w:szCs w:val="16"/>
          <w:color w:val="auto"/>
        </w:rPr>
        <w:t>The Administrator’s decisions will be final, conclusive and binding on all persons, including the Company, any Participant, any stockholder and any Eligible Person.</w:t>
      </w:r>
    </w:p>
    <w:p>
      <w:pPr>
        <w:spacing w:after="0" w:line="48" w:lineRule="exact"/>
        <w:rPr>
          <w:sz w:val="20"/>
          <w:szCs w:val="20"/>
          <w:color w:val="auto"/>
        </w:rPr>
      </w:pPr>
    </w:p>
    <w:p>
      <w:pPr>
        <w:ind w:left="1020" w:hanging="354"/>
        <w:spacing w:after="0"/>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Shares Subject to the Plan</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380" w:right="140" w:hanging="354"/>
        <w:spacing w:after="0" w:line="351" w:lineRule="auto"/>
        <w:tabs>
          <w:tab w:leader="none" w:pos="1380" w:val="left"/>
        </w:tabs>
        <w:numPr>
          <w:ilvl w:val="1"/>
          <w:numId w:val="55"/>
        </w:numPr>
        <w:rPr>
          <w:rFonts w:ascii="Arial" w:cs="Arial" w:eastAsia="Arial" w:hAnsi="Arial"/>
          <w:sz w:val="15"/>
          <w:szCs w:val="15"/>
          <w:color w:val="auto"/>
        </w:rPr>
      </w:pPr>
      <w:r>
        <w:rPr>
          <w:rFonts w:ascii="Arial" w:cs="Arial" w:eastAsia="Arial" w:hAnsi="Arial"/>
          <w:sz w:val="15"/>
          <w:szCs w:val="15"/>
          <w:b w:val="1"/>
          <w:bCs w:val="1"/>
          <w:color w:val="auto"/>
        </w:rPr>
        <w:t>Authorized Number of Shares</w:t>
      </w:r>
      <w:r>
        <w:rPr>
          <w:rFonts w:ascii="Arial" w:cs="Arial" w:eastAsia="Arial" w:hAnsi="Arial"/>
          <w:sz w:val="15"/>
          <w:szCs w:val="15"/>
          <w:color w:val="auto"/>
        </w:rPr>
        <w:t>. Subject to adjustment from time to time as provided in this Plan, the maximum aggregate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shares of Common Stock available for issuance under the Plan (the “</w:t>
      </w:r>
      <w:r>
        <w:rPr>
          <w:rFonts w:ascii="Arial" w:cs="Arial" w:eastAsia="Arial" w:hAnsi="Arial"/>
          <w:sz w:val="15"/>
          <w:szCs w:val="15"/>
          <w:b w:val="1"/>
          <w:bCs w:val="1"/>
          <w:color w:val="auto"/>
        </w:rPr>
        <w:t>Share Reserve</w:t>
      </w:r>
      <w:r>
        <w:rPr>
          <w:rFonts w:ascii="Arial" w:cs="Arial" w:eastAsia="Arial" w:hAnsi="Arial"/>
          <w:sz w:val="15"/>
          <w:szCs w:val="15"/>
          <w:color w:val="auto"/>
        </w:rPr>
        <w:t>”) will be the sum of:</w:t>
      </w:r>
    </w:p>
    <w:p>
      <w:pPr>
        <w:spacing w:after="0" w:line="8" w:lineRule="exact"/>
        <w:rPr>
          <w:rFonts w:ascii="Arial" w:cs="Arial" w:eastAsia="Arial" w:hAnsi="Arial"/>
          <w:sz w:val="15"/>
          <w:szCs w:val="15"/>
          <w:color w:val="auto"/>
        </w:rPr>
      </w:pPr>
    </w:p>
    <w:p>
      <w:pPr>
        <w:ind w:left="1740" w:hanging="354"/>
        <w:spacing w:after="0"/>
        <w:tabs>
          <w:tab w:leader="none" w:pos="1740" w:val="left"/>
        </w:tabs>
        <w:numPr>
          <w:ilvl w:val="2"/>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2,500,000 </w:t>
      </w:r>
      <w:r>
        <w:rPr>
          <w:rFonts w:ascii="Arial" w:cs="Arial" w:eastAsia="Arial" w:hAnsi="Arial"/>
          <w:sz w:val="16"/>
          <w:szCs w:val="16"/>
          <w:color w:val="auto"/>
        </w:rPr>
        <w:t>shares,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plus</w:t>
      </w:r>
    </w:p>
    <w:p>
      <w:pPr>
        <w:spacing w:after="0" w:line="113" w:lineRule="exact"/>
        <w:rPr>
          <w:rFonts w:ascii="Arial" w:cs="Arial" w:eastAsia="Arial" w:hAnsi="Arial"/>
          <w:sz w:val="16"/>
          <w:szCs w:val="16"/>
          <w:color w:val="auto"/>
        </w:rPr>
      </w:pPr>
    </w:p>
    <w:p>
      <w:pPr>
        <w:ind w:left="1740" w:right="40" w:hanging="354"/>
        <w:spacing w:after="0" w:line="275" w:lineRule="auto"/>
        <w:tabs>
          <w:tab w:leader="none" w:pos="1740" w:val="left"/>
        </w:tabs>
        <w:numPr>
          <w:ilvl w:val="2"/>
          <w:numId w:val="55"/>
        </w:numPr>
        <w:rPr>
          <w:rFonts w:ascii="Arial" w:cs="Arial" w:eastAsia="Arial" w:hAnsi="Arial"/>
          <w:sz w:val="16"/>
          <w:szCs w:val="16"/>
          <w:color w:val="auto"/>
        </w:rPr>
      </w:pPr>
      <w:r>
        <w:rPr>
          <w:rFonts w:ascii="Arial" w:cs="Arial" w:eastAsia="Arial" w:hAnsi="Arial"/>
          <w:sz w:val="16"/>
          <w:szCs w:val="16"/>
          <w:color w:val="auto"/>
        </w:rPr>
        <w:t xml:space="preserve">any shares of Common Stock that, as of the Effective Date, are available to be made subject to new grants under the Prior Plans, which shares will cease to be available for issuance under the Prior Plans as of the Effective Date and instead become available under this Plan, </w:t>
      </w:r>
      <w:r>
        <w:rPr>
          <w:rFonts w:ascii="Arial" w:cs="Arial" w:eastAsia="Arial" w:hAnsi="Arial"/>
          <w:sz w:val="16"/>
          <w:szCs w:val="16"/>
          <w:i w:val="1"/>
          <w:iCs w:val="1"/>
          <w:color w:val="auto"/>
        </w:rPr>
        <w:t>plus</w:t>
      </w:r>
    </w:p>
    <w:p>
      <w:pPr>
        <w:spacing w:after="0" w:line="69" w:lineRule="exact"/>
        <w:rPr>
          <w:rFonts w:ascii="Arial" w:cs="Arial" w:eastAsia="Arial" w:hAnsi="Arial"/>
          <w:sz w:val="16"/>
          <w:szCs w:val="16"/>
          <w:color w:val="auto"/>
        </w:rPr>
      </w:pPr>
    </w:p>
    <w:p>
      <w:pPr>
        <w:ind w:left="1740" w:right="20" w:hanging="354"/>
        <w:spacing w:after="0" w:line="265" w:lineRule="auto"/>
        <w:tabs>
          <w:tab w:leader="none" w:pos="1740" w:val="left"/>
        </w:tabs>
        <w:numPr>
          <w:ilvl w:val="2"/>
          <w:numId w:val="55"/>
        </w:numPr>
        <w:rPr>
          <w:rFonts w:ascii="Arial" w:cs="Arial" w:eastAsia="Arial" w:hAnsi="Arial"/>
          <w:sz w:val="16"/>
          <w:szCs w:val="16"/>
          <w:color w:val="auto"/>
        </w:rPr>
      </w:pPr>
      <w:r>
        <w:rPr>
          <w:rFonts w:ascii="Arial" w:cs="Arial" w:eastAsia="Arial" w:hAnsi="Arial"/>
          <w:sz w:val="16"/>
          <w:szCs w:val="16"/>
          <w:color w:val="auto"/>
        </w:rPr>
        <w:t xml:space="preserve">up to </w:t>
      </w:r>
      <w:r>
        <w:rPr>
          <w:rFonts w:ascii="Arial" w:cs="Arial" w:eastAsia="Arial" w:hAnsi="Arial"/>
          <w:sz w:val="16"/>
          <w:szCs w:val="16"/>
          <w:b w:val="1"/>
          <w:bCs w:val="1"/>
          <w:color w:val="auto"/>
        </w:rPr>
        <w:t>2,838,711</w:t>
      </w:r>
      <w:r>
        <w:rPr>
          <w:rFonts w:ascii="Arial" w:cs="Arial" w:eastAsia="Arial" w:hAnsi="Arial"/>
          <w:sz w:val="16"/>
          <w:szCs w:val="16"/>
          <w:color w:val="auto"/>
        </w:rPr>
        <w:t xml:space="preserve"> shares of Common Stock subject to awards granted under the Prior Plans that, on or after the Effective Date, would otherwise return to the share reserve of the Prior Plans under the terms of the Prior Plans (excluding shares tendered or withheld to pay the exercise or purchase price of or withholding taxes due on an award granted under the Prior Plans, but including shares subject to Lapsed Awards (as defined in the Prior Plans)), which shares will cease to be available under the Prior Plans and will become available under this Plan effective on the date the shares would otherwise return to the Prior Plans.</w:t>
      </w:r>
    </w:p>
    <w:p>
      <w:pPr>
        <w:spacing w:after="0" w:line="77" w:lineRule="exact"/>
        <w:rPr>
          <w:sz w:val="20"/>
          <w:szCs w:val="20"/>
          <w:color w:val="auto"/>
        </w:rPr>
      </w:pPr>
    </w:p>
    <w:p>
      <w:pPr>
        <w:ind w:left="660" w:right="380"/>
        <w:spacing w:after="0" w:line="286" w:lineRule="auto"/>
        <w:rPr>
          <w:sz w:val="20"/>
          <w:szCs w:val="20"/>
          <w:color w:val="auto"/>
        </w:rPr>
      </w:pPr>
      <w:r>
        <w:rPr>
          <w:rFonts w:ascii="Arial" w:cs="Arial" w:eastAsia="Arial" w:hAnsi="Arial"/>
          <w:sz w:val="16"/>
          <w:szCs w:val="16"/>
          <w:color w:val="auto"/>
        </w:rPr>
        <w:t xml:space="preserve">The maximum aggregate Share Reserve (the sum of (i), (ii) and (iii)) will not exceed </w:t>
      </w:r>
      <w:r>
        <w:rPr>
          <w:rFonts w:ascii="Arial" w:cs="Arial" w:eastAsia="Arial" w:hAnsi="Arial"/>
          <w:sz w:val="16"/>
          <w:szCs w:val="16"/>
          <w:b w:val="1"/>
          <w:bCs w:val="1"/>
          <w:color w:val="auto"/>
        </w:rPr>
        <w:t>5,757,129</w:t>
      </w:r>
      <w:r>
        <w:rPr>
          <w:rFonts w:ascii="Arial" w:cs="Arial" w:eastAsia="Arial" w:hAnsi="Arial"/>
          <w:sz w:val="16"/>
          <w:szCs w:val="16"/>
          <w:color w:val="auto"/>
        </w:rPr>
        <w:t xml:space="preserve"> shares of Common Stock. Shares issued under the Plan will be drawn from authorized and unissued shares or treasury shares.</w:t>
      </w:r>
    </w:p>
    <w:p>
      <w:pPr>
        <w:spacing w:after="0" w:line="61" w:lineRule="exact"/>
        <w:rPr>
          <w:sz w:val="20"/>
          <w:szCs w:val="20"/>
          <w:color w:val="auto"/>
        </w:rPr>
      </w:pPr>
    </w:p>
    <w:p>
      <w:pPr>
        <w:ind w:left="1380" w:hanging="354"/>
        <w:spacing w:after="0"/>
        <w:tabs>
          <w:tab w:leader="none" w:pos="1380" w:val="left"/>
        </w:tabs>
        <w:numPr>
          <w:ilvl w:val="1"/>
          <w:numId w:val="56"/>
        </w:numPr>
        <w:rPr>
          <w:rFonts w:ascii="Arial" w:cs="Arial" w:eastAsia="Arial" w:hAnsi="Arial"/>
          <w:sz w:val="16"/>
          <w:szCs w:val="16"/>
          <w:color w:val="auto"/>
        </w:rPr>
      </w:pPr>
      <w:r>
        <w:rPr>
          <w:rFonts w:ascii="Arial" w:cs="Arial" w:eastAsia="Arial" w:hAnsi="Arial"/>
          <w:sz w:val="16"/>
          <w:szCs w:val="16"/>
          <w:b w:val="1"/>
          <w:bCs w:val="1"/>
          <w:color w:val="auto"/>
        </w:rPr>
        <w:t>Share Use</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740" w:hanging="354"/>
        <w:spacing w:after="0" w:line="265" w:lineRule="auto"/>
        <w:tabs>
          <w:tab w:leader="none" w:pos="1740" w:val="left"/>
        </w:tabs>
        <w:numPr>
          <w:ilvl w:val="2"/>
          <w:numId w:val="56"/>
        </w:numPr>
        <w:rPr>
          <w:rFonts w:ascii="Arial" w:cs="Arial" w:eastAsia="Arial" w:hAnsi="Arial"/>
          <w:sz w:val="16"/>
          <w:szCs w:val="16"/>
          <w:color w:val="auto"/>
        </w:rPr>
      </w:pPr>
      <w:r>
        <w:rPr>
          <w:rFonts w:ascii="Arial" w:cs="Arial" w:eastAsia="Arial" w:hAnsi="Arial"/>
          <w:sz w:val="16"/>
          <w:szCs w:val="16"/>
          <w:color w:val="auto"/>
        </w:rPr>
        <w:t>If any Award lapses, expires, terminates or is forfeited or canceled due to failure to earn or exercise the Award prior to the issuance of shares thereunder, if shares are issued to a Participant but are forfeited to or repurchased by the Company at their original exercise or purchase price pursuant to the Company’s reacquisition or repurchase rights under the Plan, including any forfeiture or repurchase caused by the failure to meet a contingency or condition required for the vesting of such shares, or if an Award is settled in cash or other property, then those shares will revert to and be available for issuance under the Plan.</w:t>
      </w:r>
    </w:p>
    <w:p>
      <w:pPr>
        <w:spacing w:after="0" w:line="77" w:lineRule="exact"/>
        <w:rPr>
          <w:rFonts w:ascii="Arial" w:cs="Arial" w:eastAsia="Arial" w:hAnsi="Arial"/>
          <w:sz w:val="16"/>
          <w:szCs w:val="16"/>
          <w:color w:val="auto"/>
        </w:rPr>
      </w:pPr>
    </w:p>
    <w:p>
      <w:pPr>
        <w:ind w:left="1740" w:right="20" w:hanging="354"/>
        <w:spacing w:after="0" w:line="285" w:lineRule="auto"/>
        <w:tabs>
          <w:tab w:leader="none" w:pos="1740" w:val="left"/>
        </w:tabs>
        <w:numPr>
          <w:ilvl w:val="2"/>
          <w:numId w:val="56"/>
        </w:numPr>
        <w:rPr>
          <w:rFonts w:ascii="Arial" w:cs="Arial" w:eastAsia="Arial" w:hAnsi="Arial"/>
          <w:sz w:val="15"/>
          <w:szCs w:val="15"/>
          <w:color w:val="auto"/>
        </w:rPr>
      </w:pPr>
      <w:r>
        <w:rPr>
          <w:rFonts w:ascii="Arial" w:cs="Arial" w:eastAsia="Arial" w:hAnsi="Arial"/>
          <w:sz w:val="15"/>
          <w:szCs w:val="15"/>
          <w:color w:val="auto"/>
        </w:rPr>
        <w:t>Shares tendered to or withheld by the Company to pay the exercise or purchase price of an Award or to satisfy any tax withholding obligation in connection with the exercise or settlement of an Award will be deemed issued and not be added back to the Share Reserve. Vested shares that have been issued under an Award and subsequently forfeited or reacquired by the Company will not be added back to the Share Reserve. If any shares of Common Stock are repurchased by the Company on the open market with the proceeds of the exercise or purchase price of an Award, then the number of shares so repurchased shall not remain available for subsequent issuance under the Plan.</w:t>
      </w:r>
    </w:p>
    <w:p>
      <w:pPr>
        <w:spacing w:after="0" w:line="67" w:lineRule="exact"/>
        <w:rPr>
          <w:rFonts w:ascii="Arial" w:cs="Arial" w:eastAsia="Arial" w:hAnsi="Arial"/>
          <w:sz w:val="15"/>
          <w:szCs w:val="15"/>
          <w:color w:val="auto"/>
        </w:rPr>
      </w:pPr>
    </w:p>
    <w:p>
      <w:pPr>
        <w:ind w:left="1740" w:hanging="354"/>
        <w:spacing w:after="0" w:line="275" w:lineRule="auto"/>
        <w:tabs>
          <w:tab w:leader="none" w:pos="1740" w:val="left"/>
        </w:tabs>
        <w:numPr>
          <w:ilvl w:val="2"/>
          <w:numId w:val="56"/>
        </w:numPr>
        <w:rPr>
          <w:rFonts w:ascii="Arial" w:cs="Arial" w:eastAsia="Arial" w:hAnsi="Arial"/>
          <w:sz w:val="16"/>
          <w:szCs w:val="16"/>
          <w:color w:val="auto"/>
        </w:rPr>
      </w:pPr>
      <w:r>
        <w:rPr>
          <w:rFonts w:ascii="Arial" w:cs="Arial" w:eastAsia="Arial" w:hAnsi="Arial"/>
          <w:sz w:val="16"/>
          <w:szCs w:val="16"/>
          <w:color w:val="auto"/>
        </w:rPr>
        <w:t>If a Participant receives dividends or Dividend Equivalents in respect of an Award in the form of shares or reinvests cash dividends or Dividend Equivalents paid in respect of Awards into shares of Common Stock, those shares will not reduce the Share Reserve, unless expressly determined otherwise by the Administrator.</w:t>
      </w:r>
    </w:p>
    <w:p>
      <w:pPr>
        <w:spacing w:after="0" w:line="69" w:lineRule="exact"/>
        <w:rPr>
          <w:rFonts w:ascii="Arial" w:cs="Arial" w:eastAsia="Arial" w:hAnsi="Arial"/>
          <w:sz w:val="16"/>
          <w:szCs w:val="16"/>
          <w:color w:val="auto"/>
        </w:rPr>
      </w:pPr>
    </w:p>
    <w:p>
      <w:pPr>
        <w:ind w:left="1740" w:right="400" w:hanging="354"/>
        <w:spacing w:after="0" w:line="286" w:lineRule="auto"/>
        <w:tabs>
          <w:tab w:leader="none" w:pos="1740" w:val="left"/>
        </w:tabs>
        <w:numPr>
          <w:ilvl w:val="2"/>
          <w:numId w:val="56"/>
        </w:numPr>
        <w:rPr>
          <w:rFonts w:ascii="Arial" w:cs="Arial" w:eastAsia="Arial" w:hAnsi="Arial"/>
          <w:sz w:val="16"/>
          <w:szCs w:val="16"/>
          <w:color w:val="auto"/>
        </w:rPr>
      </w:pPr>
      <w:r>
        <w:rPr>
          <w:rFonts w:ascii="Arial" w:cs="Arial" w:eastAsia="Arial" w:hAnsi="Arial"/>
          <w:sz w:val="16"/>
          <w:szCs w:val="16"/>
          <w:color w:val="auto"/>
        </w:rPr>
        <w:t>No fractional shares may be issued under the Plan; however, cash shall be paid in lieu of any fractional Share in settlement of an Award.</w:t>
      </w:r>
    </w:p>
    <w:p>
      <w:pPr>
        <w:spacing w:after="0" w:line="61" w:lineRule="exact"/>
        <w:rPr>
          <w:rFonts w:ascii="Arial" w:cs="Arial" w:eastAsia="Arial" w:hAnsi="Arial"/>
          <w:sz w:val="16"/>
          <w:szCs w:val="16"/>
          <w:color w:val="auto"/>
        </w:rPr>
      </w:pPr>
    </w:p>
    <w:p>
      <w:pPr>
        <w:ind w:left="1740" w:right="20" w:hanging="354"/>
        <w:spacing w:after="0" w:line="265" w:lineRule="auto"/>
        <w:tabs>
          <w:tab w:leader="none" w:pos="1740" w:val="left"/>
        </w:tabs>
        <w:numPr>
          <w:ilvl w:val="2"/>
          <w:numId w:val="56"/>
        </w:numPr>
        <w:rPr>
          <w:rFonts w:ascii="Arial" w:cs="Arial" w:eastAsia="Arial" w:hAnsi="Arial"/>
          <w:sz w:val="16"/>
          <w:szCs w:val="16"/>
          <w:color w:val="auto"/>
        </w:rPr>
      </w:pPr>
      <w:r>
        <w:rPr>
          <w:rFonts w:ascii="Arial" w:cs="Arial" w:eastAsia="Arial" w:hAnsi="Arial"/>
          <w:sz w:val="16"/>
          <w:szCs w:val="16"/>
          <w:color w:val="auto"/>
        </w:rPr>
        <w:t>The Administrator may grant Substitute Awards under the Plan. If the Board approves a written agreement between the Company and an Acquired Entity pursuant to which a merger or consolidation is completed and that agreement sets forth the terms and conditions of the substitution for or assumption of outstanding awards of the Acquired Entity, the grant of those substitute or assumed awards will be deemed to be the action of the Administrator without any further action by the Administrator, and the persons holding the newly substituted or assumed Awards will be deemed to be Participants.</w:t>
      </w:r>
    </w:p>
    <w:p>
      <w:pPr>
        <w:spacing w:after="0" w:line="77" w:lineRule="exact"/>
        <w:rPr>
          <w:rFonts w:ascii="Arial" w:cs="Arial" w:eastAsia="Arial" w:hAnsi="Arial"/>
          <w:sz w:val="16"/>
          <w:szCs w:val="16"/>
          <w:color w:val="auto"/>
        </w:rPr>
      </w:pPr>
    </w:p>
    <w:p>
      <w:pPr>
        <w:ind w:left="1020" w:hanging="354"/>
        <w:spacing w:after="0"/>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Eligibility; Non-Employee Director Award Limit</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380" w:right="120" w:hanging="354"/>
        <w:spacing w:after="0" w:line="262" w:lineRule="auto"/>
        <w:tabs>
          <w:tab w:leader="none" w:pos="1380" w:val="left"/>
        </w:tabs>
        <w:numPr>
          <w:ilvl w:val="1"/>
          <w:numId w:val="57"/>
        </w:numPr>
        <w:rPr>
          <w:rFonts w:ascii="Arial" w:cs="Arial" w:eastAsia="Arial" w:hAnsi="Arial"/>
          <w:sz w:val="16"/>
          <w:szCs w:val="16"/>
          <w:color w:val="auto"/>
        </w:rPr>
      </w:pPr>
      <w:r>
        <w:rPr>
          <w:rFonts w:ascii="Arial" w:cs="Arial" w:eastAsia="Arial" w:hAnsi="Arial"/>
          <w:sz w:val="16"/>
          <w:szCs w:val="16"/>
          <w:b w:val="1"/>
          <w:bCs w:val="1"/>
          <w:color w:val="auto"/>
        </w:rPr>
        <w:t>Eligible Recipients</w:t>
      </w:r>
      <w:r>
        <w:rPr>
          <w:rFonts w:ascii="Arial" w:cs="Arial" w:eastAsia="Arial" w:hAnsi="Arial"/>
          <w:sz w:val="16"/>
          <w:szCs w:val="16"/>
          <w:color w:val="auto"/>
        </w:rPr>
        <w:t>. The Administrator may grant Awards (i) to any employee (including any officer) of the Company or a</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Company and (ii) to any independent contractor (including directors, consultants and advisors) who is a natural person for bona fide services rendered to the Company or any Related Company, provided (A) the services are not in connection with the offer and sale of the Company’s securities in a capital-raising transaction and do not directly or indirectly promote or maintain a market for the Company’s securities, in each case within the meaning of Form S-8 promulgated under the Securities Act and (B) the grant of an Award or issuance of the shares thereunder does not cause the Company to lose the ability to register the issuance of the shares under Form S-8.</w:t>
      </w:r>
    </w:p>
    <w:p>
      <w:pPr>
        <w:spacing w:after="0" w:line="79" w:lineRule="exact"/>
        <w:rPr>
          <w:rFonts w:ascii="Arial" w:cs="Arial" w:eastAsia="Arial" w:hAnsi="Arial"/>
          <w:sz w:val="16"/>
          <w:szCs w:val="16"/>
          <w:color w:val="auto"/>
        </w:rPr>
      </w:pPr>
    </w:p>
    <w:p>
      <w:pPr>
        <w:ind w:left="1380" w:right="20" w:hanging="354"/>
        <w:spacing w:after="0" w:line="291" w:lineRule="auto"/>
        <w:tabs>
          <w:tab w:leader="none" w:pos="1380" w:val="left"/>
        </w:tabs>
        <w:numPr>
          <w:ilvl w:val="1"/>
          <w:numId w:val="57"/>
        </w:numPr>
        <w:rPr>
          <w:rFonts w:ascii="Arial" w:cs="Arial" w:eastAsia="Arial" w:hAnsi="Arial"/>
          <w:sz w:val="15"/>
          <w:szCs w:val="15"/>
          <w:color w:val="auto"/>
        </w:rPr>
      </w:pPr>
      <w:r>
        <w:rPr>
          <w:rFonts w:ascii="Arial" w:cs="Arial" w:eastAsia="Arial" w:hAnsi="Arial"/>
          <w:sz w:val="15"/>
          <w:szCs w:val="15"/>
          <w:b w:val="1"/>
          <w:bCs w:val="1"/>
          <w:color w:val="auto"/>
        </w:rPr>
        <w:t>Non-Employee Director Award Limit</w:t>
      </w:r>
      <w:r>
        <w:rPr>
          <w:rFonts w:ascii="Arial" w:cs="Arial" w:eastAsia="Arial" w:hAnsi="Arial"/>
          <w:sz w:val="15"/>
          <w:szCs w:val="15"/>
          <w:color w:val="auto"/>
        </w:rPr>
        <w:t>. Notwithstanding any provision in the Plan to the contrary, the aggregate amount of</w:t>
      </w:r>
      <w:r>
        <w:rPr>
          <w:rFonts w:ascii="Arial" w:cs="Arial" w:eastAsia="Arial" w:hAnsi="Arial"/>
          <w:sz w:val="15"/>
          <w:szCs w:val="15"/>
          <w:b w:val="1"/>
          <w:bCs w:val="1"/>
          <w:color w:val="auto"/>
        </w:rPr>
        <w:t xml:space="preserve"> </w:t>
      </w:r>
      <w:r>
        <w:rPr>
          <w:rFonts w:ascii="Arial" w:cs="Arial" w:eastAsia="Arial" w:hAnsi="Arial"/>
          <w:sz w:val="15"/>
          <w:szCs w:val="15"/>
          <w:color w:val="auto"/>
        </w:rPr>
        <w:t>all compensation granted during any calendar year to any member of the Board who is not an employee of the Company (“</w:t>
      </w:r>
      <w:r>
        <w:rPr>
          <w:rFonts w:ascii="Arial" w:cs="Arial" w:eastAsia="Arial" w:hAnsi="Arial"/>
          <w:sz w:val="15"/>
          <w:szCs w:val="15"/>
          <w:b w:val="1"/>
          <w:bCs w:val="1"/>
          <w:color w:val="auto"/>
        </w:rPr>
        <w:t>Non-Employee Director</w:t>
      </w:r>
      <w:r>
        <w:rPr>
          <w:rFonts w:ascii="Arial" w:cs="Arial" w:eastAsia="Arial" w:hAnsi="Arial"/>
          <w:sz w:val="15"/>
          <w:szCs w:val="15"/>
          <w:color w:val="auto"/>
        </w:rPr>
        <w:t>”), including any Awards (based on grant date fair value computed as of the date of grant in accordance with applicable financial accounting rules) and any cash retainer or meeting fee paid or provided for service on the Board or any committee thereof, or any Award granted in lieu of any such cash retainer or meeting fee,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184785</wp:posOffset>
            </wp:positionV>
            <wp:extent cx="334010" cy="1625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03"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C-2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380" w:right="120"/>
        <w:spacing w:after="0" w:line="266" w:lineRule="auto"/>
        <w:rPr>
          <w:sz w:val="20"/>
          <w:szCs w:val="20"/>
          <w:color w:val="auto"/>
        </w:rPr>
      </w:pPr>
      <w:r>
        <w:rPr>
          <w:rFonts w:ascii="Arial" w:cs="Arial" w:eastAsia="Arial" w:hAnsi="Arial"/>
          <w:sz w:val="16"/>
          <w:szCs w:val="16"/>
          <w:color w:val="auto"/>
        </w:rPr>
        <w:t xml:space="preserve">exceed </w:t>
      </w:r>
      <w:r>
        <w:rPr>
          <w:rFonts w:ascii="Arial" w:cs="Arial" w:eastAsia="Arial" w:hAnsi="Arial"/>
          <w:sz w:val="16"/>
          <w:szCs w:val="16"/>
          <w:b w:val="1"/>
          <w:bCs w:val="1"/>
          <w:color w:val="auto"/>
        </w:rPr>
        <w:t>$750,000,</w:t>
      </w:r>
      <w:r>
        <w:rPr>
          <w:rFonts w:ascii="Arial" w:cs="Arial" w:eastAsia="Arial" w:hAnsi="Arial"/>
          <w:sz w:val="16"/>
          <w:szCs w:val="16"/>
          <w:color w:val="auto"/>
        </w:rPr>
        <w:t xml:space="preserve"> with the value increased to </w:t>
      </w:r>
      <w:r>
        <w:rPr>
          <w:rFonts w:ascii="Arial" w:cs="Arial" w:eastAsia="Arial" w:hAnsi="Arial"/>
          <w:sz w:val="16"/>
          <w:szCs w:val="16"/>
          <w:b w:val="1"/>
          <w:bCs w:val="1"/>
          <w:color w:val="auto"/>
        </w:rPr>
        <w:t>$1,000,000</w:t>
      </w:r>
      <w:r>
        <w:rPr>
          <w:rFonts w:ascii="Arial" w:cs="Arial" w:eastAsia="Arial" w:hAnsi="Arial"/>
          <w:sz w:val="16"/>
          <w:szCs w:val="16"/>
          <w:color w:val="auto"/>
        </w:rPr>
        <w:t xml:space="preserve"> for any Non-Employee Director that joins the Company during the fiscal year. Awards granted under the Plan will be considered in determining compliance under the Company’s Stock Ownership and Retention Guidelines.</w:t>
      </w:r>
    </w:p>
    <w:p>
      <w:pPr>
        <w:spacing w:after="0" w:line="63" w:lineRule="exact"/>
        <w:rPr>
          <w:sz w:val="20"/>
          <w:szCs w:val="20"/>
          <w:color w:val="auto"/>
        </w:rPr>
      </w:pPr>
    </w:p>
    <w:p>
      <w:pPr>
        <w:ind w:left="1020" w:hanging="354"/>
        <w:spacing w:after="0"/>
        <w:tabs>
          <w:tab w:leader="none" w:pos="102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Provisions Applicable to All Awards</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ind w:left="1380" w:right="100" w:hanging="354"/>
        <w:spacing w:after="0" w:line="301" w:lineRule="auto"/>
        <w:tabs>
          <w:tab w:leader="none" w:pos="1380" w:val="left"/>
        </w:tabs>
        <w:numPr>
          <w:ilvl w:val="1"/>
          <w:numId w:val="58"/>
        </w:numPr>
        <w:rPr>
          <w:rFonts w:ascii="Arial" w:cs="Arial" w:eastAsia="Arial" w:hAnsi="Arial"/>
          <w:sz w:val="15"/>
          <w:szCs w:val="15"/>
          <w:color w:val="auto"/>
        </w:rPr>
      </w:pPr>
      <w:r>
        <w:rPr>
          <w:rFonts w:ascii="Arial" w:cs="Arial" w:eastAsia="Arial" w:hAnsi="Arial"/>
          <w:sz w:val="15"/>
          <w:szCs w:val="15"/>
          <w:b w:val="1"/>
          <w:bCs w:val="1"/>
          <w:color w:val="auto"/>
        </w:rPr>
        <w:t>Grant Date</w:t>
      </w:r>
      <w:r>
        <w:rPr>
          <w:rFonts w:ascii="Arial" w:cs="Arial" w:eastAsia="Arial" w:hAnsi="Arial"/>
          <w:sz w:val="15"/>
          <w:szCs w:val="15"/>
          <w:color w:val="auto"/>
        </w:rPr>
        <w:t>. Corporate action constituting a grant by the Company of an Award to any Participant will be deemed</w:t>
      </w:r>
      <w:r>
        <w:rPr>
          <w:rFonts w:ascii="Arial" w:cs="Arial" w:eastAsia="Arial" w:hAnsi="Arial"/>
          <w:sz w:val="15"/>
          <w:szCs w:val="15"/>
          <w:b w:val="1"/>
          <w:bCs w:val="1"/>
          <w:color w:val="auto"/>
        </w:rPr>
        <w:t xml:space="preserve"> </w:t>
      </w:r>
      <w:r>
        <w:rPr>
          <w:rFonts w:ascii="Arial" w:cs="Arial" w:eastAsia="Arial" w:hAnsi="Arial"/>
          <w:sz w:val="15"/>
          <w:szCs w:val="15"/>
          <w:color w:val="auto"/>
        </w:rPr>
        <w:t>completed as of the date of such corporate action, unless otherwise determined by the Administrator, regardless of when the instrument, certificate, or letter evidencing the Award is communicated to, received by, or accepted by, the Participant.</w:t>
      </w:r>
    </w:p>
    <w:p>
      <w:pPr>
        <w:spacing w:after="0" w:line="39" w:lineRule="exact"/>
        <w:rPr>
          <w:rFonts w:ascii="Arial" w:cs="Arial" w:eastAsia="Arial" w:hAnsi="Arial"/>
          <w:sz w:val="15"/>
          <w:szCs w:val="15"/>
          <w:color w:val="auto"/>
        </w:rPr>
      </w:pPr>
    </w:p>
    <w:p>
      <w:pPr>
        <w:ind w:left="1740" w:right="40" w:hanging="354"/>
        <w:spacing w:after="0" w:line="269" w:lineRule="auto"/>
        <w:tabs>
          <w:tab w:leader="none" w:pos="1740" w:val="left"/>
        </w:tabs>
        <w:numPr>
          <w:ilvl w:val="2"/>
          <w:numId w:val="58"/>
        </w:numPr>
        <w:rPr>
          <w:rFonts w:ascii="Arial" w:cs="Arial" w:eastAsia="Arial" w:hAnsi="Arial"/>
          <w:sz w:val="16"/>
          <w:szCs w:val="16"/>
          <w:color w:val="auto"/>
        </w:rPr>
      </w:pPr>
      <w:r>
        <w:rPr>
          <w:rFonts w:ascii="Arial" w:cs="Arial" w:eastAsia="Arial" w:hAnsi="Arial"/>
          <w:sz w:val="16"/>
          <w:szCs w:val="16"/>
          <w:b w:val="1"/>
          <w:bCs w:val="1"/>
          <w:color w:val="auto"/>
        </w:rPr>
        <w:t>Clerical Errors</w:t>
      </w:r>
      <w:r>
        <w:rPr>
          <w:rFonts w:ascii="Arial" w:cs="Arial" w:eastAsia="Arial" w:hAnsi="Arial"/>
          <w:sz w:val="16"/>
          <w:szCs w:val="16"/>
          <w:color w:val="auto"/>
        </w:rPr>
        <w:t>. If the Administrator’s records (e.g., consents, resolutions or minutes) documenting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action granting the Award contain terms (e.g., exercise price, vesting schedule or number of shares) that are inconsistent with those in the Award Agreement as a result of a clerical error in the papering of the Award Agreement, the Administrator’s records will control and the Participant will have no legally binding right to the incorrect term in the Award Agreement.</w:t>
      </w:r>
    </w:p>
    <w:p>
      <w:pPr>
        <w:spacing w:after="0" w:line="62" w:lineRule="exact"/>
        <w:rPr>
          <w:rFonts w:ascii="Arial" w:cs="Arial" w:eastAsia="Arial" w:hAnsi="Arial"/>
          <w:sz w:val="16"/>
          <w:szCs w:val="16"/>
          <w:color w:val="auto"/>
        </w:rPr>
      </w:pPr>
    </w:p>
    <w:p>
      <w:pPr>
        <w:ind w:left="1740" w:right="20" w:hanging="354"/>
        <w:spacing w:after="0" w:line="269" w:lineRule="auto"/>
        <w:tabs>
          <w:tab w:leader="none" w:pos="1740" w:val="left"/>
        </w:tabs>
        <w:numPr>
          <w:ilvl w:val="2"/>
          <w:numId w:val="58"/>
        </w:numPr>
        <w:rPr>
          <w:rFonts w:ascii="Arial" w:cs="Arial" w:eastAsia="Arial" w:hAnsi="Arial"/>
          <w:sz w:val="16"/>
          <w:szCs w:val="16"/>
          <w:color w:val="auto"/>
        </w:rPr>
      </w:pPr>
      <w:r>
        <w:rPr>
          <w:rFonts w:ascii="Arial" w:cs="Arial" w:eastAsia="Arial" w:hAnsi="Arial"/>
          <w:sz w:val="16"/>
          <w:szCs w:val="16"/>
          <w:b w:val="1"/>
          <w:bCs w:val="1"/>
          <w:color w:val="auto"/>
        </w:rPr>
        <w:t>Grants Prior to Start Date</w:t>
      </w:r>
      <w:r>
        <w:rPr>
          <w:rFonts w:ascii="Arial" w:cs="Arial" w:eastAsia="Arial" w:hAnsi="Arial"/>
          <w:sz w:val="16"/>
          <w:szCs w:val="16"/>
          <w:color w:val="auto"/>
        </w:rPr>
        <w:t>. If the Administrator attempts to grant an Award effective as of a date in the future, and if</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recipient is not in service with the Company or a Related Company as of that future date (either due to failure to commence service by that future date or a Termination of Service), then as of that future date, the Award will be deemed null, void and of no force and effect without any further action by the Administrator, and the individual will have no rights, title or interests in or to the Award or the shares of Common Stock underlying the Award.</w:t>
      </w:r>
    </w:p>
    <w:p>
      <w:pPr>
        <w:spacing w:after="0" w:line="62" w:lineRule="exact"/>
        <w:rPr>
          <w:rFonts w:ascii="Arial" w:cs="Arial" w:eastAsia="Arial" w:hAnsi="Arial"/>
          <w:sz w:val="16"/>
          <w:szCs w:val="16"/>
          <w:color w:val="auto"/>
        </w:rPr>
      </w:pPr>
    </w:p>
    <w:p>
      <w:pPr>
        <w:ind w:left="1380" w:right="60" w:hanging="354"/>
        <w:spacing w:after="0" w:line="269" w:lineRule="auto"/>
        <w:tabs>
          <w:tab w:leader="none" w:pos="1380"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Evidence of Awards</w:t>
      </w:r>
      <w:r>
        <w:rPr>
          <w:rFonts w:ascii="Arial" w:cs="Arial" w:eastAsia="Arial" w:hAnsi="Arial"/>
          <w:sz w:val="16"/>
          <w:szCs w:val="16"/>
          <w:color w:val="auto"/>
        </w:rPr>
        <w:t>. The Administrator will document all Awards by a written instrument (which may include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writings such as smart contracts and distributed ledger entries) that contains the material terms of the Award, including but not limited to the consideration to be paid to receive the award (including the Participant’s services to the Company or a Related Company), the exercise or purchase price (if any), the vesting schedule (including any performance vesting triggers), and the Company’s rights to repurchase or reacquire the shares subject to the Award.</w:t>
      </w:r>
    </w:p>
    <w:p>
      <w:pPr>
        <w:spacing w:after="0" w:line="62" w:lineRule="exact"/>
        <w:rPr>
          <w:rFonts w:ascii="Arial" w:cs="Arial" w:eastAsia="Arial" w:hAnsi="Arial"/>
          <w:sz w:val="16"/>
          <w:szCs w:val="16"/>
          <w:color w:val="auto"/>
        </w:rPr>
      </w:pPr>
    </w:p>
    <w:p>
      <w:pPr>
        <w:jc w:val="both"/>
        <w:ind w:left="1380" w:right="240" w:hanging="354"/>
        <w:spacing w:after="0" w:line="284" w:lineRule="auto"/>
        <w:tabs>
          <w:tab w:leader="none" w:pos="1380"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Other Governing Documents</w:t>
      </w:r>
      <w:r>
        <w:rPr>
          <w:rFonts w:ascii="Arial" w:cs="Arial" w:eastAsia="Arial" w:hAnsi="Arial"/>
          <w:sz w:val="16"/>
          <w:szCs w:val="16"/>
          <w:color w:val="auto"/>
        </w:rPr>
        <w:t>. The Administrator may require a Participant, as a condition to receiving shares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to sign additional documentation as reasonably required by the Administrator for compliance with Applicable Laws and the orderly administration of the Plan.</w:t>
      </w:r>
    </w:p>
    <w:p>
      <w:pPr>
        <w:spacing w:after="0" w:line="48" w:lineRule="exact"/>
        <w:rPr>
          <w:rFonts w:ascii="Arial" w:cs="Arial" w:eastAsia="Arial" w:hAnsi="Arial"/>
          <w:sz w:val="16"/>
          <w:szCs w:val="16"/>
          <w:color w:val="auto"/>
        </w:rPr>
      </w:pPr>
    </w:p>
    <w:p>
      <w:pPr>
        <w:ind w:left="1380" w:right="80" w:hanging="354"/>
        <w:spacing w:after="0" w:line="269" w:lineRule="auto"/>
        <w:tabs>
          <w:tab w:leader="none" w:pos="1380"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Payments for Shares and Taxes</w:t>
      </w:r>
      <w:r>
        <w:rPr>
          <w:rFonts w:ascii="Arial" w:cs="Arial" w:eastAsia="Arial" w:hAnsi="Arial"/>
          <w:sz w:val="16"/>
          <w:szCs w:val="16"/>
          <w:color w:val="auto"/>
        </w:rPr>
        <w:t>. The Administrator will determine the forms of consideration a Participant may use to pay</w:t>
      </w:r>
      <w:r>
        <w:rPr>
          <w:rFonts w:ascii="Arial" w:cs="Arial" w:eastAsia="Arial" w:hAnsi="Arial"/>
          <w:sz w:val="16"/>
          <w:szCs w:val="16"/>
          <w:b w:val="1"/>
          <w:bCs w:val="1"/>
          <w:color w:val="auto"/>
        </w:rPr>
        <w:t xml:space="preserve"> </w:t>
      </w:r>
      <w:r>
        <w:rPr>
          <w:rFonts w:ascii="Arial" w:cs="Arial" w:eastAsia="Arial" w:hAnsi="Arial"/>
          <w:sz w:val="16"/>
          <w:szCs w:val="16"/>
          <w:color w:val="auto"/>
        </w:rPr>
        <w:t>the exercise or purchase price for shares issued under Awards and any withholding taxes or other amounts due in connection with Awards. A Participant must pay all consideration due in connection with the Award (including withholding taxes) before the Company will issue the shares being acquired. The Administrator may (but is not required to) permit the use of the following forms of consideration:</w:t>
      </w:r>
    </w:p>
    <w:p>
      <w:pPr>
        <w:spacing w:after="0" w:line="62" w:lineRule="exact"/>
        <w:rPr>
          <w:rFonts w:ascii="Arial" w:cs="Arial" w:eastAsia="Arial" w:hAnsi="Arial"/>
          <w:sz w:val="16"/>
          <w:szCs w:val="16"/>
          <w:color w:val="auto"/>
        </w:rPr>
      </w:pPr>
    </w:p>
    <w:p>
      <w:pPr>
        <w:ind w:left="1740" w:hanging="354"/>
        <w:spacing w:after="0"/>
        <w:tabs>
          <w:tab w:leader="none" w:pos="1740" w:val="left"/>
        </w:tabs>
        <w:numPr>
          <w:ilvl w:val="2"/>
          <w:numId w:val="58"/>
        </w:numPr>
        <w:rPr>
          <w:rFonts w:ascii="Arial" w:cs="Arial" w:eastAsia="Arial" w:hAnsi="Arial"/>
          <w:sz w:val="16"/>
          <w:szCs w:val="16"/>
          <w:color w:val="auto"/>
        </w:rPr>
      </w:pPr>
      <w:r>
        <w:rPr>
          <w:rFonts w:ascii="Arial" w:cs="Arial" w:eastAsia="Arial" w:hAnsi="Arial"/>
          <w:sz w:val="16"/>
          <w:szCs w:val="16"/>
          <w:color w:val="auto"/>
        </w:rPr>
        <w:t>cash or cash equivalent, including checks, wire transfers, ACH payments, and convertible virtual currencies;</w:t>
      </w:r>
    </w:p>
    <w:p>
      <w:pPr>
        <w:spacing w:after="0" w:line="113" w:lineRule="exact"/>
        <w:rPr>
          <w:rFonts w:ascii="Arial" w:cs="Arial" w:eastAsia="Arial" w:hAnsi="Arial"/>
          <w:sz w:val="16"/>
          <w:szCs w:val="16"/>
          <w:color w:val="auto"/>
        </w:rPr>
      </w:pPr>
    </w:p>
    <w:p>
      <w:pPr>
        <w:ind w:left="1740" w:right="40" w:hanging="354"/>
        <w:spacing w:after="0" w:line="275" w:lineRule="auto"/>
        <w:tabs>
          <w:tab w:leader="none" w:pos="1740" w:val="left"/>
        </w:tabs>
        <w:numPr>
          <w:ilvl w:val="2"/>
          <w:numId w:val="58"/>
        </w:numPr>
        <w:rPr>
          <w:rFonts w:ascii="Arial" w:cs="Arial" w:eastAsia="Arial" w:hAnsi="Arial"/>
          <w:sz w:val="16"/>
          <w:szCs w:val="16"/>
          <w:color w:val="auto"/>
        </w:rPr>
      </w:pPr>
      <w:r>
        <w:rPr>
          <w:rFonts w:ascii="Arial" w:cs="Arial" w:eastAsia="Arial" w:hAnsi="Arial"/>
          <w:sz w:val="16"/>
          <w:szCs w:val="16"/>
          <w:color w:val="auto"/>
        </w:rPr>
        <w:t>having the Company withhold shares of Common Stock and any other consideration that would otherwise be issued under an Award (other than in respect of an Incentive Stock Option) that have an aggregate Fair Market Value on that date equal to the consideration owed to the Company, including in connection with a Change of Control (a “</w:t>
      </w:r>
      <w:r>
        <w:rPr>
          <w:rFonts w:ascii="Arial" w:cs="Arial" w:eastAsia="Arial" w:hAnsi="Arial"/>
          <w:sz w:val="16"/>
          <w:szCs w:val="16"/>
          <w:b w:val="1"/>
          <w:bCs w:val="1"/>
          <w:color w:val="auto"/>
        </w:rPr>
        <w:t>Withhold</w:t>
      </w:r>
      <w:r>
        <w:rPr>
          <w:rFonts w:ascii="Arial" w:cs="Arial" w:eastAsia="Arial" w:hAnsi="Arial"/>
          <w:sz w:val="16"/>
          <w:szCs w:val="16"/>
          <w:color w:val="auto"/>
        </w:rPr>
        <w:t xml:space="preserve"> </w:t>
      </w:r>
      <w:r>
        <w:rPr>
          <w:rFonts w:ascii="Arial" w:cs="Arial" w:eastAsia="Arial" w:hAnsi="Arial"/>
          <w:sz w:val="16"/>
          <w:szCs w:val="16"/>
          <w:b w:val="1"/>
          <w:bCs w:val="1"/>
          <w:color w:val="auto"/>
        </w:rPr>
        <w:t>to Cover</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ind w:left="1740" w:hanging="354"/>
        <w:spacing w:after="0" w:line="271" w:lineRule="auto"/>
        <w:tabs>
          <w:tab w:leader="none" w:pos="1740" w:val="left"/>
        </w:tabs>
        <w:numPr>
          <w:ilvl w:val="2"/>
          <w:numId w:val="58"/>
        </w:numPr>
        <w:rPr>
          <w:rFonts w:ascii="Arial" w:cs="Arial" w:eastAsia="Arial" w:hAnsi="Arial"/>
          <w:sz w:val="16"/>
          <w:szCs w:val="16"/>
          <w:color w:val="auto"/>
        </w:rPr>
      </w:pPr>
      <w:r>
        <w:rPr>
          <w:rFonts w:ascii="Arial" w:cs="Arial" w:eastAsia="Arial" w:hAnsi="Arial"/>
          <w:sz w:val="16"/>
          <w:szCs w:val="16"/>
          <w:color w:val="auto"/>
        </w:rPr>
        <w:t>tendering (either actually or, if and so long as the Common Stock is registered under Section 12(b) or 12(g) of the Exchange Act, by attestation) shares of Common Stock owned by the Participant free and clear of any liens, claims or other encumbrances that have an aggregate Fair Market Value on that date equal to the consideration owed to the Company, but only if the tender will not result in any adverse accounting consequences to the Company;</w:t>
      </w:r>
    </w:p>
    <w:p>
      <w:pPr>
        <w:spacing w:after="0" w:line="59" w:lineRule="exact"/>
        <w:rPr>
          <w:rFonts w:ascii="Arial" w:cs="Arial" w:eastAsia="Arial" w:hAnsi="Arial"/>
          <w:sz w:val="16"/>
          <w:szCs w:val="16"/>
          <w:color w:val="auto"/>
        </w:rPr>
      </w:pPr>
    </w:p>
    <w:p>
      <w:pPr>
        <w:ind w:left="1740" w:right="40" w:hanging="354"/>
        <w:spacing w:after="0" w:line="272" w:lineRule="auto"/>
        <w:tabs>
          <w:tab w:leader="none" w:pos="1740" w:val="left"/>
        </w:tabs>
        <w:numPr>
          <w:ilvl w:val="2"/>
          <w:numId w:val="58"/>
        </w:numPr>
        <w:rPr>
          <w:rFonts w:ascii="Arial" w:cs="Arial" w:eastAsia="Arial" w:hAnsi="Arial"/>
          <w:sz w:val="16"/>
          <w:szCs w:val="16"/>
          <w:color w:val="auto"/>
        </w:rPr>
      </w:pPr>
      <w:r>
        <w:rPr>
          <w:rFonts w:ascii="Arial" w:cs="Arial" w:eastAsia="Arial" w:hAnsi="Arial"/>
          <w:sz w:val="16"/>
          <w:szCs w:val="16"/>
          <w:color w:val="auto"/>
        </w:rPr>
        <w:t>if and so long as the Common Stock is registered under Section 12(b) or 12(g) of the Exchange Act, and to the extent permitted by Applicable Laws, delivery of a properly executed agreement, together with irrevocable instructions to a brokerage firm designated or approved by the Company to deliver promptly to the Company the aggregate amount of proceeds to pay the consideration due to the Company, all in accordance with the regulations of the Federal Reserve Board (a “</w:t>
      </w:r>
      <w:r>
        <w:rPr>
          <w:rFonts w:ascii="Arial" w:cs="Arial" w:eastAsia="Arial" w:hAnsi="Arial"/>
          <w:sz w:val="16"/>
          <w:szCs w:val="16"/>
          <w:b w:val="1"/>
          <w:bCs w:val="1"/>
          <w:color w:val="auto"/>
        </w:rPr>
        <w:t>Public Sell to Cover</w:t>
      </w:r>
      <w:r>
        <w:rPr>
          <w:rFonts w:ascii="Arial" w:cs="Arial" w:eastAsia="Arial" w:hAnsi="Arial"/>
          <w:sz w:val="16"/>
          <w:szCs w:val="16"/>
          <w:color w:val="auto"/>
        </w:rPr>
        <w:t>”); and/or</w:t>
      </w:r>
    </w:p>
    <w:p>
      <w:pPr>
        <w:spacing w:after="0" w:line="50" w:lineRule="exact"/>
        <w:rPr>
          <w:rFonts w:ascii="Arial" w:cs="Arial" w:eastAsia="Arial" w:hAnsi="Arial"/>
          <w:sz w:val="16"/>
          <w:szCs w:val="16"/>
          <w:color w:val="auto"/>
        </w:rPr>
      </w:pPr>
    </w:p>
    <w:p>
      <w:pPr>
        <w:ind w:left="1740" w:hanging="354"/>
        <w:spacing w:after="0"/>
        <w:tabs>
          <w:tab w:leader="none" w:pos="1740" w:val="left"/>
        </w:tabs>
        <w:numPr>
          <w:ilvl w:val="2"/>
          <w:numId w:val="58"/>
        </w:numPr>
        <w:rPr>
          <w:rFonts w:ascii="Arial" w:cs="Arial" w:eastAsia="Arial" w:hAnsi="Arial"/>
          <w:sz w:val="16"/>
          <w:szCs w:val="16"/>
          <w:color w:val="auto"/>
        </w:rPr>
      </w:pPr>
      <w:r>
        <w:rPr>
          <w:rFonts w:ascii="Arial" w:cs="Arial" w:eastAsia="Arial" w:hAnsi="Arial"/>
          <w:sz w:val="16"/>
          <w:szCs w:val="16"/>
          <w:color w:val="auto"/>
        </w:rPr>
        <w:t>such other consideration as the Administrator may permit.</w:t>
      </w:r>
    </w:p>
    <w:p>
      <w:pPr>
        <w:spacing w:after="0" w:line="127" w:lineRule="exact"/>
        <w:rPr>
          <w:sz w:val="20"/>
          <w:szCs w:val="20"/>
          <w:color w:val="auto"/>
        </w:rPr>
      </w:pPr>
    </w:p>
    <w:p>
      <w:pPr>
        <w:ind w:left="660" w:right="20"/>
        <w:spacing w:after="0" w:line="256" w:lineRule="auto"/>
        <w:rPr>
          <w:sz w:val="20"/>
          <w:szCs w:val="20"/>
          <w:color w:val="auto"/>
        </w:rPr>
      </w:pPr>
      <w:r>
        <w:rPr>
          <w:rFonts w:ascii="Arial" w:cs="Arial" w:eastAsia="Arial" w:hAnsi="Arial"/>
          <w:sz w:val="16"/>
          <w:szCs w:val="16"/>
          <w:color w:val="auto"/>
        </w:rPr>
        <w:t>A Participant may request or authorize the Administrator to withhold amounts owed under this Plan from cash payments otherwise owed to the Participant by the Company or a Related Company. If a Participant engages in a Withhold to Cover transaction to pay for applicable tax withholdings, the value of the shares so withheld may not exceed the employer’s applicable maximum required tax withholding rate or such other applicable rate as is necessary to avoid adverse treatment for financial accounting purposes, as determined by the Administrator.</w:t>
      </w:r>
    </w:p>
    <w:p>
      <w:pPr>
        <w:spacing w:after="0" w:line="58" w:lineRule="exact"/>
        <w:rPr>
          <w:sz w:val="20"/>
          <w:szCs w:val="20"/>
          <w:color w:val="auto"/>
        </w:rPr>
      </w:pPr>
    </w:p>
    <w:p>
      <w:pPr>
        <w:jc w:val="both"/>
        <w:ind w:left="1380" w:right="340" w:hanging="354"/>
        <w:spacing w:after="0" w:line="284" w:lineRule="auto"/>
        <w:tabs>
          <w:tab w:leader="none" w:pos="138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Vesting</w:t>
      </w:r>
      <w:r>
        <w:rPr>
          <w:rFonts w:ascii="Arial" w:cs="Arial" w:eastAsia="Arial" w:hAnsi="Arial"/>
          <w:sz w:val="16"/>
          <w:szCs w:val="16"/>
          <w:color w:val="auto"/>
        </w:rPr>
        <w:t>. Unless otherwise provided by the Administrator, a Participant will cease vesting in an Award at the time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Termination of Service and the Participant will have no further rights, title or interests in or to the unvested portion of the Award following the Termination of Service.</w:t>
      </w:r>
    </w:p>
    <w:p>
      <w:pPr>
        <w:spacing w:after="0" w:line="48" w:lineRule="exact"/>
        <w:rPr>
          <w:rFonts w:ascii="Arial" w:cs="Arial" w:eastAsia="Arial" w:hAnsi="Arial"/>
          <w:sz w:val="16"/>
          <w:szCs w:val="16"/>
          <w:color w:val="auto"/>
        </w:rPr>
      </w:pPr>
    </w:p>
    <w:p>
      <w:pPr>
        <w:jc w:val="both"/>
        <w:ind w:left="1380" w:right="660" w:hanging="354"/>
        <w:spacing w:after="0" w:line="340" w:lineRule="auto"/>
        <w:tabs>
          <w:tab w:leader="none" w:pos="1380" w:val="left"/>
        </w:tabs>
        <w:numPr>
          <w:ilvl w:val="0"/>
          <w:numId w:val="59"/>
        </w:numPr>
        <w:rPr>
          <w:rFonts w:ascii="Arial" w:cs="Arial" w:eastAsia="Arial" w:hAnsi="Arial"/>
          <w:sz w:val="15"/>
          <w:szCs w:val="15"/>
          <w:color w:val="auto"/>
        </w:rPr>
      </w:pPr>
      <w:r>
        <w:rPr>
          <w:rFonts w:ascii="Arial" w:cs="Arial" w:eastAsia="Arial" w:hAnsi="Arial"/>
          <w:sz w:val="15"/>
          <w:szCs w:val="15"/>
          <w:b w:val="1"/>
          <w:bCs w:val="1"/>
          <w:color w:val="auto"/>
        </w:rPr>
        <w:t>Performance-Based Awards</w:t>
      </w:r>
      <w:r>
        <w:rPr>
          <w:rFonts w:ascii="Arial" w:cs="Arial" w:eastAsia="Arial" w:hAnsi="Arial"/>
          <w:sz w:val="15"/>
          <w:szCs w:val="15"/>
          <w:color w:val="auto"/>
        </w:rPr>
        <w:t>. The Administrator may grant Awards subject to performance-based conditions. The</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Administrator may choose the performance-based conditions in its sole discretion, which may be determined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161290</wp:posOffset>
            </wp:positionV>
            <wp:extent cx="334010" cy="162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66" w:lineRule="exact"/>
        <w:rPr>
          <w:sz w:val="20"/>
          <w:szCs w:val="20"/>
          <w:color w:val="auto"/>
        </w:rPr>
      </w:pPr>
    </w:p>
    <w:p>
      <w:pPr>
        <w:ind w:left="4600"/>
        <w:spacing w:after="0"/>
        <w:tabs>
          <w:tab w:leader="none" w:pos="8620" w:val="left"/>
        </w:tabs>
        <w:rPr>
          <w:sz w:val="20"/>
          <w:szCs w:val="20"/>
          <w:color w:val="auto"/>
        </w:rPr>
      </w:pPr>
      <w:r>
        <w:rPr>
          <w:rFonts w:ascii="Arial" w:cs="Arial" w:eastAsia="Arial" w:hAnsi="Arial"/>
          <w:sz w:val="14"/>
          <w:szCs w:val="14"/>
          <w:color w:val="auto"/>
        </w:rPr>
        <w:t>»  C-3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380" w:right="120"/>
        <w:spacing w:after="0" w:line="296" w:lineRule="auto"/>
        <w:rPr>
          <w:sz w:val="20"/>
          <w:szCs w:val="20"/>
          <w:color w:val="auto"/>
        </w:rPr>
      </w:pPr>
      <w:r>
        <w:rPr>
          <w:rFonts w:ascii="Arial" w:cs="Arial" w:eastAsia="Arial" w:hAnsi="Arial"/>
          <w:sz w:val="16"/>
          <w:szCs w:val="16"/>
          <w:color w:val="auto"/>
        </w:rPr>
        <w:t>Company-wide, divisional, business unit or individual basis and may include Performance Metrics. The time period during which the performance-based conditions must be met will be called the “</w:t>
      </w:r>
      <w:r>
        <w:rPr>
          <w:rFonts w:ascii="Arial" w:cs="Arial" w:eastAsia="Arial" w:hAnsi="Arial"/>
          <w:sz w:val="16"/>
          <w:szCs w:val="16"/>
          <w:b w:val="1"/>
          <w:bCs w:val="1"/>
          <w:color w:val="auto"/>
        </w:rPr>
        <w:t>Performance Period</w:t>
      </w:r>
      <w:r>
        <w:rPr>
          <w:rFonts w:ascii="Arial" w:cs="Arial" w:eastAsia="Arial" w:hAnsi="Arial"/>
          <w:sz w:val="16"/>
          <w:szCs w:val="16"/>
          <w:color w:val="auto"/>
        </w:rPr>
        <w:t>.”</w:t>
      </w:r>
    </w:p>
    <w:p>
      <w:pPr>
        <w:spacing w:after="0" w:line="32" w:lineRule="exact"/>
        <w:rPr>
          <w:sz w:val="20"/>
          <w:szCs w:val="20"/>
          <w:color w:val="auto"/>
        </w:rPr>
      </w:pPr>
    </w:p>
    <w:p>
      <w:pPr>
        <w:ind w:left="1380" w:right="20" w:hanging="354"/>
        <w:spacing w:after="0" w:line="261" w:lineRule="auto"/>
        <w:tabs>
          <w:tab w:leader="none" w:pos="1380"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Change in Service; Leaves of Absence</w:t>
      </w:r>
      <w:r>
        <w:rPr>
          <w:rFonts w:ascii="Arial" w:cs="Arial" w:eastAsia="Arial" w:hAnsi="Arial"/>
          <w:sz w:val="16"/>
          <w:szCs w:val="16"/>
          <w:color w:val="auto"/>
        </w:rPr>
        <w:t>. The Administrator will determine the effect on Awards of a Participant’s leave of</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or change in hours of employment or service. In general, if, after the Grant Date of any Award to a Participant, the Participant’s regular level of time commitment in the performance of the Participant’s services for the Company and any Related Companies is reduced (for example, and without limitation, if the Participant has a change in status from a full-time employee to a part-time employee, or if the Participant goes on a leave of absence without using paid vacation or sick days), the Administrator has the right in its sole discretion (and without the need to seek or obtain the consent of the affected Participant) to (i) make a corresponding reduction in the number of shares, other property or cash subject to any portion of such Award that is scheduled to vest or become payable after the date of such change in time commitment, and (ii) in lieu of or in combination with such a reduction, extend the vesting or payment schedule applicable to such Award (but only if the modification would not cause the Participant to incur penalties or additional taxation under Section 409A). If an Award is reduced, the Participant will have no right with respect to the portion of the Award that is so reduced.</w:t>
      </w:r>
    </w:p>
    <w:p>
      <w:pPr>
        <w:spacing w:after="0" w:line="80" w:lineRule="exact"/>
        <w:rPr>
          <w:rFonts w:ascii="Arial" w:cs="Arial" w:eastAsia="Arial" w:hAnsi="Arial"/>
          <w:sz w:val="16"/>
          <w:szCs w:val="16"/>
          <w:color w:val="auto"/>
        </w:rPr>
      </w:pPr>
    </w:p>
    <w:p>
      <w:pPr>
        <w:ind w:left="1380" w:hanging="354"/>
        <w:spacing w:after="0" w:line="271" w:lineRule="auto"/>
        <w:tabs>
          <w:tab w:leader="none" w:pos="1380"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Applicability of Award Terms to New Property</w:t>
      </w:r>
      <w:r>
        <w:rPr>
          <w:rFonts w:ascii="Arial" w:cs="Arial" w:eastAsia="Arial" w:hAnsi="Arial"/>
          <w:sz w:val="16"/>
          <w:szCs w:val="16"/>
          <w:color w:val="auto"/>
        </w:rPr>
        <w:t>. If a Participant receives new or additional shares of Common Stock, other</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other property, or cash in respect of an Award, those shares, securities, property and cash will be subject to all the same terms of the Plan and the Award Agreement as applied to the underlying shares of Common Stock subject to that Award.</w:t>
      </w:r>
    </w:p>
    <w:p>
      <w:pPr>
        <w:spacing w:after="0" w:line="59" w:lineRule="exact"/>
        <w:rPr>
          <w:rFonts w:ascii="Arial" w:cs="Arial" w:eastAsia="Arial" w:hAnsi="Arial"/>
          <w:sz w:val="16"/>
          <w:szCs w:val="16"/>
          <w:color w:val="auto"/>
        </w:rPr>
      </w:pPr>
    </w:p>
    <w:p>
      <w:pPr>
        <w:ind w:left="1380" w:hanging="354"/>
        <w:spacing w:after="0" w:line="260" w:lineRule="auto"/>
        <w:tabs>
          <w:tab w:leader="none" w:pos="1380"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Dividends and Dividend Equivalents</w:t>
      </w:r>
      <w:r>
        <w:rPr>
          <w:rFonts w:ascii="Arial" w:cs="Arial" w:eastAsia="Arial" w:hAnsi="Arial"/>
          <w:sz w:val="16"/>
          <w:szCs w:val="16"/>
          <w:color w:val="auto"/>
        </w:rPr>
        <w:t>. The Administrator, in its discretion, may provide in the Award Agreement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any Award that the Participant will be entitled to receive dividends or Dividend Equivalents with respect to the payment of cash dividends on shares having a record date prior to the date on which the Awards are settled or forfeited. The dividends or Dividend Equivalents, if any, will be credited to an Award in such manner and subject to such terms and conditions as determined by the Administrator in its sole discretion subject to the provisions of the Plan. However, dividends and Dividend Equivalents will be subject to the same vesting provisions as the Awards to which they relate, and while amounts may accrue while the Award or Dividend Equivalent is unvested, the amounts payable with respect to Dividend Equivalents or dividends will not be paid before the Dividend Equivalent or the Award to which it relates vests. If a dividend or distribution is paid in shares of Common Stock or any other adjustment is made on a change in the capital structure of the Company as described in Section 12, appropriate adjustments will be made to the Participant’s Award and the associated Dividend Equivalent so that it represents the right to receive on settlement any and all new, substituted or additional securities or other property (other than normal cash dividends) to which the Participant would be entitled by reason of the consideration issuable on settlement of the Award, and all such new, substituted or additional securities or other property will be immediately subject to the same vesting and settlement conditions as are applicable to the Award. Dividend Equivalents will be subject to the same Award Limits applicable to the underlying Award.</w:t>
      </w:r>
    </w:p>
    <w:p>
      <w:pPr>
        <w:spacing w:after="0" w:line="88" w:lineRule="exact"/>
        <w:rPr>
          <w:rFonts w:ascii="Arial" w:cs="Arial" w:eastAsia="Arial" w:hAnsi="Arial"/>
          <w:sz w:val="16"/>
          <w:szCs w:val="16"/>
          <w:color w:val="auto"/>
        </w:rPr>
      </w:pPr>
    </w:p>
    <w:p>
      <w:pPr>
        <w:ind w:left="1380" w:hanging="354"/>
        <w:spacing w:after="0" w:line="265" w:lineRule="auto"/>
        <w:tabs>
          <w:tab w:leader="none" w:pos="1380"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Recoupment</w:t>
      </w:r>
      <w:r>
        <w:rPr>
          <w:rFonts w:ascii="Arial" w:cs="Arial" w:eastAsia="Arial" w:hAnsi="Arial"/>
          <w:sz w:val="16"/>
          <w:szCs w:val="16"/>
          <w:color w:val="auto"/>
        </w:rPr>
        <w:t>. All Awards are subject to recoupment in accordance with any clawback policy that the Company is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adopt pursuant to the listing standards of any national securities exchange or association on which the Company’s securities are listed or as is otherwise required by the Dodd-Frank Wall Street Reform and Consumer Protection Act or other Applicable Law, including, but not limited to, the Company’s Incentive Compensation Recovery Policy. The implementation of any clawback policy will not be deemed a triggering event for purposes of any definition of “good reason” for resignation or “constructive termination.”</w:t>
      </w:r>
    </w:p>
    <w:p>
      <w:pPr>
        <w:spacing w:after="0" w:line="63" w:lineRule="exact"/>
        <w:rPr>
          <w:rFonts w:ascii="Arial" w:cs="Arial" w:eastAsia="Arial" w:hAnsi="Arial"/>
          <w:sz w:val="16"/>
          <w:szCs w:val="16"/>
          <w:color w:val="auto"/>
        </w:rPr>
      </w:pPr>
    </w:p>
    <w:p>
      <w:pPr>
        <w:ind w:left="1380" w:right="540" w:hanging="354"/>
        <w:spacing w:after="0" w:line="284" w:lineRule="auto"/>
        <w:tabs>
          <w:tab w:leader="none" w:pos="1380"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Investigations</w:t>
      </w:r>
      <w:r>
        <w:rPr>
          <w:rFonts w:ascii="Arial" w:cs="Arial" w:eastAsia="Arial" w:hAnsi="Arial"/>
          <w:sz w:val="16"/>
          <w:szCs w:val="16"/>
          <w:color w:val="auto"/>
        </w:rPr>
        <w:t>. If a Participant’s employment or service relationship with the Company is suspended pending 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 of whether the Participant will be terminated for Cause, all the Participant’s rights under any Award will likewise be suspended during the period of investigation.</w:t>
      </w:r>
    </w:p>
    <w:p>
      <w:pPr>
        <w:spacing w:after="0" w:line="48" w:lineRule="exact"/>
        <w:rPr>
          <w:rFonts w:ascii="Arial" w:cs="Arial" w:eastAsia="Arial" w:hAnsi="Arial"/>
          <w:sz w:val="16"/>
          <w:szCs w:val="16"/>
          <w:color w:val="auto"/>
        </w:rPr>
      </w:pPr>
    </w:p>
    <w:p>
      <w:pPr>
        <w:ind w:left="1380" w:hanging="354"/>
        <w:spacing w:after="0" w:line="269" w:lineRule="auto"/>
        <w:tabs>
          <w:tab w:leader="none" w:pos="1380"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No Obligation to Notify or Minimize Taxes</w:t>
      </w:r>
      <w:r>
        <w:rPr>
          <w:rFonts w:ascii="Arial" w:cs="Arial" w:eastAsia="Arial" w:hAnsi="Arial"/>
          <w:sz w:val="16"/>
          <w:szCs w:val="16"/>
          <w:color w:val="auto"/>
        </w:rPr>
        <w:t>. The Company and the Administrator will have no duty or obligation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to advise such holder as to the time or manner of exercising the Participant’s rights under an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62" w:lineRule="exact"/>
        <w:rPr>
          <w:rFonts w:ascii="Arial" w:cs="Arial" w:eastAsia="Arial" w:hAnsi="Arial"/>
          <w:sz w:val="16"/>
          <w:szCs w:val="16"/>
          <w:color w:val="auto"/>
        </w:rPr>
      </w:pPr>
    </w:p>
    <w:p>
      <w:pPr>
        <w:ind w:left="1020" w:hanging="354"/>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Options &amp; SARs</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380" w:hanging="354"/>
        <w:spacing w:after="0"/>
        <w:tabs>
          <w:tab w:leader="none" w:pos="1380"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Exercise Price</w:t>
      </w:r>
      <w:r>
        <w:rPr>
          <w:rFonts w:ascii="Arial" w:cs="Arial" w:eastAsia="Arial" w:hAnsi="Arial"/>
          <w:sz w:val="16"/>
          <w:szCs w:val="16"/>
          <w:color w:val="auto"/>
        </w:rPr>
        <w:t>.</w:t>
      </w:r>
    </w:p>
    <w:p>
      <w:pPr>
        <w:spacing w:after="0" w:line="113" w:lineRule="exact"/>
        <w:rPr>
          <w:sz w:val="20"/>
          <w:szCs w:val="20"/>
          <w:color w:val="auto"/>
        </w:rPr>
      </w:pPr>
    </w:p>
    <w:p>
      <w:pPr>
        <w:ind w:left="1740" w:right="220" w:hanging="354"/>
        <w:spacing w:after="0" w:line="304" w:lineRule="auto"/>
        <w:tabs>
          <w:tab w:leader="none" w:pos="17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Generally, the Administrator may not grant Options or SARs with an exercise price per share less than 100% of the Fair Market Value of the Common Stock on the Grant Date.</w:t>
      </w:r>
    </w:p>
    <w:p>
      <w:pPr>
        <w:spacing w:after="0" w:line="33" w:lineRule="exact"/>
        <w:rPr>
          <w:rFonts w:ascii="Arial" w:cs="Arial" w:eastAsia="Arial" w:hAnsi="Arial"/>
          <w:sz w:val="16"/>
          <w:szCs w:val="16"/>
          <w:color w:val="auto"/>
        </w:rPr>
      </w:pPr>
    </w:p>
    <w:p>
      <w:pPr>
        <w:ind w:left="1740" w:right="340" w:hanging="354"/>
        <w:spacing w:after="0" w:line="304" w:lineRule="auto"/>
        <w:tabs>
          <w:tab w:leader="none" w:pos="17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Administrator may grant Options or SARs with a price less than 100% of the Fair Market Value in the case of Substitute Awards.</w:t>
      </w:r>
    </w:p>
    <w:p>
      <w:pPr>
        <w:spacing w:after="0" w:line="33" w:lineRule="exact"/>
        <w:rPr>
          <w:rFonts w:ascii="Arial" w:cs="Arial" w:eastAsia="Arial" w:hAnsi="Arial"/>
          <w:sz w:val="16"/>
          <w:szCs w:val="16"/>
          <w:color w:val="auto"/>
        </w:rPr>
      </w:pPr>
    </w:p>
    <w:p>
      <w:pPr>
        <w:ind w:left="1740" w:right="40" w:hanging="354"/>
        <w:spacing w:after="0" w:line="275" w:lineRule="auto"/>
        <w:tabs>
          <w:tab w:leader="none" w:pos="17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Without the approval of the Company’s stockholders, the Administrator may not engage in a transaction that is commonly referred to as a “repricing” of an outstanding Option or SAR, including (A) reducing the exercise price of an outstanding Option or SAR with an exercise price greater than the then-current Fair Market Value of the Common Stock (an “</w:t>
      </w:r>
      <w:r>
        <w:rPr>
          <w:rFonts w:ascii="Arial" w:cs="Arial" w:eastAsia="Arial" w:hAnsi="Arial"/>
          <w:sz w:val="16"/>
          <w:szCs w:val="16"/>
          <w:b w:val="1"/>
          <w:bCs w:val="1"/>
          <w:color w:val="auto"/>
        </w:rPr>
        <w:t>Underwater Award</w:t>
      </w:r>
      <w:r>
        <w:rPr>
          <w:rFonts w:ascii="Arial" w:cs="Arial" w:eastAsia="Arial" w:hAnsi="Arial"/>
          <w:sz w:val="16"/>
          <w:szCs w:val="16"/>
          <w:color w:val="auto"/>
        </w:rPr>
        <w:t>”), (B) cancelling an Underwater Award and granting in substitution (1)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193675</wp:posOffset>
            </wp:positionV>
            <wp:extent cx="334010" cy="1625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16" w:lineRule="exact"/>
        <w:rPr>
          <w:sz w:val="20"/>
          <w:szCs w:val="20"/>
          <w:color w:val="auto"/>
        </w:rPr>
      </w:pPr>
    </w:p>
    <w:p>
      <w:pPr>
        <w:ind w:left="4600"/>
        <w:spacing w:after="0"/>
        <w:tabs>
          <w:tab w:leader="none" w:pos="8620" w:val="left"/>
        </w:tabs>
        <w:rPr>
          <w:sz w:val="20"/>
          <w:szCs w:val="20"/>
          <w:color w:val="auto"/>
        </w:rPr>
      </w:pPr>
      <w:r>
        <w:rPr>
          <w:rFonts w:ascii="Arial" w:cs="Arial" w:eastAsia="Arial" w:hAnsi="Arial"/>
          <w:sz w:val="14"/>
          <w:szCs w:val="14"/>
          <w:color w:val="auto"/>
        </w:rPr>
        <w:t>»  C-4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740" w:right="160"/>
        <w:spacing w:after="0" w:line="304" w:lineRule="auto"/>
        <w:rPr>
          <w:sz w:val="20"/>
          <w:szCs w:val="20"/>
          <w:color w:val="auto"/>
        </w:rPr>
      </w:pPr>
      <w:r>
        <w:rPr>
          <w:rFonts w:ascii="Arial" w:cs="Arial" w:eastAsia="Arial" w:hAnsi="Arial"/>
          <w:sz w:val="16"/>
          <w:szCs w:val="16"/>
          <w:color w:val="auto"/>
        </w:rPr>
        <w:t>with a lower exercise price, (2) cash, and/or (3) other consideration determined by the Administrator, or (C) take any other action that is treated as a “repricing” under generally accepted accounting principles.</w:t>
      </w:r>
    </w:p>
    <w:p>
      <w:pPr>
        <w:spacing w:after="0" w:line="47" w:lineRule="exact"/>
        <w:rPr>
          <w:sz w:val="20"/>
          <w:szCs w:val="20"/>
          <w:color w:val="auto"/>
        </w:rPr>
      </w:pPr>
    </w:p>
    <w:p>
      <w:pPr>
        <w:ind w:left="1380" w:right="520" w:hanging="354"/>
        <w:spacing w:after="0" w:line="304" w:lineRule="auto"/>
        <w:tabs>
          <w:tab w:leader="none" w:pos="138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maximum term of an Option or SAR will be 10 years from the Grant Date, subject to earlier termination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terms of the Plan and the Award Agreement.</w:t>
      </w:r>
    </w:p>
    <w:p>
      <w:pPr>
        <w:spacing w:after="0" w:line="60" w:lineRule="exact"/>
        <w:rPr>
          <w:rFonts w:ascii="Arial" w:cs="Arial" w:eastAsia="Arial" w:hAnsi="Arial"/>
          <w:sz w:val="16"/>
          <w:szCs w:val="16"/>
          <w:color w:val="auto"/>
        </w:rPr>
      </w:pPr>
    </w:p>
    <w:p>
      <w:pPr>
        <w:ind w:left="1380" w:hanging="354"/>
        <w:spacing w:after="0"/>
        <w:tabs>
          <w:tab w:leader="none" w:pos="138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Conditions to Exercise</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1740" w:right="60" w:hanging="354"/>
        <w:spacing w:after="0" w:line="262" w:lineRule="auto"/>
        <w:tabs>
          <w:tab w:leader="none" w:pos="17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To exercise an Option or SAR, the Participant must deliver (A) the exercise agreement stating the number of shares being purchased and, if applicable, the account number or digital wallet address into which the shares should be deposited, (B) payment in full of the exercise price and any tax withholding obligations, and (C) any additional documents required by the Company as a condition to exercise. The Company will not initiate the settlement on the exercise of an Option or SAR until the Company has verified that all conditions necessary for the exercise of the Award have been satisfied (including compliance with Applicable Laws), all the foregoing steps have been completed and the Company initiates the issuance of the shares in the Participant’s name. The Company will issue exercised shares promptly after the exercise.</w:t>
      </w:r>
    </w:p>
    <w:p>
      <w:pPr>
        <w:spacing w:after="0" w:line="94" w:lineRule="exact"/>
        <w:rPr>
          <w:rFonts w:ascii="Arial" w:cs="Arial" w:eastAsia="Arial" w:hAnsi="Arial"/>
          <w:sz w:val="16"/>
          <w:szCs w:val="16"/>
          <w:color w:val="auto"/>
        </w:rPr>
      </w:pPr>
    </w:p>
    <w:p>
      <w:pPr>
        <w:ind w:left="1740" w:right="80" w:hanging="354"/>
        <w:spacing w:after="0" w:line="269" w:lineRule="auto"/>
        <w:tabs>
          <w:tab w:leader="none" w:pos="17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Administrator may modify the exercise agreement form and the procedure for exercise, from time to time, including after the Grant Date of an Award, without the Participant’s consent. The Administrator may restrict exercise to those times when the exercise will not violate Applicable Laws. In addition, the Administrator may prohibit exercise during any “</w:t>
      </w:r>
      <w:r>
        <w:rPr>
          <w:rFonts w:ascii="Arial" w:cs="Arial" w:eastAsia="Arial" w:hAnsi="Arial"/>
          <w:sz w:val="16"/>
          <w:szCs w:val="16"/>
          <w:b w:val="1"/>
          <w:bCs w:val="1"/>
          <w:color w:val="auto"/>
        </w:rPr>
        <w:t>blackou</w:t>
      </w:r>
      <w:r>
        <w:rPr>
          <w:rFonts w:ascii="Arial" w:cs="Arial" w:eastAsia="Arial" w:hAnsi="Arial"/>
          <w:sz w:val="16"/>
          <w:szCs w:val="16"/>
          <w:color w:val="auto"/>
        </w:rPr>
        <w:t>t” or “</w:t>
      </w:r>
      <w:r>
        <w:rPr>
          <w:rFonts w:ascii="Arial" w:cs="Arial" w:eastAsia="Arial" w:hAnsi="Arial"/>
          <w:sz w:val="16"/>
          <w:szCs w:val="16"/>
          <w:b w:val="1"/>
          <w:bCs w:val="1"/>
          <w:color w:val="auto"/>
        </w:rPr>
        <w:t>closed</w:t>
      </w:r>
      <w:r>
        <w:rPr>
          <w:rFonts w:ascii="Arial" w:cs="Arial" w:eastAsia="Arial" w:hAnsi="Arial"/>
          <w:sz w:val="16"/>
          <w:szCs w:val="16"/>
          <w:color w:val="auto"/>
        </w:rPr>
        <w:t>” trading windows under the Company’s insider trading policies (as amended from time to time).</w:t>
      </w:r>
    </w:p>
    <w:p>
      <w:pPr>
        <w:spacing w:after="0" w:line="89" w:lineRule="exact"/>
        <w:rPr>
          <w:rFonts w:ascii="Arial" w:cs="Arial" w:eastAsia="Arial" w:hAnsi="Arial"/>
          <w:sz w:val="16"/>
          <w:szCs w:val="16"/>
          <w:color w:val="auto"/>
        </w:rPr>
      </w:pPr>
    </w:p>
    <w:p>
      <w:pPr>
        <w:ind w:left="1740" w:right="640" w:hanging="354"/>
        <w:spacing w:after="0" w:line="286" w:lineRule="auto"/>
        <w:tabs>
          <w:tab w:leader="none" w:pos="17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Administrator may require that an Option may be exercised only for whole shares and for not less than a reasonable number of shares at any one time.</w:t>
      </w:r>
    </w:p>
    <w:p>
      <w:pPr>
        <w:spacing w:after="0" w:line="74" w:lineRule="exact"/>
        <w:rPr>
          <w:rFonts w:ascii="Arial" w:cs="Arial" w:eastAsia="Arial" w:hAnsi="Arial"/>
          <w:sz w:val="16"/>
          <w:szCs w:val="16"/>
          <w:color w:val="auto"/>
        </w:rPr>
      </w:pPr>
    </w:p>
    <w:p>
      <w:pPr>
        <w:ind w:left="1380" w:right="20" w:hanging="354"/>
        <w:spacing w:after="0" w:line="261" w:lineRule="auto"/>
        <w:tabs>
          <w:tab w:leader="none" w:pos="138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If an Option or SAR is granted to an employee who is a non-exempt employee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Labor Standards Act of 1938, as amended, the Option or SAR will not be first exercisable for any shares of Common Stock until at least 6 months following the Grant Date of the Option or SAR (although the Award may vest prior to such date). Consistent with the provisions of the Worker Economic Opportunity Act, (i) if such non-exempt employee dies or suffers a disability, (ii) on a Change of Control in which such Option or SAR is not assumed, continued, or substituted, or (iii) on the Participant’s retirement (as such term may be defined in the Participant’s Award Agreement or in another agreement between the Participant and the Company, or, if no such definition, in accordance with the Company’s then current employment policies and guidelines), the vested portion of any Options and SARs may be exercised earlier than 6 months following the Grant Date. The foregoing provision is intended to operate so that any income derived by a non-exempt employee from the exercise or vesting of an Option or SAR will be exempt from the employee’s regular rate of pay. If required for compliance with the Worker Economic Opportunity Act to ensure that any income derived by a non-exempt employee from the exercise, vesting or issuance of any shares under any other Award will be exempt from the employee’s regular rate of pay, the provisions of this paragraph will apply to all Awards and are hereby incorporated by reference into such Award Agreements.</w:t>
      </w:r>
    </w:p>
    <w:p>
      <w:pPr>
        <w:spacing w:after="0" w:line="101" w:lineRule="exact"/>
        <w:rPr>
          <w:rFonts w:ascii="Arial" w:cs="Arial" w:eastAsia="Arial" w:hAnsi="Arial"/>
          <w:sz w:val="16"/>
          <w:szCs w:val="16"/>
          <w:color w:val="auto"/>
        </w:rPr>
      </w:pPr>
    </w:p>
    <w:p>
      <w:pPr>
        <w:ind w:left="1380" w:right="320" w:hanging="354"/>
        <w:spacing w:after="0" w:line="275" w:lineRule="auto"/>
        <w:tabs>
          <w:tab w:leader="none" w:pos="138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of Service. </w:t>
      </w:r>
      <w:r>
        <w:rPr>
          <w:rFonts w:ascii="Arial" w:cs="Arial" w:eastAsia="Arial" w:hAnsi="Arial"/>
          <w:sz w:val="16"/>
          <w:szCs w:val="16"/>
          <w:color w:val="auto"/>
        </w:rPr>
        <w:t>The Administrator will establish and define in the Award Agreement how an Option or</w:t>
      </w:r>
      <w:r>
        <w:rPr>
          <w:rFonts w:ascii="Arial" w:cs="Arial" w:eastAsia="Arial" w:hAnsi="Arial"/>
          <w:sz w:val="16"/>
          <w:szCs w:val="16"/>
          <w:b w:val="1"/>
          <w:bCs w:val="1"/>
          <w:color w:val="auto"/>
        </w:rPr>
        <w:t xml:space="preserve"> </w:t>
      </w:r>
      <w:r>
        <w:rPr>
          <w:rFonts w:ascii="Arial" w:cs="Arial" w:eastAsia="Arial" w:hAnsi="Arial"/>
          <w:sz w:val="16"/>
          <w:szCs w:val="16"/>
          <w:color w:val="auto"/>
        </w:rPr>
        <w:t>SAR will be treated on a Termination of Service. Unless otherwise set forth in the Award Agreement or otherwise determined by the Administrator, the following treatment will apply:</w:t>
      </w:r>
    </w:p>
    <w:p>
      <w:pPr>
        <w:spacing w:after="0" w:line="83" w:lineRule="exact"/>
        <w:rPr>
          <w:rFonts w:ascii="Arial" w:cs="Arial" w:eastAsia="Arial" w:hAnsi="Arial"/>
          <w:sz w:val="16"/>
          <w:szCs w:val="16"/>
          <w:color w:val="auto"/>
        </w:rPr>
      </w:pPr>
    </w:p>
    <w:p>
      <w:pPr>
        <w:ind w:left="1740" w:right="260" w:hanging="354"/>
        <w:spacing w:after="0" w:line="286" w:lineRule="auto"/>
        <w:tabs>
          <w:tab w:leader="none" w:pos="17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portion of an Award that is not vested and exercisable on the date of a Participant’s Termination of Service will expire on the Participant’s Termination of Service.</w:t>
      </w:r>
    </w:p>
    <w:p>
      <w:pPr>
        <w:spacing w:after="0" w:line="74" w:lineRule="exact"/>
        <w:rPr>
          <w:rFonts w:ascii="Arial" w:cs="Arial" w:eastAsia="Arial" w:hAnsi="Arial"/>
          <w:sz w:val="16"/>
          <w:szCs w:val="16"/>
          <w:color w:val="auto"/>
        </w:rPr>
      </w:pPr>
    </w:p>
    <w:p>
      <w:pPr>
        <w:ind w:left="1740" w:right="40" w:hanging="354"/>
        <w:spacing w:after="0" w:line="304" w:lineRule="auto"/>
        <w:tabs>
          <w:tab w:leader="none" w:pos="17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portion of an Award that is vested and exercisable on the date of a Participant’s Termination of Service will expire on the earliest to occur of the following, if not exercised by that date:</w:t>
      </w:r>
    </w:p>
    <w:p>
      <w:pPr>
        <w:spacing w:after="0" w:line="60" w:lineRule="exact"/>
        <w:rPr>
          <w:rFonts w:ascii="Arial" w:cs="Arial" w:eastAsia="Arial" w:hAnsi="Arial"/>
          <w:sz w:val="16"/>
          <w:szCs w:val="16"/>
          <w:color w:val="auto"/>
        </w:rPr>
      </w:pPr>
    </w:p>
    <w:p>
      <w:pPr>
        <w:ind w:left="2100" w:right="120" w:hanging="354"/>
        <w:spacing w:after="0" w:line="286" w:lineRule="auto"/>
        <w:tabs>
          <w:tab w:leader="none" w:pos="2100" w:val="left"/>
        </w:tabs>
        <w:numPr>
          <w:ilvl w:val="2"/>
          <w:numId w:val="63"/>
        </w:numPr>
        <w:rPr>
          <w:rFonts w:ascii="Arial" w:cs="Arial" w:eastAsia="Arial" w:hAnsi="Arial"/>
          <w:sz w:val="16"/>
          <w:szCs w:val="16"/>
          <w:color w:val="auto"/>
        </w:rPr>
      </w:pPr>
      <w:r>
        <w:rPr>
          <w:rFonts w:ascii="Arial" w:cs="Arial" w:eastAsia="Arial" w:hAnsi="Arial"/>
          <w:sz w:val="16"/>
          <w:szCs w:val="16"/>
          <w:color w:val="auto"/>
        </w:rPr>
        <w:t>if the Participant’s Termination of Service occurs for reasons other than Cause, Disability or death, the date that is three months after such Termination of Service;</w:t>
      </w:r>
    </w:p>
    <w:p>
      <w:pPr>
        <w:spacing w:after="0" w:line="74" w:lineRule="exact"/>
        <w:rPr>
          <w:rFonts w:ascii="Arial" w:cs="Arial" w:eastAsia="Arial" w:hAnsi="Arial"/>
          <w:sz w:val="16"/>
          <w:szCs w:val="16"/>
          <w:color w:val="auto"/>
        </w:rPr>
      </w:pPr>
    </w:p>
    <w:p>
      <w:pPr>
        <w:ind w:left="2100" w:hanging="354"/>
        <w:spacing w:after="0"/>
        <w:tabs>
          <w:tab w:leader="none" w:pos="2100" w:val="left"/>
        </w:tabs>
        <w:numPr>
          <w:ilvl w:val="2"/>
          <w:numId w:val="63"/>
        </w:numPr>
        <w:rPr>
          <w:rFonts w:ascii="Arial" w:cs="Arial" w:eastAsia="Arial" w:hAnsi="Arial"/>
          <w:sz w:val="16"/>
          <w:szCs w:val="16"/>
          <w:color w:val="auto"/>
        </w:rPr>
      </w:pPr>
      <w:r>
        <w:rPr>
          <w:rFonts w:ascii="Arial" w:cs="Arial" w:eastAsia="Arial" w:hAnsi="Arial"/>
          <w:sz w:val="16"/>
          <w:szCs w:val="16"/>
          <w:color w:val="auto"/>
        </w:rPr>
        <w:t>if the Participant’s Termination of Service occurs by reason of Cause, the date of the Termination of Service;</w:t>
      </w:r>
    </w:p>
    <w:p>
      <w:pPr>
        <w:spacing w:after="0" w:line="140" w:lineRule="exact"/>
        <w:rPr>
          <w:rFonts w:ascii="Arial" w:cs="Arial" w:eastAsia="Arial" w:hAnsi="Arial"/>
          <w:sz w:val="16"/>
          <w:szCs w:val="16"/>
          <w:color w:val="auto"/>
        </w:rPr>
      </w:pPr>
    </w:p>
    <w:p>
      <w:pPr>
        <w:ind w:left="2100" w:right="60" w:hanging="354"/>
        <w:spacing w:after="0" w:line="304" w:lineRule="auto"/>
        <w:tabs>
          <w:tab w:leader="none" w:pos="2100" w:val="left"/>
        </w:tabs>
        <w:numPr>
          <w:ilvl w:val="2"/>
          <w:numId w:val="63"/>
        </w:numPr>
        <w:rPr>
          <w:rFonts w:ascii="Arial" w:cs="Arial" w:eastAsia="Arial" w:hAnsi="Arial"/>
          <w:sz w:val="16"/>
          <w:szCs w:val="16"/>
          <w:color w:val="auto"/>
        </w:rPr>
      </w:pPr>
      <w:r>
        <w:rPr>
          <w:rFonts w:ascii="Arial" w:cs="Arial" w:eastAsia="Arial" w:hAnsi="Arial"/>
          <w:sz w:val="16"/>
          <w:szCs w:val="16"/>
          <w:color w:val="auto"/>
        </w:rPr>
        <w:t>if the Participant’s Termination of Service occurs by reason of death or Disability, the date that is 12 months after such Termination of Service;</w:t>
      </w:r>
    </w:p>
    <w:p>
      <w:pPr>
        <w:spacing w:after="0" w:line="60" w:lineRule="exact"/>
        <w:rPr>
          <w:rFonts w:ascii="Arial" w:cs="Arial" w:eastAsia="Arial" w:hAnsi="Arial"/>
          <w:sz w:val="16"/>
          <w:szCs w:val="16"/>
          <w:color w:val="auto"/>
        </w:rPr>
      </w:pPr>
    </w:p>
    <w:p>
      <w:pPr>
        <w:ind w:left="2100" w:right="260" w:hanging="354"/>
        <w:spacing w:after="0" w:line="321" w:lineRule="auto"/>
        <w:tabs>
          <w:tab w:leader="none" w:pos="2100" w:val="left"/>
        </w:tabs>
        <w:numPr>
          <w:ilvl w:val="2"/>
          <w:numId w:val="63"/>
        </w:numPr>
        <w:rPr>
          <w:rFonts w:ascii="Arial" w:cs="Arial" w:eastAsia="Arial" w:hAnsi="Arial"/>
          <w:sz w:val="15"/>
          <w:szCs w:val="15"/>
          <w:color w:val="auto"/>
        </w:rPr>
      </w:pPr>
      <w:r>
        <w:rPr>
          <w:rFonts w:ascii="Arial" w:cs="Arial" w:eastAsia="Arial" w:hAnsi="Arial"/>
          <w:sz w:val="15"/>
          <w:szCs w:val="15"/>
          <w:color w:val="auto"/>
        </w:rPr>
        <w:t>if the Administrator determines during any of the foregoing post-termination exercise periods that Cause for termination existed at the time of the Participant’s Termination of Service, immediately on such determination;</w:t>
      </w:r>
    </w:p>
    <w:p>
      <w:pPr>
        <w:spacing w:after="0" w:line="51" w:lineRule="exact"/>
        <w:rPr>
          <w:rFonts w:ascii="Arial" w:cs="Arial" w:eastAsia="Arial" w:hAnsi="Arial"/>
          <w:sz w:val="15"/>
          <w:szCs w:val="15"/>
          <w:color w:val="auto"/>
        </w:rPr>
      </w:pPr>
    </w:p>
    <w:p>
      <w:pPr>
        <w:ind w:left="2100" w:hanging="354"/>
        <w:spacing w:after="0" w:line="284" w:lineRule="auto"/>
        <w:tabs>
          <w:tab w:leader="none" w:pos="2100" w:val="left"/>
        </w:tabs>
        <w:numPr>
          <w:ilvl w:val="2"/>
          <w:numId w:val="63"/>
        </w:numPr>
        <w:rPr>
          <w:rFonts w:ascii="Arial" w:cs="Arial" w:eastAsia="Arial" w:hAnsi="Arial"/>
          <w:sz w:val="16"/>
          <w:szCs w:val="16"/>
          <w:color w:val="auto"/>
        </w:rPr>
      </w:pPr>
      <w:r>
        <w:rPr>
          <w:rFonts w:ascii="Arial" w:cs="Arial" w:eastAsia="Arial" w:hAnsi="Arial"/>
          <w:sz w:val="16"/>
          <w:szCs w:val="16"/>
          <w:color w:val="auto"/>
        </w:rPr>
        <w:t>if, during any of the foregoing periods, the Company undergoes a Change of Control and the successor or acquiring entity refuses to assume, continue, replace or substitute an equivalent Award, then at the effective time of the Change of Control; and</w:t>
      </w:r>
    </w:p>
    <w:p>
      <w:pPr>
        <w:spacing w:after="0" w:line="75" w:lineRule="exact"/>
        <w:rPr>
          <w:rFonts w:ascii="Arial" w:cs="Arial" w:eastAsia="Arial" w:hAnsi="Arial"/>
          <w:sz w:val="16"/>
          <w:szCs w:val="16"/>
          <w:color w:val="auto"/>
        </w:rPr>
      </w:pPr>
    </w:p>
    <w:p>
      <w:pPr>
        <w:ind w:left="2100" w:hanging="354"/>
        <w:spacing w:after="0"/>
        <w:tabs>
          <w:tab w:leader="none" w:pos="210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Award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226695</wp:posOffset>
            </wp:positionV>
            <wp:extent cx="334010" cy="1625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68" w:lineRule="exact"/>
        <w:rPr>
          <w:sz w:val="20"/>
          <w:szCs w:val="20"/>
          <w:color w:val="auto"/>
        </w:rPr>
      </w:pPr>
    </w:p>
    <w:p>
      <w:pPr>
        <w:ind w:left="4600"/>
        <w:spacing w:after="0"/>
        <w:tabs>
          <w:tab w:leader="none" w:pos="8620" w:val="left"/>
        </w:tabs>
        <w:rPr>
          <w:sz w:val="20"/>
          <w:szCs w:val="20"/>
          <w:color w:val="auto"/>
        </w:rPr>
      </w:pPr>
      <w:r>
        <w:rPr>
          <w:rFonts w:ascii="Arial" w:cs="Arial" w:eastAsia="Arial" w:hAnsi="Arial"/>
          <w:sz w:val="14"/>
          <w:szCs w:val="14"/>
          <w:color w:val="auto"/>
        </w:rPr>
        <w:t>»  C-5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380" w:hanging="354"/>
        <w:spacing w:after="0"/>
        <w:tabs>
          <w:tab w:leader="none" w:pos="1380" w:val="left"/>
        </w:tabs>
        <w:numPr>
          <w:ilvl w:val="1"/>
          <w:numId w:val="64"/>
        </w:numPr>
        <w:rPr>
          <w:rFonts w:ascii="Arial" w:cs="Arial" w:eastAsia="Arial" w:hAnsi="Arial"/>
          <w:sz w:val="16"/>
          <w:szCs w:val="16"/>
          <w:color w:val="auto"/>
        </w:rPr>
      </w:pPr>
      <w:r>
        <w:rPr>
          <w:rFonts w:ascii="Arial" w:cs="Arial" w:eastAsia="Arial" w:hAnsi="Arial"/>
          <w:sz w:val="16"/>
          <w:szCs w:val="16"/>
          <w:b w:val="1"/>
          <w:bCs w:val="1"/>
          <w:color w:val="auto"/>
        </w:rPr>
        <w:t>Extension Under Limited Circumstances</w:t>
      </w:r>
      <w:r>
        <w:rPr>
          <w:rFonts w:ascii="Arial" w:cs="Arial" w:eastAsia="Arial" w:hAnsi="Arial"/>
          <w:sz w:val="16"/>
          <w:szCs w:val="16"/>
          <w:color w:val="auto"/>
        </w:rPr>
        <w:t>. The Administrator may provide that:</w:t>
      </w:r>
    </w:p>
    <w:p>
      <w:pPr>
        <w:spacing w:after="0" w:line="126" w:lineRule="exact"/>
        <w:rPr>
          <w:rFonts w:ascii="Arial" w:cs="Arial" w:eastAsia="Arial" w:hAnsi="Arial"/>
          <w:sz w:val="16"/>
          <w:szCs w:val="16"/>
          <w:color w:val="auto"/>
        </w:rPr>
      </w:pPr>
    </w:p>
    <w:p>
      <w:pPr>
        <w:ind w:left="1740" w:right="20" w:hanging="354"/>
        <w:spacing w:after="0" w:line="271" w:lineRule="auto"/>
        <w:tabs>
          <w:tab w:leader="none" w:pos="1740" w:val="left"/>
        </w:tabs>
        <w:numPr>
          <w:ilvl w:val="2"/>
          <w:numId w:val="64"/>
        </w:numPr>
        <w:rPr>
          <w:rFonts w:ascii="Arial" w:cs="Arial" w:eastAsia="Arial" w:hAnsi="Arial"/>
          <w:sz w:val="16"/>
          <w:szCs w:val="16"/>
          <w:color w:val="auto"/>
        </w:rPr>
      </w:pPr>
      <w:r>
        <w:rPr>
          <w:rFonts w:ascii="Arial" w:cs="Arial" w:eastAsia="Arial" w:hAnsi="Arial"/>
          <w:sz w:val="16"/>
          <w:szCs w:val="16"/>
          <w:color w:val="auto"/>
        </w:rPr>
        <w:t>if the exercise of an Option or SAR following the Termination of Service (other than upon the Participant’s death or Disability) would result in liability under Section 16(b) of the Exchange Act, then the Award will terminate on the earlier of (A) the Award Expiration Date, or (B) the tenth (10th) day after the last date on which such exercise would result in liability under Section 16(b) of the Exchange Act; or</w:t>
      </w:r>
    </w:p>
    <w:p>
      <w:pPr>
        <w:spacing w:after="0" w:line="73" w:lineRule="exact"/>
        <w:rPr>
          <w:rFonts w:ascii="Arial" w:cs="Arial" w:eastAsia="Arial" w:hAnsi="Arial"/>
          <w:sz w:val="16"/>
          <w:szCs w:val="16"/>
          <w:color w:val="auto"/>
        </w:rPr>
      </w:pPr>
    </w:p>
    <w:p>
      <w:pPr>
        <w:ind w:left="1740" w:right="100" w:hanging="354"/>
        <w:spacing w:after="0" w:line="262" w:lineRule="auto"/>
        <w:tabs>
          <w:tab w:leader="none" w:pos="1740" w:val="left"/>
        </w:tabs>
        <w:numPr>
          <w:ilvl w:val="2"/>
          <w:numId w:val="64"/>
        </w:numPr>
        <w:rPr>
          <w:rFonts w:ascii="Arial" w:cs="Arial" w:eastAsia="Arial" w:hAnsi="Arial"/>
          <w:sz w:val="16"/>
          <w:szCs w:val="16"/>
          <w:color w:val="auto"/>
        </w:rPr>
      </w:pPr>
      <w:r>
        <w:rPr>
          <w:rFonts w:ascii="Arial" w:cs="Arial" w:eastAsia="Arial" w:hAnsi="Arial"/>
          <w:sz w:val="16"/>
          <w:szCs w:val="16"/>
          <w:color w:val="auto"/>
        </w:rPr>
        <w:t>if the exercise of the Award following the Participant’s Termination of Service (other than upon the Participant’s death or Disability) would be prohibited at any time solely because the issuance of shares of Common Stock would violate the registration requirements under the Securities Act or the Company’s insider trading policy, then the Award will terminate on the earlier of (A) the Award Expiration Date or (B) the expiration of a period of thirty (30) days (or such longer period of time as determined by the Administrator in its sole discretion) after the Termination of Service during which the exercise of the Award would not be in violation of such registration requirements or insider trading policy requirements.</w:t>
      </w:r>
    </w:p>
    <w:p>
      <w:pPr>
        <w:spacing w:after="0" w:line="79" w:lineRule="exact"/>
        <w:rPr>
          <w:rFonts w:ascii="Arial" w:cs="Arial" w:eastAsia="Arial" w:hAnsi="Arial"/>
          <w:sz w:val="16"/>
          <w:szCs w:val="16"/>
          <w:color w:val="auto"/>
        </w:rPr>
      </w:pPr>
    </w:p>
    <w:p>
      <w:pPr>
        <w:ind w:left="1380" w:right="40" w:hanging="354"/>
        <w:spacing w:after="0" w:line="275" w:lineRule="auto"/>
        <w:tabs>
          <w:tab w:leader="none" w:pos="1380" w:val="left"/>
        </w:tabs>
        <w:numPr>
          <w:ilvl w:val="1"/>
          <w:numId w:val="64"/>
        </w:numPr>
        <w:rPr>
          <w:rFonts w:ascii="Arial" w:cs="Arial" w:eastAsia="Arial" w:hAnsi="Arial"/>
          <w:sz w:val="16"/>
          <w:szCs w:val="16"/>
          <w:color w:val="auto"/>
        </w:rPr>
      </w:pPr>
      <w:r>
        <w:rPr>
          <w:rFonts w:ascii="Arial" w:cs="Arial" w:eastAsia="Arial" w:hAnsi="Arial"/>
          <w:sz w:val="16"/>
          <w:szCs w:val="16"/>
          <w:b w:val="1"/>
          <w:bCs w:val="1"/>
          <w:color w:val="auto"/>
        </w:rPr>
        <w:t>No Reload Options</w:t>
      </w:r>
      <w:r>
        <w:rPr>
          <w:rFonts w:ascii="Arial" w:cs="Arial" w:eastAsia="Arial" w:hAnsi="Arial"/>
          <w:sz w:val="16"/>
          <w:szCs w:val="16"/>
          <w:color w:val="auto"/>
        </w:rPr>
        <w:t>. Options shall not be granted under this Plan in consideration for, and shall not be conditioned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delivery of shares of Common Stock to the Company in payment of the exercise price and/or tax withholding obligation under any other Option.</w:t>
      </w:r>
    </w:p>
    <w:p>
      <w:pPr>
        <w:spacing w:after="0" w:line="69" w:lineRule="exact"/>
        <w:rPr>
          <w:rFonts w:ascii="Arial" w:cs="Arial" w:eastAsia="Arial" w:hAnsi="Arial"/>
          <w:sz w:val="16"/>
          <w:szCs w:val="16"/>
          <w:color w:val="auto"/>
        </w:rPr>
      </w:pPr>
    </w:p>
    <w:p>
      <w:pPr>
        <w:ind w:left="1020" w:right="40" w:hanging="354"/>
        <w:spacing w:after="0" w:line="265" w:lineRule="auto"/>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Incentive Stock Option Limitations</w:t>
      </w:r>
      <w:r>
        <w:rPr>
          <w:rFonts w:ascii="Arial" w:cs="Arial" w:eastAsia="Arial" w:hAnsi="Arial"/>
          <w:sz w:val="16"/>
          <w:szCs w:val="16"/>
          <w:color w:val="auto"/>
        </w:rPr>
        <w:t>. The terms of an Incentive Stock Option must comply in all respects with Section 422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Code, or any successor provision, and any applicable regulations thereunder, each of which is incorporated by reference into this Plan. The Administrator will construe the terms of any Option granted as an Incentive Stock Option within the meaning of Section 422 of the Code, and if the Option (or a portion thereof) does not meet the requirements of Section 422 of the Code, that Option (or that portion) will be treated as a Nonqualified Stock Option. The requirements of Section 422 of the Code include the following:</w:t>
      </w:r>
    </w:p>
    <w:p>
      <w:pPr>
        <w:spacing w:after="0" w:line="77" w:lineRule="exact"/>
        <w:rPr>
          <w:rFonts w:ascii="Arial" w:cs="Arial" w:eastAsia="Arial" w:hAnsi="Arial"/>
          <w:sz w:val="16"/>
          <w:szCs w:val="16"/>
          <w:color w:val="auto"/>
        </w:rPr>
      </w:pPr>
    </w:p>
    <w:p>
      <w:pPr>
        <w:ind w:left="1380" w:right="140" w:hanging="354"/>
        <w:spacing w:after="0" w:line="271" w:lineRule="auto"/>
        <w:tabs>
          <w:tab w:leader="none" w:pos="13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ISO Limit</w:t>
      </w:r>
      <w:r>
        <w:rPr>
          <w:rFonts w:ascii="Arial" w:cs="Arial" w:eastAsia="Arial" w:hAnsi="Arial"/>
          <w:sz w:val="16"/>
          <w:szCs w:val="16"/>
          <w:color w:val="auto"/>
        </w:rPr>
        <w:t>. The maximum number of shares that may be issued on the exercise of Incentive Stock Options will equal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 Reserve (the “</w:t>
      </w:r>
      <w:r>
        <w:rPr>
          <w:rFonts w:ascii="Arial" w:cs="Arial" w:eastAsia="Arial" w:hAnsi="Arial"/>
          <w:sz w:val="16"/>
          <w:szCs w:val="16"/>
          <w:b w:val="1"/>
          <w:bCs w:val="1"/>
          <w:color w:val="auto"/>
        </w:rPr>
        <w:t>ISO Limit</w:t>
      </w:r>
      <w:r>
        <w:rPr>
          <w:rFonts w:ascii="Arial" w:cs="Arial" w:eastAsia="Arial" w:hAnsi="Arial"/>
          <w:sz w:val="16"/>
          <w:szCs w:val="16"/>
          <w:color w:val="auto"/>
        </w:rPr>
        <w:t>”). Each increase to the Share Reserve authorized by the Board and stockholders after the Effective Date will also result in a corresponding increase in this ISO Limit, unless otherwise expressly provided in the Board or stockholder resolutions approving such increase.</w:t>
      </w:r>
    </w:p>
    <w:p>
      <w:pPr>
        <w:spacing w:after="0" w:line="73" w:lineRule="exact"/>
        <w:rPr>
          <w:rFonts w:ascii="Arial" w:cs="Arial" w:eastAsia="Arial" w:hAnsi="Arial"/>
          <w:sz w:val="16"/>
          <w:szCs w:val="16"/>
          <w:color w:val="auto"/>
        </w:rPr>
      </w:pPr>
    </w:p>
    <w:p>
      <w:pPr>
        <w:ind w:left="1380" w:hanging="354"/>
        <w:spacing w:after="0" w:line="265" w:lineRule="auto"/>
        <w:tabs>
          <w:tab w:leader="none" w:pos="13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ISO Granting Period</w:t>
      </w:r>
      <w:r>
        <w:rPr>
          <w:rFonts w:ascii="Arial" w:cs="Arial" w:eastAsia="Arial" w:hAnsi="Arial"/>
          <w:sz w:val="16"/>
          <w:szCs w:val="16"/>
          <w:color w:val="auto"/>
        </w:rPr>
        <w:t>. No Incentive Stock Options may be granted more than 10 years after the later of (i) the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by the Board and (ii) the adoption by the Board of any amendment to the Plan that constitutes the adoption of a new plan for purposes of Section 422 of the Code. For clarity, any stockholder approved amendment of the Share Reserve that also amends the ISO Limit will be deemed the adoption of a new plan for purposes of Section 422 of the Code and therefore an extension of the period in which Incentive Stock Options may be granted, unless otherwise expressly provided for in the stockholder resolutions approving such increase.</w:t>
      </w:r>
    </w:p>
    <w:p>
      <w:pPr>
        <w:spacing w:after="0" w:line="77" w:lineRule="exact"/>
        <w:rPr>
          <w:rFonts w:ascii="Arial" w:cs="Arial" w:eastAsia="Arial" w:hAnsi="Arial"/>
          <w:sz w:val="16"/>
          <w:szCs w:val="16"/>
          <w:color w:val="auto"/>
        </w:rPr>
      </w:pPr>
    </w:p>
    <w:p>
      <w:pPr>
        <w:ind w:left="1380" w:right="20" w:hanging="354"/>
        <w:spacing w:after="0" w:line="262" w:lineRule="auto"/>
        <w:tabs>
          <w:tab w:leader="none" w:pos="13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ISO Qualification</w:t>
      </w:r>
      <w:r>
        <w:rPr>
          <w:rFonts w:ascii="Arial" w:cs="Arial" w:eastAsia="Arial" w:hAnsi="Arial"/>
          <w:sz w:val="16"/>
          <w:szCs w:val="16"/>
          <w:color w:val="auto"/>
        </w:rPr>
        <w:t>. If the aggregate Fair Market Value (determined as of the Grant Date) of Common Stock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a Participant’s Incentive Stock Options become exercisable for the first time during any calendar year (under the Plan and all other stock option plans of the Company and its parent and subsidiary corporations) exceeds $100,000 (or such other limit established by the Code), or if the Option otherwise does not comply with the requirements under Section 422 of the Code, the Option (or the portion that does not meet the requirements of Section 422 of the Code) will be treated as a Nonqualified Stock Option. Options will be taken into account in the order in which they were granted. If the Participant holds two or more Options that become exercisable for the first time in the same calendar year, such limitation will be applied on the basis of the order in which such Options are granted.</w:t>
      </w:r>
    </w:p>
    <w:p>
      <w:pPr>
        <w:spacing w:after="0" w:line="80" w:lineRule="exact"/>
        <w:rPr>
          <w:rFonts w:ascii="Arial" w:cs="Arial" w:eastAsia="Arial" w:hAnsi="Arial"/>
          <w:sz w:val="16"/>
          <w:szCs w:val="16"/>
          <w:color w:val="auto"/>
        </w:rPr>
      </w:pPr>
    </w:p>
    <w:p>
      <w:pPr>
        <w:ind w:left="1380" w:right="40" w:hanging="354"/>
        <w:spacing w:after="0" w:line="275" w:lineRule="auto"/>
        <w:tabs>
          <w:tab w:leader="none" w:pos="13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Eligible Employees</w:t>
      </w:r>
      <w:r>
        <w:rPr>
          <w:rFonts w:ascii="Arial" w:cs="Arial" w:eastAsia="Arial" w:hAnsi="Arial"/>
          <w:sz w:val="16"/>
          <w:szCs w:val="16"/>
          <w:color w:val="auto"/>
        </w:rPr>
        <w:t>. Individuals who are not employees of the Company or one of its parent or subsidiary corporations</w:t>
      </w:r>
      <w:r>
        <w:rPr>
          <w:rFonts w:ascii="Arial" w:cs="Arial" w:eastAsia="Arial" w:hAnsi="Arial"/>
          <w:sz w:val="16"/>
          <w:szCs w:val="16"/>
          <w:b w:val="1"/>
          <w:bCs w:val="1"/>
          <w:color w:val="auto"/>
        </w:rPr>
        <w:t xml:space="preserve"> </w:t>
      </w:r>
      <w:r>
        <w:rPr>
          <w:rFonts w:ascii="Arial" w:cs="Arial" w:eastAsia="Arial" w:hAnsi="Arial"/>
          <w:sz w:val="16"/>
          <w:szCs w:val="16"/>
          <w:color w:val="auto"/>
        </w:rPr>
        <w:t>may not be granted Incentive Stock Options. This Plan does not prohibit the grant of Incentive Stock Options to employees who reside or work outside of the United States.</w:t>
      </w:r>
    </w:p>
    <w:p>
      <w:pPr>
        <w:spacing w:after="0" w:line="69" w:lineRule="exact"/>
        <w:rPr>
          <w:rFonts w:ascii="Arial" w:cs="Arial" w:eastAsia="Arial" w:hAnsi="Arial"/>
          <w:sz w:val="16"/>
          <w:szCs w:val="16"/>
          <w:color w:val="auto"/>
        </w:rPr>
      </w:pPr>
    </w:p>
    <w:p>
      <w:pPr>
        <w:ind w:left="1380" w:hanging="354"/>
        <w:spacing w:after="0" w:line="265" w:lineRule="auto"/>
        <w:tabs>
          <w:tab w:leader="none" w:pos="13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Exercise Price</w:t>
      </w:r>
      <w:r>
        <w:rPr>
          <w:rFonts w:ascii="Arial" w:cs="Arial" w:eastAsia="Arial" w:hAnsi="Arial"/>
          <w:sz w:val="16"/>
          <w:szCs w:val="16"/>
          <w:color w:val="auto"/>
        </w:rPr>
        <w:t>. Incentive Stock Options will be granted with an exercise price per share not less than 100% of the Fair</w:t>
      </w:r>
      <w:r>
        <w:rPr>
          <w:rFonts w:ascii="Arial" w:cs="Arial" w:eastAsia="Arial" w:hAnsi="Arial"/>
          <w:sz w:val="16"/>
          <w:szCs w:val="16"/>
          <w:b w:val="1"/>
          <w:bCs w:val="1"/>
          <w:color w:val="auto"/>
        </w:rPr>
        <w:t xml:space="preserve"> </w:t>
      </w:r>
      <w:r>
        <w:rPr>
          <w:rFonts w:ascii="Arial" w:cs="Arial" w:eastAsia="Arial" w:hAnsi="Arial"/>
          <w:sz w:val="16"/>
          <w:szCs w:val="16"/>
          <w:color w:val="auto"/>
        </w:rPr>
        <w:t>Market Value of the Common Stock on the Grant Date, and in the case of an Incentive Stock Option granted to a Participant who owns more than 10% of the total combined voting power of all classes of the stock of the Company or of its parent or subsidiary corporations (as determined under the Code, a “</w:t>
      </w:r>
      <w:r>
        <w:rPr>
          <w:rFonts w:ascii="Arial" w:cs="Arial" w:eastAsia="Arial" w:hAnsi="Arial"/>
          <w:sz w:val="16"/>
          <w:szCs w:val="16"/>
          <w:b w:val="1"/>
          <w:bCs w:val="1"/>
          <w:color w:val="auto"/>
        </w:rPr>
        <w:t>Ten Percent Stockholder</w:t>
      </w:r>
      <w:r>
        <w:rPr>
          <w:rFonts w:ascii="Arial" w:cs="Arial" w:eastAsia="Arial" w:hAnsi="Arial"/>
          <w:sz w:val="16"/>
          <w:szCs w:val="16"/>
          <w:color w:val="auto"/>
        </w:rPr>
        <w:t>”), will be granted with an exercise price per share not less than 110% of the Fair Market Value of the Common Stock on the Grant Date. The Administrator will determine status as a Ten Percent Stockholder in accordance with Section 422 of the Code.</w:t>
      </w:r>
    </w:p>
    <w:p>
      <w:pPr>
        <w:spacing w:after="0" w:line="77" w:lineRule="exact"/>
        <w:rPr>
          <w:rFonts w:ascii="Arial" w:cs="Arial" w:eastAsia="Arial" w:hAnsi="Arial"/>
          <w:sz w:val="16"/>
          <w:szCs w:val="16"/>
          <w:color w:val="auto"/>
        </w:rPr>
      </w:pPr>
    </w:p>
    <w:p>
      <w:pPr>
        <w:ind w:left="1380" w:right="140" w:hanging="354"/>
        <w:spacing w:after="0" w:line="275" w:lineRule="auto"/>
        <w:tabs>
          <w:tab w:leader="none" w:pos="13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Option Term</w:t>
      </w:r>
      <w:r>
        <w:rPr>
          <w:rFonts w:ascii="Arial" w:cs="Arial" w:eastAsia="Arial" w:hAnsi="Arial"/>
          <w:sz w:val="16"/>
          <w:szCs w:val="16"/>
          <w:color w:val="auto"/>
        </w:rPr>
        <w:t>. The maximum term of an Incentive Stock Option will not exceed 10 years, and in the case of an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granted to a Ten Percent Stockholder, will not exceed 5 years, in each case, subject to earlier termination in accordance with the terms of the Plan and the Award Agreement.</w:t>
      </w:r>
    </w:p>
    <w:p>
      <w:pPr>
        <w:spacing w:after="0" w:line="69" w:lineRule="exact"/>
        <w:rPr>
          <w:rFonts w:ascii="Arial" w:cs="Arial" w:eastAsia="Arial" w:hAnsi="Arial"/>
          <w:sz w:val="16"/>
          <w:szCs w:val="16"/>
          <w:color w:val="auto"/>
        </w:rPr>
      </w:pPr>
    </w:p>
    <w:p>
      <w:pPr>
        <w:ind w:left="1380" w:right="40" w:hanging="354"/>
        <w:spacing w:after="0" w:line="265" w:lineRule="auto"/>
        <w:tabs>
          <w:tab w:leader="none" w:pos="13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Exercisability</w:t>
      </w:r>
      <w:r>
        <w:rPr>
          <w:rFonts w:ascii="Arial" w:cs="Arial" w:eastAsia="Arial" w:hAnsi="Arial"/>
          <w:sz w:val="16"/>
          <w:szCs w:val="16"/>
          <w:color w:val="auto"/>
        </w:rPr>
        <w:t>. An Option designated as an Incentive Stock Option will cease to qualify for favorable tax treatment as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to the extent it is exercised (if permitted by the terms of the Option) (i) more than three months after the date of a Participant’s termination of employment if termination was for reasons other than death or disability, (ii) more than one year after the date of a Participant’s termination of employment if termination was by reason of disability (as defined for purposes of Section 422 of the Code), or (iii) more than six months following the first day of a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203835</wp:posOffset>
            </wp:positionV>
            <wp:extent cx="334010" cy="1625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33" w:lineRule="exact"/>
        <w:rPr>
          <w:sz w:val="20"/>
          <w:szCs w:val="20"/>
          <w:color w:val="auto"/>
        </w:rPr>
      </w:pPr>
    </w:p>
    <w:p>
      <w:pPr>
        <w:ind w:left="4600"/>
        <w:spacing w:after="0"/>
        <w:tabs>
          <w:tab w:leader="none" w:pos="8620" w:val="left"/>
        </w:tabs>
        <w:rPr>
          <w:sz w:val="20"/>
          <w:szCs w:val="20"/>
          <w:color w:val="auto"/>
        </w:rPr>
      </w:pPr>
      <w:r>
        <w:rPr>
          <w:rFonts w:ascii="Arial" w:cs="Arial" w:eastAsia="Arial" w:hAnsi="Arial"/>
          <w:sz w:val="14"/>
          <w:szCs w:val="14"/>
          <w:color w:val="auto"/>
        </w:rPr>
        <w:t>»  C-6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380" w:right="280"/>
        <w:spacing w:after="0" w:line="286" w:lineRule="auto"/>
        <w:rPr>
          <w:sz w:val="20"/>
          <w:szCs w:val="20"/>
          <w:color w:val="auto"/>
        </w:rPr>
      </w:pPr>
      <w:r>
        <w:rPr>
          <w:rFonts w:ascii="Arial" w:cs="Arial" w:eastAsia="Arial" w:hAnsi="Arial"/>
          <w:sz w:val="16"/>
          <w:szCs w:val="16"/>
          <w:color w:val="auto"/>
        </w:rPr>
        <w:t>leave of absence that exceeds three months, unless the Participant’s reemployment rights are guaranteed by statute or contract (as such rule is explained in Section 422 of the Code).</w:t>
      </w:r>
    </w:p>
    <w:p>
      <w:pPr>
        <w:spacing w:after="0" w:line="48" w:lineRule="exact"/>
        <w:rPr>
          <w:sz w:val="20"/>
          <w:szCs w:val="20"/>
          <w:color w:val="auto"/>
        </w:rPr>
      </w:pPr>
    </w:p>
    <w:p>
      <w:pPr>
        <w:ind w:left="1380" w:right="160" w:hanging="354"/>
        <w:spacing w:after="0" w:line="265" w:lineRule="auto"/>
        <w:tabs>
          <w:tab w:leader="none" w:pos="1380"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Taxation of Incentive Stock Options</w:t>
      </w:r>
      <w:r>
        <w:rPr>
          <w:rFonts w:ascii="Arial" w:cs="Arial" w:eastAsia="Arial" w:hAnsi="Arial"/>
          <w:sz w:val="16"/>
          <w:szCs w:val="16"/>
          <w:color w:val="auto"/>
        </w:rPr>
        <w:t>. To obtain the tax benefits afforded to Incentive Stock Options under Section 422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Code, the Participant must hold the shares acquired on the exercise of an Incentive Stock Option for two years after the Grant Date and one year after the date of exercise (that is, the Participant must not Transfer the shares until at least the day after the expiration of these periods). A Participant may be subject to the alternative minimum tax at the time of exercise of an Incentive Stock Option. The Participant must give the Company prompt notice of any disposition of shares acquired on the exercise of an Incentive Stock Option prior to the expiration of these holding periods.</w:t>
      </w:r>
    </w:p>
    <w:p>
      <w:pPr>
        <w:spacing w:after="0" w:line="63" w:lineRule="exact"/>
        <w:rPr>
          <w:rFonts w:ascii="Arial" w:cs="Arial" w:eastAsia="Arial" w:hAnsi="Arial"/>
          <w:sz w:val="16"/>
          <w:szCs w:val="16"/>
          <w:color w:val="auto"/>
        </w:rPr>
      </w:pPr>
    </w:p>
    <w:p>
      <w:pPr>
        <w:ind w:left="1380" w:right="40" w:hanging="354"/>
        <w:spacing w:after="0" w:line="304" w:lineRule="auto"/>
        <w:tabs>
          <w:tab w:leader="none" w:pos="1380"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Code Definitions</w:t>
      </w:r>
      <w:r>
        <w:rPr>
          <w:rFonts w:ascii="Arial" w:cs="Arial" w:eastAsia="Arial" w:hAnsi="Arial"/>
          <w:sz w:val="16"/>
          <w:szCs w:val="16"/>
          <w:color w:val="auto"/>
        </w:rPr>
        <w:t>. For the purposes of this Section 8, “disability,” “parent corporation” and “subsidiary corporation” will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meanings attributed to those terms for purposes of Section 422 of the Code.</w:t>
      </w:r>
    </w:p>
    <w:p>
      <w:pPr>
        <w:spacing w:after="0" w:line="33" w:lineRule="exact"/>
        <w:rPr>
          <w:rFonts w:ascii="Arial" w:cs="Arial" w:eastAsia="Arial" w:hAnsi="Arial"/>
          <w:sz w:val="16"/>
          <w:szCs w:val="16"/>
          <w:color w:val="auto"/>
        </w:rPr>
      </w:pPr>
    </w:p>
    <w:p>
      <w:pPr>
        <w:ind w:left="1380" w:right="20" w:hanging="354"/>
        <w:spacing w:after="0" w:line="275" w:lineRule="auto"/>
        <w:tabs>
          <w:tab w:leader="none" w:pos="1380"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Stockholder Approval</w:t>
      </w:r>
      <w:r>
        <w:rPr>
          <w:rFonts w:ascii="Arial" w:cs="Arial" w:eastAsia="Arial" w:hAnsi="Arial"/>
          <w:sz w:val="16"/>
          <w:szCs w:val="16"/>
          <w:color w:val="auto"/>
        </w:rPr>
        <w:t>. No Incentive Stock Options may be granted more than ten years after the earlier of the approval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or the stockholders of the Plan (or any amendment to the Plan that constitutes the adoption of a new plan for purposes of Section 422 of the Code).</w:t>
      </w:r>
    </w:p>
    <w:p>
      <w:pPr>
        <w:spacing w:after="0" w:line="69" w:lineRule="exact"/>
        <w:rPr>
          <w:rFonts w:ascii="Arial" w:cs="Arial" w:eastAsia="Arial" w:hAnsi="Arial"/>
          <w:sz w:val="16"/>
          <w:szCs w:val="16"/>
          <w:color w:val="auto"/>
        </w:rPr>
      </w:pPr>
    </w:p>
    <w:p>
      <w:pPr>
        <w:ind w:left="1020" w:hanging="354"/>
        <w:spacing w:after="0"/>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Restricted Stock, Restricted Stock Units and Other Stock Based Awards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380" w:right="160" w:hanging="354"/>
        <w:spacing w:after="0" w:line="286" w:lineRule="auto"/>
        <w:tabs>
          <w:tab w:leader="none" w:pos="1380" w:val="left"/>
        </w:tabs>
        <w:numPr>
          <w:ilvl w:val="1"/>
          <w:numId w:val="67"/>
        </w:numPr>
        <w:rPr>
          <w:rFonts w:ascii="Arial" w:cs="Arial" w:eastAsia="Arial" w:hAnsi="Arial"/>
          <w:sz w:val="16"/>
          <w:szCs w:val="16"/>
          <w:color w:val="auto"/>
        </w:rPr>
      </w:pPr>
      <w:r>
        <w:rPr>
          <w:rFonts w:ascii="Arial" w:cs="Arial" w:eastAsia="Arial" w:hAnsi="Arial"/>
          <w:sz w:val="16"/>
          <w:szCs w:val="16"/>
          <w:b w:val="1"/>
          <w:bCs w:val="1"/>
          <w:color w:val="auto"/>
        </w:rPr>
        <w:t>Restricted Stock</w:t>
      </w:r>
      <w:r>
        <w:rPr>
          <w:rFonts w:ascii="Arial" w:cs="Arial" w:eastAsia="Arial" w:hAnsi="Arial"/>
          <w:sz w:val="16"/>
          <w:szCs w:val="16"/>
          <w:color w:val="auto"/>
        </w:rPr>
        <w:t>. The Administrator will specify whether the Award is a Restricted Stock Purchase Award or a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Bonus Award.</w:t>
      </w:r>
    </w:p>
    <w:p>
      <w:pPr>
        <w:spacing w:after="0" w:line="61" w:lineRule="exact"/>
        <w:rPr>
          <w:rFonts w:ascii="Arial" w:cs="Arial" w:eastAsia="Arial" w:hAnsi="Arial"/>
          <w:sz w:val="16"/>
          <w:szCs w:val="16"/>
          <w:color w:val="auto"/>
        </w:rPr>
      </w:pPr>
    </w:p>
    <w:p>
      <w:pPr>
        <w:ind w:left="1740" w:hanging="354"/>
        <w:spacing w:after="0" w:line="262" w:lineRule="auto"/>
        <w:tabs>
          <w:tab w:leader="none" w:pos="1740" w:val="left"/>
        </w:tabs>
        <w:numPr>
          <w:ilvl w:val="2"/>
          <w:numId w:val="67"/>
        </w:numPr>
        <w:rPr>
          <w:rFonts w:ascii="Arial" w:cs="Arial" w:eastAsia="Arial" w:hAnsi="Arial"/>
          <w:sz w:val="16"/>
          <w:szCs w:val="16"/>
          <w:color w:val="auto"/>
        </w:rPr>
      </w:pPr>
      <w:r>
        <w:rPr>
          <w:rFonts w:ascii="Arial" w:cs="Arial" w:eastAsia="Arial" w:hAnsi="Arial"/>
          <w:sz w:val="16"/>
          <w:szCs w:val="16"/>
          <w:b w:val="1"/>
          <w:bCs w:val="1"/>
          <w:color w:val="auto"/>
        </w:rPr>
        <w:t>Section 83(b) Election</w:t>
      </w:r>
      <w:r>
        <w:rPr>
          <w:rFonts w:ascii="Arial" w:cs="Arial" w:eastAsia="Arial" w:hAnsi="Arial"/>
          <w:sz w:val="16"/>
          <w:szCs w:val="16"/>
          <w:color w:val="auto"/>
        </w:rPr>
        <w:t>. The Administrator may require that the Participant deliver a completed copy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Section 83(b) election, the taxes due in connection with that election and evidence of timely receipt of the Section 83(b) election by the Internal Revenue Service. If a Participant fails to satisfy these requirements, the Administrator will instruct the Company to withhold/remit (if applicable) taxes on, and report to the applicable taxing authorities, the income recognized on each subsequent vesting date of the Award in accordance with Applicable Law. In the alternative, the Administrator may grant the Award of Restricted Stock subject to a forfeiture condition whereby failure to satisfy these requirements results in the forfeiture of all unvested shares of Common Stock subject to the Award at the Participant’s original purchase price (or for no consideration, in the case of a Restricted Stock Bonus Award).</w:t>
      </w:r>
    </w:p>
    <w:p>
      <w:pPr>
        <w:spacing w:after="0" w:line="68" w:lineRule="exact"/>
        <w:rPr>
          <w:rFonts w:ascii="Arial" w:cs="Arial" w:eastAsia="Arial" w:hAnsi="Arial"/>
          <w:sz w:val="16"/>
          <w:szCs w:val="16"/>
          <w:color w:val="auto"/>
        </w:rPr>
      </w:pPr>
    </w:p>
    <w:p>
      <w:pPr>
        <w:ind w:left="1380" w:hanging="354"/>
        <w:spacing w:after="0"/>
        <w:tabs>
          <w:tab w:leader="none" w:pos="1380" w:val="left"/>
        </w:tabs>
        <w:numPr>
          <w:ilvl w:val="1"/>
          <w:numId w:val="67"/>
        </w:numPr>
        <w:rPr>
          <w:rFonts w:ascii="Arial" w:cs="Arial" w:eastAsia="Arial" w:hAnsi="Arial"/>
          <w:sz w:val="16"/>
          <w:szCs w:val="16"/>
          <w:color w:val="auto"/>
        </w:rPr>
      </w:pPr>
      <w:r>
        <w:rPr>
          <w:rFonts w:ascii="Arial" w:cs="Arial" w:eastAsia="Arial" w:hAnsi="Arial"/>
          <w:sz w:val="16"/>
          <w:szCs w:val="16"/>
          <w:b w:val="1"/>
          <w:bCs w:val="1"/>
          <w:color w:val="auto"/>
        </w:rPr>
        <w:t>Restricted Stock Units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740" w:right="160" w:hanging="354"/>
        <w:spacing w:after="0" w:line="269" w:lineRule="auto"/>
        <w:tabs>
          <w:tab w:leader="none" w:pos="1740" w:val="left"/>
        </w:tabs>
        <w:numPr>
          <w:ilvl w:val="2"/>
          <w:numId w:val="67"/>
        </w:numPr>
        <w:rPr>
          <w:rFonts w:ascii="Arial" w:cs="Arial" w:eastAsia="Arial" w:hAnsi="Arial"/>
          <w:sz w:val="16"/>
          <w:szCs w:val="16"/>
          <w:color w:val="auto"/>
        </w:rPr>
      </w:pPr>
      <w:r>
        <w:rPr>
          <w:rFonts w:ascii="Arial" w:cs="Arial" w:eastAsia="Arial" w:hAnsi="Arial"/>
          <w:sz w:val="16"/>
          <w:szCs w:val="16"/>
          <w:color w:val="auto"/>
        </w:rPr>
        <w:t>If the Administrator grants Restricted Stock Units intended to be exempt from Section 409A under Treasury Regulation Section 1.409A-1(b)(4), then (A) the Company will treat each installment of Restricted Stock Units that vests as a separate installment for purposes of Section 409A, and (B) the Company will deliver the vested shares of Common Stock (or other property or cash due on vesting) not later than the last day of the period determined under Treasury Regulation Section 1.409A-1(b)(4), which is incorporated by reference into this Plan.</w:t>
      </w:r>
    </w:p>
    <w:p>
      <w:pPr>
        <w:spacing w:after="0" w:line="62" w:lineRule="exact"/>
        <w:rPr>
          <w:rFonts w:ascii="Arial" w:cs="Arial" w:eastAsia="Arial" w:hAnsi="Arial"/>
          <w:sz w:val="16"/>
          <w:szCs w:val="16"/>
          <w:color w:val="auto"/>
        </w:rPr>
      </w:pPr>
    </w:p>
    <w:p>
      <w:pPr>
        <w:ind w:left="1740" w:right="80" w:hanging="354"/>
        <w:spacing w:after="0" w:line="268" w:lineRule="auto"/>
        <w:tabs>
          <w:tab w:leader="none" w:pos="1740" w:val="left"/>
        </w:tabs>
        <w:numPr>
          <w:ilvl w:val="2"/>
          <w:numId w:val="67"/>
        </w:numPr>
        <w:rPr>
          <w:rFonts w:ascii="Arial" w:cs="Arial" w:eastAsia="Arial" w:hAnsi="Arial"/>
          <w:sz w:val="16"/>
          <w:szCs w:val="16"/>
          <w:color w:val="auto"/>
        </w:rPr>
      </w:pPr>
      <w:r>
        <w:rPr>
          <w:rFonts w:ascii="Arial" w:cs="Arial" w:eastAsia="Arial" w:hAnsi="Arial"/>
          <w:sz w:val="16"/>
          <w:szCs w:val="16"/>
          <w:color w:val="auto"/>
        </w:rPr>
        <w:t>If the Administrator grants Restricted Stock Units intended to be compliant deferred compensation under Treasury Regulation Section 1.409A-3, then (A) the Company will treat each installment of Restricted Stock Units that vests as a separate installment for purposes of Section 409A, and (B) if the Award Agreement fails to state at least one permitted distribution event or form of payment, the Award Agreement will be deemed to provide that the earlier to occur of a Change of Control and the date that is the first day of the 6th calendar year after the Grant Date as the permitted distribution dates and a lump sum payment as the form of payment.</w:t>
      </w:r>
    </w:p>
    <w:p>
      <w:pPr>
        <w:spacing w:after="0" w:line="63" w:lineRule="exact"/>
        <w:rPr>
          <w:rFonts w:ascii="Arial" w:cs="Arial" w:eastAsia="Arial" w:hAnsi="Arial"/>
          <w:sz w:val="16"/>
          <w:szCs w:val="16"/>
          <w:color w:val="auto"/>
        </w:rPr>
      </w:pPr>
    </w:p>
    <w:p>
      <w:pPr>
        <w:ind w:left="1380" w:right="60" w:hanging="354"/>
        <w:spacing w:after="0" w:line="269" w:lineRule="auto"/>
        <w:tabs>
          <w:tab w:leader="none" w:pos="1380" w:val="left"/>
        </w:tabs>
        <w:numPr>
          <w:ilvl w:val="1"/>
          <w:numId w:val="67"/>
        </w:numPr>
        <w:rPr>
          <w:rFonts w:ascii="Arial" w:cs="Arial" w:eastAsia="Arial" w:hAnsi="Arial"/>
          <w:sz w:val="16"/>
          <w:szCs w:val="16"/>
          <w:color w:val="auto"/>
        </w:rPr>
      </w:pPr>
      <w:r>
        <w:rPr>
          <w:rFonts w:ascii="Arial" w:cs="Arial" w:eastAsia="Arial" w:hAnsi="Arial"/>
          <w:sz w:val="16"/>
          <w:szCs w:val="16"/>
          <w:b w:val="1"/>
          <w:bCs w:val="1"/>
          <w:color w:val="auto"/>
        </w:rPr>
        <w:t>Other Stock Awards</w:t>
      </w:r>
      <w:r>
        <w:rPr>
          <w:rFonts w:ascii="Arial" w:cs="Arial" w:eastAsia="Arial" w:hAnsi="Arial"/>
          <w:sz w:val="16"/>
          <w:szCs w:val="16"/>
          <w:color w:val="auto"/>
        </w:rPr>
        <w:t>. The Administrator may grant or sell Awards that are valued in whole or in part by reference to, or are</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based on the Fair Market Value of, shares of the Company’s Common Stock. The Administrator will determine the form of such Award and the terms and conditions to earning the Award in its sole discretion, including the number of shares referenced by the Award, the vesting schedule, whether it will be settled in Common Stock, cash or other property, and when it will be settled.</w:t>
      </w:r>
    </w:p>
    <w:p>
      <w:pPr>
        <w:spacing w:after="0" w:line="62" w:lineRule="exact"/>
        <w:rPr>
          <w:rFonts w:ascii="Arial" w:cs="Arial" w:eastAsia="Arial" w:hAnsi="Arial"/>
          <w:sz w:val="16"/>
          <w:szCs w:val="16"/>
          <w:color w:val="auto"/>
        </w:rPr>
      </w:pPr>
    </w:p>
    <w:p>
      <w:pPr>
        <w:ind w:left="1020" w:hanging="354"/>
        <w:spacing w:after="0"/>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Tax Matters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380" w:right="60" w:hanging="354"/>
        <w:spacing w:after="0" w:line="261" w:lineRule="auto"/>
        <w:tabs>
          <w:tab w:leader="none" w:pos="1380" w:val="left"/>
        </w:tabs>
        <w:numPr>
          <w:ilvl w:val="1"/>
          <w:numId w:val="67"/>
        </w:numPr>
        <w:rPr>
          <w:rFonts w:ascii="Arial" w:cs="Arial" w:eastAsia="Arial" w:hAnsi="Arial"/>
          <w:sz w:val="16"/>
          <w:szCs w:val="16"/>
          <w:color w:val="auto"/>
        </w:rPr>
      </w:pPr>
      <w:r>
        <w:rPr>
          <w:rFonts w:ascii="Arial" w:cs="Arial" w:eastAsia="Arial" w:hAnsi="Arial"/>
          <w:sz w:val="16"/>
          <w:szCs w:val="16"/>
          <w:b w:val="1"/>
          <w:bCs w:val="1"/>
          <w:color w:val="auto"/>
        </w:rPr>
        <w:t>Withholding</w:t>
      </w:r>
      <w:r>
        <w:rPr>
          <w:rFonts w:ascii="Arial" w:cs="Arial" w:eastAsia="Arial" w:hAnsi="Arial"/>
          <w:sz w:val="16"/>
          <w:szCs w:val="16"/>
          <w:color w:val="auto"/>
        </w:rPr>
        <w:t>. The Company will require the Participant to pay to the Company or a Related Company, as applicable,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(i) any taxes that the Company or a Related Company is required by applicable federal, state, local or foreign law to withhold with respect to an Award and (ii) any other amounts due from the Participant to the Company, any Related Company or any governmental authority. The Company will not be required to issue any shares of Common Stock or otherwise settle an Award under the Plan until such tax withholding obligations and other obligations are satisfied. As a result, a Participant may not be able to exercise an Award or have an Award settled, even though the Award is vested, unless and until such obligations are satisfied. As a condition to acceptance of any Award under the Plan, (i) a Participant authorizes withholding by the Company or a Related Company from payroll and any other amounts payable to such Participant, and otherwise agree to make adequate provision for (including), any sums required to satisfy any U.S. federal, state, local and/or foreign tax or social insurance contribution withholding obligations of the Company or a Related Company which arise in connection with the Award and (ii) a Participant agrees to indemnify and hold the Company and the Related Companies harmless from any failure by the Company or a Related Company to withhold the proper amount. The Administrator makes no representations that Awards granted under the Plan will, and makes no undertaking to, minimize the tax impact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201930</wp:posOffset>
            </wp:positionV>
            <wp:extent cx="334010" cy="1625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29" w:lineRule="exact"/>
        <w:rPr>
          <w:sz w:val="20"/>
          <w:szCs w:val="20"/>
          <w:color w:val="auto"/>
        </w:rPr>
      </w:pPr>
    </w:p>
    <w:p>
      <w:pPr>
        <w:ind w:left="4600"/>
        <w:spacing w:after="0"/>
        <w:tabs>
          <w:tab w:leader="none" w:pos="8620" w:val="left"/>
        </w:tabs>
        <w:rPr>
          <w:sz w:val="20"/>
          <w:szCs w:val="20"/>
          <w:color w:val="auto"/>
        </w:rPr>
      </w:pPr>
      <w:r>
        <w:rPr>
          <w:rFonts w:ascii="Arial" w:cs="Arial" w:eastAsia="Arial" w:hAnsi="Arial"/>
          <w:sz w:val="14"/>
          <w:szCs w:val="14"/>
          <w:color w:val="auto"/>
        </w:rPr>
        <w:t>»  C-7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380" w:right="140" w:hanging="354"/>
        <w:spacing w:after="0" w:line="262" w:lineRule="auto"/>
        <w:tabs>
          <w:tab w:leader="none" w:pos="1380" w:val="left"/>
        </w:tabs>
        <w:numPr>
          <w:ilvl w:val="1"/>
          <w:numId w:val="68"/>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The Company intends that the Plan and Awards granted under the Plan (unless otherwise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for in the Award Agreement and Administrator resolutions approving the Award) are exempt from the requirements of Section 409A to the maximum extent possible, whether pursuant to the short-term deferral exception described in Treasury Regulation Section 1.409A-1(b)(4), the exclusion applicable to stock options, stock appreciation rights and certain other equity-based compensation under Treasury Regulation Section 1.409A-1(b)(5) or 1.409A-1(b)(6), or otherwise. The Administrator will use reasonable best efforts to interpret, operate and administer the Plan and any Award granted under the Plan in a manner consistent with this intention. However, the Administrator makes no representations that Awards granted under the Plan will be exempt from or comply with Section 409A and makes no undertaking to preclude Section 409A from applying to Awards granted under the Plan.</w:t>
      </w:r>
    </w:p>
    <w:p>
      <w:pPr>
        <w:spacing w:after="0" w:line="82" w:lineRule="exact"/>
        <w:rPr>
          <w:rFonts w:ascii="Arial" w:cs="Arial" w:eastAsia="Arial" w:hAnsi="Arial"/>
          <w:sz w:val="16"/>
          <w:szCs w:val="16"/>
          <w:color w:val="auto"/>
        </w:rPr>
      </w:pPr>
    </w:p>
    <w:p>
      <w:pPr>
        <w:ind w:left="1740" w:right="360" w:hanging="354"/>
        <w:spacing w:after="0" w:line="275" w:lineRule="auto"/>
        <w:tabs>
          <w:tab w:leader="none" w:pos="1740" w:val="left"/>
        </w:tabs>
        <w:numPr>
          <w:ilvl w:val="2"/>
          <w:numId w:val="68"/>
        </w:numPr>
        <w:rPr>
          <w:rFonts w:ascii="Arial" w:cs="Arial" w:eastAsia="Arial" w:hAnsi="Arial"/>
          <w:sz w:val="16"/>
          <w:szCs w:val="16"/>
          <w:color w:val="auto"/>
        </w:rPr>
      </w:pPr>
      <w:r>
        <w:rPr>
          <w:rFonts w:ascii="Arial" w:cs="Arial" w:eastAsia="Arial" w:hAnsi="Arial"/>
          <w:sz w:val="16"/>
          <w:szCs w:val="16"/>
          <w:color w:val="auto"/>
        </w:rPr>
        <w:t>If Section 409A is applicable to any Award granted under the Plan (that is, to the extent not so exempt), the Administrator intends that the non-exempt Award will comply with the deferral, payout, plan termination and other limitations and restrictions imposed under Section 409A.</w:t>
      </w:r>
    </w:p>
    <w:p>
      <w:pPr>
        <w:spacing w:after="0" w:line="69" w:lineRule="exact"/>
        <w:rPr>
          <w:rFonts w:ascii="Arial" w:cs="Arial" w:eastAsia="Arial" w:hAnsi="Arial"/>
          <w:sz w:val="16"/>
          <w:szCs w:val="16"/>
          <w:color w:val="auto"/>
        </w:rPr>
      </w:pPr>
    </w:p>
    <w:p>
      <w:pPr>
        <w:ind w:left="1740" w:hanging="354"/>
        <w:spacing w:after="0"/>
        <w:tabs>
          <w:tab w:leader="none" w:pos="1740" w:val="left"/>
        </w:tabs>
        <w:numPr>
          <w:ilvl w:val="2"/>
          <w:numId w:val="68"/>
        </w:numPr>
        <w:rPr>
          <w:rFonts w:ascii="Arial" w:cs="Arial" w:eastAsia="Arial" w:hAnsi="Arial"/>
          <w:sz w:val="16"/>
          <w:szCs w:val="16"/>
          <w:color w:val="auto"/>
        </w:rPr>
      </w:pPr>
      <w:r>
        <w:rPr>
          <w:rFonts w:ascii="Arial" w:cs="Arial" w:eastAsia="Arial" w:hAnsi="Arial"/>
          <w:sz w:val="16"/>
          <w:szCs w:val="16"/>
          <w:color w:val="auto"/>
        </w:rPr>
        <w:t>If necessary for exemption from, or compliance with, Section 409A:</w:t>
      </w:r>
    </w:p>
    <w:p>
      <w:pPr>
        <w:spacing w:after="0" w:line="113" w:lineRule="exact"/>
        <w:rPr>
          <w:rFonts w:ascii="Arial" w:cs="Arial" w:eastAsia="Arial" w:hAnsi="Arial"/>
          <w:sz w:val="16"/>
          <w:szCs w:val="16"/>
          <w:color w:val="auto"/>
        </w:rPr>
      </w:pPr>
    </w:p>
    <w:p>
      <w:pPr>
        <w:ind w:left="2100" w:right="220" w:hanging="354"/>
        <w:spacing w:after="0" w:line="275" w:lineRule="auto"/>
        <w:tabs>
          <w:tab w:leader="none" w:pos="2100" w:val="left"/>
        </w:tabs>
        <w:numPr>
          <w:ilvl w:val="3"/>
          <w:numId w:val="68"/>
        </w:numPr>
        <w:rPr>
          <w:rFonts w:ascii="Arial" w:cs="Arial" w:eastAsia="Arial" w:hAnsi="Arial"/>
          <w:sz w:val="16"/>
          <w:szCs w:val="16"/>
          <w:color w:val="auto"/>
        </w:rPr>
      </w:pPr>
      <w:r>
        <w:rPr>
          <w:rFonts w:ascii="Arial" w:cs="Arial" w:eastAsia="Arial" w:hAnsi="Arial"/>
          <w:sz w:val="16"/>
          <w:szCs w:val="16"/>
          <w:color w:val="auto"/>
        </w:rPr>
        <w:t>All references in the Plan or any Award granted under the Plan to the termination of the Participant’s employment or service are intended to mean the Participant’s “separation from service,” within the meaning of Section 409A(a)(2)(A)(i).</w:t>
      </w:r>
    </w:p>
    <w:p>
      <w:pPr>
        <w:spacing w:after="0" w:line="69" w:lineRule="exact"/>
        <w:rPr>
          <w:rFonts w:ascii="Arial" w:cs="Arial" w:eastAsia="Arial" w:hAnsi="Arial"/>
          <w:sz w:val="16"/>
          <w:szCs w:val="16"/>
          <w:color w:val="auto"/>
        </w:rPr>
      </w:pPr>
    </w:p>
    <w:p>
      <w:pPr>
        <w:ind w:left="2100" w:right="60" w:hanging="354"/>
        <w:spacing w:after="0" w:line="275" w:lineRule="auto"/>
        <w:tabs>
          <w:tab w:leader="none" w:pos="2100" w:val="left"/>
        </w:tabs>
        <w:numPr>
          <w:ilvl w:val="3"/>
          <w:numId w:val="68"/>
        </w:numPr>
        <w:rPr>
          <w:rFonts w:ascii="Arial" w:cs="Arial" w:eastAsia="Arial" w:hAnsi="Arial"/>
          <w:sz w:val="16"/>
          <w:szCs w:val="16"/>
          <w:color w:val="auto"/>
        </w:rPr>
      </w:pPr>
      <w:r>
        <w:rPr>
          <w:rFonts w:ascii="Arial" w:cs="Arial" w:eastAsia="Arial" w:hAnsi="Arial"/>
          <w:sz w:val="16"/>
          <w:szCs w:val="16"/>
          <w:color w:val="auto"/>
        </w:rPr>
        <w:t>The Administrator will treat each installment that vests or is delivered under an Award in a series of payments or installments as a separate payment for purposes of Section 409A, unless expressly set forth in the Award Agreement that each installment is not a separate payment.</w:t>
      </w:r>
    </w:p>
    <w:p>
      <w:pPr>
        <w:spacing w:after="0" w:line="69" w:lineRule="exact"/>
        <w:rPr>
          <w:rFonts w:ascii="Arial" w:cs="Arial" w:eastAsia="Arial" w:hAnsi="Arial"/>
          <w:sz w:val="16"/>
          <w:szCs w:val="16"/>
          <w:color w:val="auto"/>
        </w:rPr>
      </w:pPr>
    </w:p>
    <w:p>
      <w:pPr>
        <w:ind w:left="2100" w:hanging="354"/>
        <w:spacing w:after="0" w:line="262" w:lineRule="auto"/>
        <w:tabs>
          <w:tab w:leader="none" w:pos="2100" w:val="left"/>
        </w:tabs>
        <w:numPr>
          <w:ilvl w:val="3"/>
          <w:numId w:val="68"/>
        </w:numPr>
        <w:rPr>
          <w:rFonts w:ascii="Arial" w:cs="Arial" w:eastAsia="Arial" w:hAnsi="Arial"/>
          <w:sz w:val="16"/>
          <w:szCs w:val="16"/>
          <w:color w:val="auto"/>
        </w:rPr>
      </w:pPr>
      <w:r>
        <w:rPr>
          <w:rFonts w:ascii="Arial" w:cs="Arial" w:eastAsia="Arial" w:hAnsi="Arial"/>
          <w:sz w:val="16"/>
          <w:szCs w:val="16"/>
          <w:color w:val="auto"/>
        </w:rPr>
        <w:t>If the Participant is a “specified employee,” within the meaning of Section 409A, then if necessary to avoid subjecting the Participant to the imposition of any additional tax under Section 409A, amounts that would otherwise be payable under the Plan or any Award granted under the Plan during the 6-month period immediately following the Participant’s “separation from service” will not be paid to the Participant during such period, but will instead be accumulated and paid to the Participant (or, in the event of the Participant’s death, the Participant’s estate) in a lump sum on the first business day after the earlier of the date that is 6 months following the Participant’s separation from service or the Participant’s death, unless the amounts can be paid in another manner that complies with Section 409A.</w:t>
      </w:r>
    </w:p>
    <w:p>
      <w:pPr>
        <w:spacing w:after="0" w:line="80" w:lineRule="exact"/>
        <w:rPr>
          <w:rFonts w:ascii="Arial" w:cs="Arial" w:eastAsia="Arial" w:hAnsi="Arial"/>
          <w:sz w:val="16"/>
          <w:szCs w:val="16"/>
          <w:color w:val="auto"/>
        </w:rPr>
      </w:pPr>
    </w:p>
    <w:p>
      <w:pPr>
        <w:ind w:left="2100" w:hanging="354"/>
        <w:spacing w:after="0" w:line="265" w:lineRule="auto"/>
        <w:tabs>
          <w:tab w:leader="none" w:pos="2100" w:val="left"/>
        </w:tabs>
        <w:numPr>
          <w:ilvl w:val="3"/>
          <w:numId w:val="68"/>
        </w:numPr>
        <w:rPr>
          <w:rFonts w:ascii="Arial" w:cs="Arial" w:eastAsia="Arial" w:hAnsi="Arial"/>
          <w:sz w:val="16"/>
          <w:szCs w:val="16"/>
          <w:color w:val="auto"/>
        </w:rPr>
      </w:pPr>
      <w:r>
        <w:rPr>
          <w:rFonts w:ascii="Arial" w:cs="Arial" w:eastAsia="Arial" w:hAnsi="Arial"/>
          <w:sz w:val="16"/>
          <w:szCs w:val="16"/>
          <w:color w:val="auto"/>
        </w:rPr>
        <w:t>If, after the Grant Date of an Award, the Administrator determines that an Award is reasonably likely to fail to be either exempt from or compliant with Section 409A, the Administrator reserves the right, but will not be required, to unilaterally (and without the affected Participant’s consent) amend or modify the Plan and any Award granted under the Plan so that the Award qualifies for exemption from or complies with Section 409A. Any such amendment or modification made to avoid the imposition of adverse taxation under Section 409A will be deemed not to materially adversely impact the Participant.</w:t>
      </w:r>
    </w:p>
    <w:p>
      <w:pPr>
        <w:spacing w:after="0" w:line="77" w:lineRule="exact"/>
        <w:rPr>
          <w:rFonts w:ascii="Arial" w:cs="Arial" w:eastAsia="Arial" w:hAnsi="Arial"/>
          <w:sz w:val="16"/>
          <w:szCs w:val="16"/>
          <w:color w:val="auto"/>
        </w:rPr>
      </w:pPr>
    </w:p>
    <w:p>
      <w:pPr>
        <w:ind w:left="2100" w:hanging="354"/>
        <w:spacing w:after="0" w:line="265" w:lineRule="auto"/>
        <w:tabs>
          <w:tab w:leader="none" w:pos="2100" w:val="left"/>
        </w:tabs>
        <w:numPr>
          <w:ilvl w:val="3"/>
          <w:numId w:val="68"/>
        </w:numPr>
        <w:rPr>
          <w:rFonts w:ascii="Arial" w:cs="Arial" w:eastAsia="Arial" w:hAnsi="Arial"/>
          <w:sz w:val="16"/>
          <w:szCs w:val="16"/>
          <w:color w:val="auto"/>
        </w:rPr>
      </w:pPr>
      <w:r>
        <w:rPr>
          <w:rFonts w:ascii="Arial" w:cs="Arial" w:eastAsia="Arial" w:hAnsi="Arial"/>
          <w:sz w:val="16"/>
          <w:szCs w:val="16"/>
          <w:color w:val="auto"/>
        </w:rPr>
        <w:t>The right to any dividends or Dividend Equivalents declared and paid on the number of shares underlying an Option or a Stock Appreciation Right may not be contingent, directly or indirectly, on the exercise of the Option or Stock Appreciation Right and must otherwise comply with or qualify for an exemption under Section 409A. In addition, the right to any dividends or Dividend Equivalents declared and paid on Restricted Stock must comply with or qualify for an exemption under Section 409A.</w:t>
      </w:r>
    </w:p>
    <w:p>
      <w:pPr>
        <w:spacing w:after="0" w:line="77" w:lineRule="exact"/>
        <w:rPr>
          <w:rFonts w:ascii="Arial" w:cs="Arial" w:eastAsia="Arial" w:hAnsi="Arial"/>
          <w:sz w:val="16"/>
          <w:szCs w:val="16"/>
          <w:color w:val="auto"/>
        </w:rPr>
      </w:pPr>
    </w:p>
    <w:p>
      <w:pPr>
        <w:ind w:left="1020" w:hanging="354"/>
        <w:spacing w:after="0"/>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Restrictions on Transfer of Awards and Common Stock</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380" w:right="60" w:hanging="354"/>
        <w:spacing w:after="0" w:line="264" w:lineRule="auto"/>
        <w:tabs>
          <w:tab w:leader="none" w:pos="1380" w:val="left"/>
        </w:tabs>
        <w:numPr>
          <w:ilvl w:val="1"/>
          <w:numId w:val="69"/>
        </w:numPr>
        <w:rPr>
          <w:rFonts w:ascii="Arial" w:cs="Arial" w:eastAsia="Arial" w:hAnsi="Arial"/>
          <w:sz w:val="16"/>
          <w:szCs w:val="16"/>
          <w:color w:val="auto"/>
        </w:rPr>
      </w:pPr>
      <w:r>
        <w:rPr>
          <w:rFonts w:ascii="Arial" w:cs="Arial" w:eastAsia="Arial" w:hAnsi="Arial"/>
          <w:sz w:val="16"/>
          <w:szCs w:val="16"/>
          <w:b w:val="1"/>
          <w:bCs w:val="1"/>
          <w:color w:val="auto"/>
        </w:rPr>
        <w:t>No Transfer of Awards</w:t>
      </w:r>
      <w:r>
        <w:rPr>
          <w:rFonts w:ascii="Arial" w:cs="Arial" w:eastAsia="Arial" w:hAnsi="Arial"/>
          <w:sz w:val="16"/>
          <w:szCs w:val="16"/>
          <w:color w:val="auto"/>
        </w:rPr>
        <w:t>. A Participant may not Transfer an Award or interest in an Award other than (i) Transfers on</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death by will or by the Applicable Laws of descent and distribution, and (ii) Transfers of vested shares of Common Stock after the period of restrictions have lapsed or been removed and the shares have been issued to the Participant, and subject to compliance with the Company’s policies on trading in Company securities and Applicable Laws. In general, during a Participant’s lifetime, only the Participant granted the Award may exercise the Award or purchase the shares under the Award. The Administrator may permit the Transfer of an Award or an interest in an Award if that Transfer complies with all Applicable Laws, such as a transfer to a trust if the Participant is considered the sole beneficial owner of the trust (as determined under Applicable Laws) or pursuant to a court-endorsed domestic relations order in a format acceptable to the Administrator.</w:t>
      </w:r>
    </w:p>
    <w:p>
      <w:pPr>
        <w:spacing w:after="0" w:line="68" w:lineRule="exact"/>
        <w:rPr>
          <w:rFonts w:ascii="Arial" w:cs="Arial" w:eastAsia="Arial" w:hAnsi="Arial"/>
          <w:sz w:val="16"/>
          <w:szCs w:val="16"/>
          <w:color w:val="auto"/>
        </w:rPr>
      </w:pPr>
    </w:p>
    <w:p>
      <w:pPr>
        <w:ind w:left="1380" w:hanging="354"/>
        <w:spacing w:after="0" w:line="269" w:lineRule="auto"/>
        <w:tabs>
          <w:tab w:leader="none" w:pos="1380" w:val="left"/>
        </w:tabs>
        <w:numPr>
          <w:ilvl w:val="1"/>
          <w:numId w:val="69"/>
        </w:numPr>
        <w:rPr>
          <w:rFonts w:ascii="Arial" w:cs="Arial" w:eastAsia="Arial" w:hAnsi="Arial"/>
          <w:sz w:val="16"/>
          <w:szCs w:val="16"/>
          <w:color w:val="auto"/>
        </w:rPr>
      </w:pPr>
      <w:r>
        <w:rPr>
          <w:rFonts w:ascii="Arial" w:cs="Arial" w:eastAsia="Arial" w:hAnsi="Arial"/>
          <w:sz w:val="16"/>
          <w:szCs w:val="16"/>
          <w:b w:val="1"/>
          <w:bCs w:val="1"/>
          <w:color w:val="auto"/>
        </w:rPr>
        <w:t>Refusal to Transfer</w:t>
      </w:r>
      <w:r>
        <w:rPr>
          <w:rFonts w:ascii="Arial" w:cs="Arial" w:eastAsia="Arial" w:hAnsi="Arial"/>
          <w:sz w:val="16"/>
          <w:szCs w:val="16"/>
          <w:color w:val="auto"/>
        </w:rPr>
        <w:t>. The Company will not be required (i) to Transfer on its books any shares of Common Stock that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purportedly Transferred in violation of any of the provisions of this Plan, or (ii) to treat as owner of the shares or to accord the right to vote or pay dividends to any purchaser or other transferee to whom the shares have purportedly been so Transferred. In general, any Transfer or purported Transfer of an Award or of shares of Common Stock issued under the Plan in violation of the Plan will be null and void, and will have no force or effect.</w:t>
      </w:r>
    </w:p>
    <w:p>
      <w:pPr>
        <w:spacing w:after="0" w:line="62" w:lineRule="exact"/>
        <w:rPr>
          <w:rFonts w:ascii="Arial" w:cs="Arial" w:eastAsia="Arial" w:hAnsi="Arial"/>
          <w:sz w:val="16"/>
          <w:szCs w:val="16"/>
          <w:color w:val="auto"/>
        </w:rPr>
      </w:pPr>
    </w:p>
    <w:p>
      <w:pPr>
        <w:ind w:left="1020" w:hanging="354"/>
        <w:spacing w:after="0"/>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Changes to Company’s Common Stock</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380" w:right="240" w:hanging="354"/>
        <w:spacing w:after="0" w:line="340" w:lineRule="auto"/>
        <w:tabs>
          <w:tab w:leader="none" w:pos="1380" w:val="left"/>
        </w:tabs>
        <w:numPr>
          <w:ilvl w:val="1"/>
          <w:numId w:val="69"/>
        </w:numPr>
        <w:rPr>
          <w:rFonts w:ascii="Arial" w:cs="Arial" w:eastAsia="Arial" w:hAnsi="Arial"/>
          <w:sz w:val="15"/>
          <w:szCs w:val="15"/>
          <w:color w:val="auto"/>
        </w:rPr>
      </w:pPr>
      <w:r>
        <w:rPr>
          <w:rFonts w:ascii="Arial" w:cs="Arial" w:eastAsia="Arial" w:hAnsi="Arial"/>
          <w:sz w:val="15"/>
          <w:szCs w:val="15"/>
          <w:color w:val="auto"/>
        </w:rPr>
        <w:t>If the Company undertakes a stock dividend, stock split, spin-off, combination or exchange of shares, recapitalization, merger, consolidation, distribution to stockholders other than a normal cash dividend, or other change in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161290</wp:posOffset>
            </wp:positionV>
            <wp:extent cx="334010" cy="1625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66" w:lineRule="exact"/>
        <w:rPr>
          <w:sz w:val="20"/>
          <w:szCs w:val="20"/>
          <w:color w:val="auto"/>
        </w:rPr>
      </w:pPr>
    </w:p>
    <w:p>
      <w:pPr>
        <w:ind w:left="4600"/>
        <w:spacing w:after="0"/>
        <w:tabs>
          <w:tab w:leader="none" w:pos="8620" w:val="left"/>
        </w:tabs>
        <w:rPr>
          <w:sz w:val="20"/>
          <w:szCs w:val="20"/>
          <w:color w:val="auto"/>
        </w:rPr>
      </w:pPr>
      <w:r>
        <w:rPr>
          <w:rFonts w:ascii="Arial" w:cs="Arial" w:eastAsia="Arial" w:hAnsi="Arial"/>
          <w:sz w:val="14"/>
          <w:szCs w:val="14"/>
          <w:color w:val="auto"/>
        </w:rPr>
        <w:t>»  C-8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380"/>
        <w:spacing w:after="0" w:line="260" w:lineRule="auto"/>
        <w:rPr>
          <w:sz w:val="20"/>
          <w:szCs w:val="20"/>
          <w:color w:val="auto"/>
        </w:rPr>
      </w:pPr>
      <w:r>
        <w:rPr>
          <w:rFonts w:ascii="Arial" w:cs="Arial" w:eastAsia="Arial" w:hAnsi="Arial"/>
          <w:sz w:val="16"/>
          <w:szCs w:val="16"/>
          <w:color w:val="auto"/>
        </w:rPr>
        <w:t>corporate or capital structure that constitutes an equity restructuring transaction, as that term is used in Statement of Financial Accounting Standards Board Accounting Standards Codification Topic 718 (or any successor thereto) and that results in (i) the outstanding shares of Common Stock, or any securities exchanged therefor or received in their place, being exchanged for a different number or kind of securities of the Company or any other company or (ii) new, different or additional securities of the Company or any other company being received by the holders of shares of Common Stock, then the Administrator will make proportional adjustments in (A) the maximum number and kind of securities available for issuance under the Plan; (B) the maximum number and kind of securities issuable as Incentive Stock Options; and the maximum number and kind of securities that are subject to any outstanding Award and the per share price of such securities, without any change in the aggregate price to be paid under the Award, in each case as necessary to prevent the diminution or enlargement of rights under this Plan. The determination by the Administrator as to the terms of any of the foregoing adjustments will be conclusive and binding. For clarity, the issuance by the Company of shares of stock of any class, or securities convertible into shares of stock of any class, for cash or property, or for labor or services rendered, either on direct sale or on the exercise of rights or warrants to subscribe therefor, or on conversion of shares or obligations of the Company convertible into such shares or other securities, will not affect, and no adjustment by reason thereof will be made with respect to, outstanding Awards.</w:t>
      </w:r>
    </w:p>
    <w:p>
      <w:pPr>
        <w:spacing w:after="0" w:line="88" w:lineRule="exact"/>
        <w:rPr>
          <w:sz w:val="20"/>
          <w:szCs w:val="20"/>
          <w:color w:val="auto"/>
        </w:rPr>
      </w:pPr>
    </w:p>
    <w:p>
      <w:pPr>
        <w:ind w:left="1380" w:right="60" w:hanging="354"/>
        <w:spacing w:after="0" w:line="269" w:lineRule="auto"/>
        <w:tabs>
          <w:tab w:leader="none" w:pos="138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To the extent not previously exercised or settled, and unless otherwise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in its sole discretion, Awards will terminate immediately prior to the dissolution or liquidation of the Company. If a vesting condition, forfeiture provision or repurchase right applicable to an Award has not been waived by the Administrator, the portion of the Award subject to that condition, provision or right will be forfeited immediately prior to the consummation of the dissolution or liquidation.</w:t>
      </w:r>
    </w:p>
    <w:p>
      <w:pPr>
        <w:spacing w:after="0" w:line="62" w:lineRule="exact"/>
        <w:rPr>
          <w:rFonts w:ascii="Arial" w:cs="Arial" w:eastAsia="Arial" w:hAnsi="Arial"/>
          <w:sz w:val="16"/>
          <w:szCs w:val="16"/>
          <w:color w:val="auto"/>
        </w:rPr>
      </w:pPr>
    </w:p>
    <w:p>
      <w:pPr>
        <w:ind w:left="1380" w:right="60" w:hanging="354"/>
        <w:spacing w:after="0" w:line="284" w:lineRule="auto"/>
        <w:tabs>
          <w:tab w:leader="none" w:pos="138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The following provisions will apply to Awards in the event of a Change of Control unless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the Award Agreement or any other written agreement between the Company or any Related Company and the Participant. In the event of a Change of Control:</w:t>
      </w:r>
    </w:p>
    <w:p>
      <w:pPr>
        <w:spacing w:after="0" w:line="48" w:lineRule="exact"/>
        <w:rPr>
          <w:rFonts w:ascii="Arial" w:cs="Arial" w:eastAsia="Arial" w:hAnsi="Arial"/>
          <w:sz w:val="16"/>
          <w:szCs w:val="16"/>
          <w:color w:val="auto"/>
        </w:rPr>
      </w:pPr>
    </w:p>
    <w:p>
      <w:pPr>
        <w:ind w:left="1740" w:right="20" w:hanging="354"/>
        <w:spacing w:after="0" w:line="262" w:lineRule="auto"/>
        <w:tabs>
          <w:tab w:leader="none" w:pos="17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outstanding Awards that are subject to vesting based on continued employment or service with the Company or a Related Company shall become fully vested and immediately exercisable or payable, and all applicable restrictions or forfeiture provisions shall lapse, immediately prior to the Change of Control and such Awards shall terminate at the effective time of the Change of Control; provided, however, that with respect to a Change of Control that is a Company Transaction in which such Awards could be converted, assumed, substituted for or replaced by the Successor Company, such Awards shall become fully vested and exercisable or payable, all applicable restrictions or forfeiture provisions shall lapse, and such Awards shall terminate at the effective time of the Change of Control, only if and to the extent such Awards are not converted, assumed, substituted for or replaced by the Successor Company. If and to the extent that the Successor Company converts, assumes, substitutes for or replaces an Award, the vesting restrictions and/or forfeiture provisions applicable to such Award shall not be accelerated or lapse, and all such vesting restrictions and/or forfeiture provisions shall continue with respect to any shares of the Successor Company or other consideration that may be received with respect to such Award.</w:t>
      </w:r>
    </w:p>
    <w:p>
      <w:pPr>
        <w:spacing w:after="0" w:line="73" w:lineRule="exact"/>
        <w:rPr>
          <w:rFonts w:ascii="Arial" w:cs="Arial" w:eastAsia="Arial" w:hAnsi="Arial"/>
          <w:sz w:val="16"/>
          <w:szCs w:val="16"/>
          <w:color w:val="auto"/>
        </w:rPr>
      </w:pPr>
    </w:p>
    <w:p>
      <w:pPr>
        <w:ind w:left="1740" w:hanging="354"/>
        <w:spacing w:after="0" w:line="262" w:lineRule="auto"/>
        <w:tabs>
          <w:tab w:leader="none" w:pos="17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the purposes of Section 12(c)(i), an Award shall be considered converted, assumed, substituted for or replaced by the Successor Company if following the Company Transaction the Award confers the right to purchase or receive, for each share of Common Stock subject to the Award immediately prior to the Company Transaction, the consideration (whether stock, cash or other securities or property) received in the Company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Company Transaction is not solely common stock of the Successor Company, the Administrator may, with the consent of the Successor Company, provide for the consideration to be received pursuant to the Award, for each share of Common Stock subject thereto, to be solely common stock of the Successor Company substantially equal in fair market value to the per share consideration received by holders of Common Stock in the Company Transaction. The determination of such substantial equality of value of consideration shall be made by the Administrator, and its determination shall be conclusive and binding.</w:t>
      </w:r>
    </w:p>
    <w:p>
      <w:pPr>
        <w:spacing w:after="0" w:line="73" w:lineRule="exact"/>
        <w:rPr>
          <w:rFonts w:ascii="Arial" w:cs="Arial" w:eastAsia="Arial" w:hAnsi="Arial"/>
          <w:sz w:val="16"/>
          <w:szCs w:val="16"/>
          <w:color w:val="auto"/>
        </w:rPr>
      </w:pPr>
    </w:p>
    <w:p>
      <w:pPr>
        <w:ind w:left="1740" w:right="20" w:hanging="354"/>
        <w:spacing w:after="0" w:line="262" w:lineRule="auto"/>
        <w:tabs>
          <w:tab w:leader="none" w:pos="17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outstanding Awards that are subject to vesting based on the achievement of specified performance goals, and that are earned and outstanding as of the date the Change of Control is determined to have occurred, and for which the payout level has been determined, shall be payable in full in accordance with the payout schedule pursuant to the instrument evidencing the Award. Any remaining outstanding Awards that are subject to vesting based on the achievement of specified Performance Metrics (including any applicable Performance Period) for which the payout level has not been determined shall be prorated based on actual results measured against the performance goals as of the Change of Control and shall be payable in accordance with the payout schedule pursuant to the instrument evidencing the Award. Any existing deferrals or other restrictions not waived by the Administrator in its sole discretion shall remain in effect. With respect to a Change of Control that is a Company Transaction in which such Awards could be converted, assumed, substituted for or replaced by the Successor Company, such Awards shall terminate at the effective time of the Change of Control if and to the extent such Awards are not converted, assumed, substituted for or replaced by the Successor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201295</wp:posOffset>
            </wp:positionV>
            <wp:extent cx="334010" cy="1625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29" w:lineRule="exact"/>
        <w:rPr>
          <w:sz w:val="20"/>
          <w:szCs w:val="20"/>
          <w:color w:val="auto"/>
        </w:rPr>
      </w:pPr>
    </w:p>
    <w:p>
      <w:pPr>
        <w:ind w:left="4600"/>
        <w:spacing w:after="0"/>
        <w:tabs>
          <w:tab w:leader="none" w:pos="8620" w:val="left"/>
        </w:tabs>
        <w:rPr>
          <w:sz w:val="20"/>
          <w:szCs w:val="20"/>
          <w:color w:val="auto"/>
        </w:rPr>
      </w:pPr>
      <w:r>
        <w:rPr>
          <w:rFonts w:ascii="Arial" w:cs="Arial" w:eastAsia="Arial" w:hAnsi="Arial"/>
          <w:sz w:val="14"/>
          <w:szCs w:val="14"/>
          <w:color w:val="auto"/>
        </w:rPr>
        <w:t>»  C-9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740" w:right="40" w:hanging="354"/>
        <w:spacing w:after="0" w:line="262" w:lineRule="auto"/>
        <w:tabs>
          <w:tab w:leader="none" w:pos="1740" w:val="left"/>
        </w:tabs>
        <w:numPr>
          <w:ilvl w:val="2"/>
          <w:numId w:val="71"/>
        </w:numPr>
        <w:rPr>
          <w:rFonts w:ascii="Arial" w:cs="Arial" w:eastAsia="Arial" w:hAnsi="Arial"/>
          <w:sz w:val="16"/>
          <w:szCs w:val="16"/>
          <w:color w:val="auto"/>
        </w:rPr>
      </w:pPr>
      <w:r>
        <w:rPr>
          <w:rFonts w:ascii="Arial" w:cs="Arial" w:eastAsia="Arial" w:hAnsi="Arial"/>
          <w:sz w:val="16"/>
          <w:szCs w:val="16"/>
          <w:color w:val="auto"/>
        </w:rPr>
        <w:t>Notwithstanding the foregoing, the Administrator, in its sole discretion, may instead provide in the event of a Change of Control that is a Company Transaction that a Participant’s outstanding Awards shall terminate upon or immediately prior to such Company Transaction and that such Participant shall receive, in exchange therefor, a cash payment equal to the amount (if any) by which (A) the value of the per share consideration received by holders of Common Stock in the Company Transaction, or, in the event the Company Transaction is a transaction that does not result in direct receipt of consideration by holders of Common Stock, the value of the deemed per share consideration received, in each case as determined by the Administrator in its sole discretion, multiplied by the number of shares of Common Stock subject to such outstanding Awards (to the extent then vested and exercisable or whether or not then vested and exercisable, as determined by the Administrator in its sole discretion) exceeds (B) if applicable, the respective aggregate exercise price or grant price for such Awards.</w:t>
      </w:r>
    </w:p>
    <w:p>
      <w:pPr>
        <w:spacing w:after="0" w:line="70" w:lineRule="exact"/>
        <w:rPr>
          <w:rFonts w:ascii="Arial" w:cs="Arial" w:eastAsia="Arial" w:hAnsi="Arial"/>
          <w:sz w:val="16"/>
          <w:szCs w:val="16"/>
          <w:color w:val="auto"/>
        </w:rPr>
      </w:pPr>
    </w:p>
    <w:p>
      <w:pPr>
        <w:ind w:left="1740" w:hanging="354"/>
        <w:spacing w:after="0"/>
        <w:tabs>
          <w:tab w:leader="none" w:pos="1740" w:val="left"/>
        </w:tabs>
        <w:numPr>
          <w:ilvl w:val="2"/>
          <w:numId w:val="71"/>
        </w:numPr>
        <w:rPr>
          <w:rFonts w:ascii="Arial" w:cs="Arial" w:eastAsia="Arial" w:hAnsi="Arial"/>
          <w:sz w:val="16"/>
          <w:szCs w:val="16"/>
          <w:color w:val="auto"/>
        </w:rPr>
      </w:pPr>
      <w:r>
        <w:rPr>
          <w:rFonts w:ascii="Arial" w:cs="Arial" w:eastAsia="Arial" w:hAnsi="Arial"/>
          <w:sz w:val="16"/>
          <w:szCs w:val="16"/>
          <w:color w:val="auto"/>
        </w:rPr>
        <w:t>For the avoidance of doubt, nothing in this Section 12(c) requires all outstanding Awards to be treated similarly.</w:t>
      </w:r>
    </w:p>
    <w:p>
      <w:pPr>
        <w:spacing w:after="0" w:line="113" w:lineRule="exact"/>
        <w:rPr>
          <w:rFonts w:ascii="Arial" w:cs="Arial" w:eastAsia="Arial" w:hAnsi="Arial"/>
          <w:sz w:val="16"/>
          <w:szCs w:val="16"/>
          <w:color w:val="auto"/>
        </w:rPr>
      </w:pPr>
    </w:p>
    <w:p>
      <w:pPr>
        <w:ind w:left="1380" w:right="40" w:hanging="354"/>
        <w:spacing w:after="0" w:line="269" w:lineRule="auto"/>
        <w:tabs>
          <w:tab w:leader="none" w:pos="1380" w:val="left"/>
        </w:tabs>
        <w:numPr>
          <w:ilvl w:val="1"/>
          <w:numId w:val="72"/>
        </w:numPr>
        <w:rPr>
          <w:rFonts w:ascii="Arial" w:cs="Arial" w:eastAsia="Arial" w:hAnsi="Arial"/>
          <w:sz w:val="16"/>
          <w:szCs w:val="16"/>
          <w:color w:val="auto"/>
        </w:rPr>
      </w:pPr>
      <w:r>
        <w:rPr>
          <w:rFonts w:ascii="Arial" w:cs="Arial" w:eastAsia="Arial" w:hAnsi="Arial"/>
          <w:sz w:val="16"/>
          <w:szCs w:val="16"/>
          <w:b w:val="1"/>
          <w:bCs w:val="1"/>
          <w:color w:val="auto"/>
        </w:rPr>
        <w:t>Non-Employee Director Awards</w:t>
      </w:r>
      <w:r>
        <w:rPr>
          <w:rFonts w:ascii="Arial" w:cs="Arial" w:eastAsia="Arial" w:hAnsi="Arial"/>
          <w:sz w:val="16"/>
          <w:szCs w:val="16"/>
          <w:color w:val="auto"/>
        </w:rPr>
        <w:t>. Awards granted to Non-Employee Directors who remain in Service on the Board as of</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prior to the effective time of a Change of Control will become fully vested and exercisable as of immediately prior to the effective time, provided the Non-Employee Director signs and returns a joinder and release agreement comparable to (and not materially more onerous than) that required of the Company’s stockholders as part of the definitive agreement relating to the Change of Control.</w:t>
      </w:r>
    </w:p>
    <w:p>
      <w:pPr>
        <w:spacing w:after="0" w:line="62" w:lineRule="exact"/>
        <w:rPr>
          <w:rFonts w:ascii="Arial" w:cs="Arial" w:eastAsia="Arial" w:hAnsi="Arial"/>
          <w:sz w:val="16"/>
          <w:szCs w:val="16"/>
          <w:color w:val="auto"/>
        </w:rPr>
      </w:pPr>
    </w:p>
    <w:p>
      <w:pPr>
        <w:ind w:left="1380" w:right="20" w:hanging="354"/>
        <w:spacing w:after="0" w:line="264" w:lineRule="auto"/>
        <w:tabs>
          <w:tab w:leader="none" w:pos="1380" w:val="left"/>
        </w:tabs>
        <w:numPr>
          <w:ilvl w:val="1"/>
          <w:numId w:val="72"/>
        </w:numPr>
        <w:rPr>
          <w:rFonts w:ascii="Arial" w:cs="Arial" w:eastAsia="Arial" w:hAnsi="Arial"/>
          <w:sz w:val="16"/>
          <w:szCs w:val="16"/>
          <w:color w:val="auto"/>
        </w:rPr>
      </w:pPr>
      <w:r>
        <w:rPr>
          <w:rFonts w:ascii="Arial" w:cs="Arial" w:eastAsia="Arial" w:hAnsi="Arial"/>
          <w:sz w:val="16"/>
          <w:szCs w:val="16"/>
          <w:b w:val="1"/>
          <w:bCs w:val="1"/>
          <w:color w:val="auto"/>
        </w:rPr>
        <w:t>Further Adjustment of Awards</w:t>
      </w:r>
      <w:r>
        <w:rPr>
          <w:rFonts w:ascii="Arial" w:cs="Arial" w:eastAsia="Arial" w:hAnsi="Arial"/>
          <w:sz w:val="16"/>
          <w:szCs w:val="16"/>
          <w:color w:val="auto"/>
        </w:rPr>
        <w:t>. The Administrator will have the discretion to take additional action as it determines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advisable with respect to Awards. Such authorized action may include (but will not be limited to) establishing, amending or waiving the type, terms, conditions or duration of, or restrictions on, Awards so as to provide for earlier, later, extended or additional time for exercise, lifting restrictions and other modifications, and the Administrator may take such actions with respect to all Participants, to certain categories of Participants or only to individual Participants. The Administrator may take such action before or after granting Awards to which the action relates and before or after any public announcement with respect to such sale, merger, consolidation, reorganization, liquidation, dissolution or change of control that is the reason for such action.</w:t>
      </w:r>
    </w:p>
    <w:p>
      <w:pPr>
        <w:spacing w:after="0" w:line="68" w:lineRule="exact"/>
        <w:rPr>
          <w:rFonts w:ascii="Arial" w:cs="Arial" w:eastAsia="Arial" w:hAnsi="Arial"/>
          <w:sz w:val="16"/>
          <w:szCs w:val="16"/>
          <w:color w:val="auto"/>
        </w:rPr>
      </w:pPr>
    </w:p>
    <w:p>
      <w:pPr>
        <w:ind w:left="1380" w:right="60" w:hanging="354"/>
        <w:spacing w:after="0" w:line="275" w:lineRule="auto"/>
        <w:tabs>
          <w:tab w:leader="none" w:pos="1380" w:val="left"/>
        </w:tabs>
        <w:numPr>
          <w:ilvl w:val="1"/>
          <w:numId w:val="72"/>
        </w:numPr>
        <w:rPr>
          <w:rFonts w:ascii="Arial" w:cs="Arial" w:eastAsia="Arial" w:hAnsi="Arial"/>
          <w:sz w:val="16"/>
          <w:szCs w:val="16"/>
          <w:color w:val="auto"/>
        </w:rPr>
      </w:pPr>
      <w:r>
        <w:rPr>
          <w:rFonts w:ascii="Arial" w:cs="Arial" w:eastAsia="Arial" w:hAnsi="Arial"/>
          <w:sz w:val="16"/>
          <w:szCs w:val="16"/>
          <w:b w:val="1"/>
          <w:bCs w:val="1"/>
          <w:color w:val="auto"/>
        </w:rPr>
        <w:t>No Limitations</w:t>
      </w:r>
      <w:r>
        <w:rPr>
          <w:rFonts w:ascii="Arial" w:cs="Arial" w:eastAsia="Arial" w:hAnsi="Arial"/>
          <w:sz w:val="16"/>
          <w:szCs w:val="16"/>
          <w:color w:val="auto"/>
        </w:rPr>
        <w:t>. The grant of Awards will in no way affect the Company’s right to adjust, reclassify, reorganize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its capital or business structure or to merge, consolidate, dissolve, liquidate or sell or Transfer all or any part of its business or assets.</w:t>
      </w:r>
    </w:p>
    <w:p>
      <w:pPr>
        <w:spacing w:after="0" w:line="69" w:lineRule="exact"/>
        <w:rPr>
          <w:rFonts w:ascii="Arial" w:cs="Arial" w:eastAsia="Arial" w:hAnsi="Arial"/>
          <w:sz w:val="16"/>
          <w:szCs w:val="16"/>
          <w:color w:val="auto"/>
        </w:rPr>
      </w:pPr>
    </w:p>
    <w:p>
      <w:pPr>
        <w:ind w:left="1380" w:hanging="354"/>
        <w:spacing w:after="0" w:line="261" w:lineRule="auto"/>
        <w:tabs>
          <w:tab w:leader="none" w:pos="1380" w:val="left"/>
        </w:tabs>
        <w:numPr>
          <w:ilvl w:val="1"/>
          <w:numId w:val="72"/>
        </w:numPr>
        <w:rPr>
          <w:rFonts w:ascii="Arial" w:cs="Arial" w:eastAsia="Arial" w:hAnsi="Arial"/>
          <w:sz w:val="16"/>
          <w:szCs w:val="16"/>
          <w:color w:val="auto"/>
        </w:rPr>
      </w:pPr>
      <w:r>
        <w:rPr>
          <w:rFonts w:ascii="Arial" w:cs="Arial" w:eastAsia="Arial" w:hAnsi="Arial"/>
          <w:sz w:val="16"/>
          <w:szCs w:val="16"/>
          <w:b w:val="1"/>
          <w:bCs w:val="1"/>
          <w:color w:val="auto"/>
        </w:rPr>
        <w:t>Payment Conditions</w:t>
      </w:r>
      <w:r>
        <w:rPr>
          <w:rFonts w:ascii="Arial" w:cs="Arial" w:eastAsia="Arial" w:hAnsi="Arial"/>
          <w:sz w:val="16"/>
          <w:szCs w:val="16"/>
          <w:color w:val="auto"/>
        </w:rPr>
        <w:t>. By accepting an Award under the Plan, each Participant agrees that if an Award is to be terminated</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 Change of Control in exchange for a payment in cash, securities or other property, a condition to receipt of any such payment is that the Participant execute an Award termination agreement providing for, among other things, (i) the Participant’s agreement and consent to (A) the amount of such consideration to be paid in respect of the Award and (B) the termination of the Award in exchange for such consideration, (ii) the Participant’s agreement to be bound by the indemnification, escrow, earn-out, holdback or similar arrangements contained in the definitive agreements relating to the Change of Control that are applicable to holders of Common Stock generally, (iii) a customary release of any and all claims the Participant may have, whether known, unknown or otherwise, arising from or relating to the Award and ownership of Company securities, including any claims relating to cash, equity or other compensation, (iv) the Participant’s agreement to keep all non-public information provided in connection with the Change of Control transaction confidential, and (v) other customary provisions.</w:t>
      </w:r>
    </w:p>
    <w:p>
      <w:pPr>
        <w:spacing w:after="0" w:line="80" w:lineRule="exact"/>
        <w:rPr>
          <w:rFonts w:ascii="Arial" w:cs="Arial" w:eastAsia="Arial" w:hAnsi="Arial"/>
          <w:sz w:val="16"/>
          <w:szCs w:val="16"/>
          <w:color w:val="auto"/>
        </w:rPr>
      </w:pPr>
    </w:p>
    <w:p>
      <w:pPr>
        <w:ind w:left="1380" w:right="240" w:hanging="354"/>
        <w:spacing w:after="0" w:line="275" w:lineRule="auto"/>
        <w:tabs>
          <w:tab w:leader="none" w:pos="1380" w:val="left"/>
        </w:tabs>
        <w:numPr>
          <w:ilvl w:val="1"/>
          <w:numId w:val="72"/>
        </w:numPr>
        <w:rPr>
          <w:rFonts w:ascii="Arial" w:cs="Arial" w:eastAsia="Arial" w:hAnsi="Arial"/>
          <w:sz w:val="16"/>
          <w:szCs w:val="16"/>
          <w:color w:val="auto"/>
        </w:rPr>
      </w:pPr>
      <w:r>
        <w:rPr>
          <w:rFonts w:ascii="Arial" w:cs="Arial" w:eastAsia="Arial" w:hAnsi="Arial"/>
          <w:sz w:val="16"/>
          <w:szCs w:val="16"/>
          <w:b w:val="1"/>
          <w:bCs w:val="1"/>
          <w:color w:val="auto"/>
        </w:rPr>
        <w:t>Fractional Shares</w:t>
      </w:r>
      <w:r>
        <w:rPr>
          <w:rFonts w:ascii="Arial" w:cs="Arial" w:eastAsia="Arial" w:hAnsi="Arial"/>
          <w:sz w:val="16"/>
          <w:szCs w:val="16"/>
          <w:color w:val="auto"/>
        </w:rPr>
        <w:t>. In the event of any adjustment in the number of shares covered by any Award, each such Award will</w:t>
      </w:r>
      <w:r>
        <w:rPr>
          <w:rFonts w:ascii="Arial" w:cs="Arial" w:eastAsia="Arial" w:hAnsi="Arial"/>
          <w:sz w:val="16"/>
          <w:szCs w:val="16"/>
          <w:b w:val="1"/>
          <w:bCs w:val="1"/>
          <w:color w:val="auto"/>
        </w:rPr>
        <w:t xml:space="preserve"> </w:t>
      </w:r>
      <w:r>
        <w:rPr>
          <w:rFonts w:ascii="Arial" w:cs="Arial" w:eastAsia="Arial" w:hAnsi="Arial"/>
          <w:sz w:val="16"/>
          <w:szCs w:val="16"/>
          <w:color w:val="auto"/>
        </w:rPr>
        <w:t>cover only the number of full shares resulting from such adjustment, and any fractional shares resulting from such adjustment will be disregarded.</w:t>
      </w:r>
    </w:p>
    <w:p>
      <w:pPr>
        <w:spacing w:after="0" w:line="56" w:lineRule="exact"/>
        <w:rPr>
          <w:rFonts w:ascii="Arial" w:cs="Arial" w:eastAsia="Arial" w:hAnsi="Arial"/>
          <w:sz w:val="16"/>
          <w:szCs w:val="16"/>
          <w:color w:val="auto"/>
        </w:rPr>
      </w:pPr>
    </w:p>
    <w:p>
      <w:pPr>
        <w:ind w:left="1020" w:right="120" w:hanging="354"/>
        <w:spacing w:after="0" w:line="271"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Term of the Plan</w:t>
      </w:r>
      <w:r>
        <w:rPr>
          <w:rFonts w:ascii="Arial" w:cs="Arial" w:eastAsia="Arial" w:hAnsi="Arial"/>
          <w:sz w:val="16"/>
          <w:szCs w:val="16"/>
          <w:color w:val="auto"/>
        </w:rPr>
        <w:t>. This Plan will expire 10 years after the original adoption of the Plan by the Board. The Administrator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grant new Awards after the expiration of the Plan or the date the Plan is otherwise terminated. Stockholders of the Company must approve the Plan and any increase in the Share Reserve and ISO Limit not later than 12 months after the Plan, Share Reserve or ISO Limit increase, as applicable, is adopted by the Board.</w:t>
      </w:r>
    </w:p>
    <w:p>
      <w:pPr>
        <w:spacing w:after="0" w:line="73" w:lineRule="exact"/>
        <w:rPr>
          <w:rFonts w:ascii="Arial" w:cs="Arial" w:eastAsia="Arial" w:hAnsi="Arial"/>
          <w:sz w:val="16"/>
          <w:szCs w:val="16"/>
          <w:color w:val="auto"/>
        </w:rPr>
      </w:pPr>
    </w:p>
    <w:p>
      <w:pPr>
        <w:ind w:left="1020" w:hanging="354"/>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Amendment and Termination</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380" w:right="220" w:hanging="354"/>
        <w:spacing w:after="0" w:line="271" w:lineRule="auto"/>
        <w:tabs>
          <w:tab w:leader="none" w:pos="1380" w:val="left"/>
        </w:tabs>
        <w:numPr>
          <w:ilvl w:val="1"/>
          <w:numId w:val="73"/>
        </w:numPr>
        <w:rPr>
          <w:rFonts w:ascii="Arial" w:cs="Arial" w:eastAsia="Arial" w:hAnsi="Arial"/>
          <w:sz w:val="16"/>
          <w:szCs w:val="16"/>
          <w:color w:val="auto"/>
        </w:rPr>
      </w:pPr>
      <w:r>
        <w:rPr>
          <w:rFonts w:ascii="Arial" w:cs="Arial" w:eastAsia="Arial" w:hAnsi="Arial"/>
          <w:sz w:val="16"/>
          <w:szCs w:val="16"/>
          <w:b w:val="1"/>
          <w:bCs w:val="1"/>
          <w:color w:val="auto"/>
        </w:rPr>
        <w:t>Plan Amendment, Suspension or Termination</w:t>
      </w:r>
      <w:r>
        <w:rPr>
          <w:rFonts w:ascii="Arial" w:cs="Arial" w:eastAsia="Arial" w:hAnsi="Arial"/>
          <w:sz w:val="16"/>
          <w:szCs w:val="16"/>
          <w:color w:val="auto"/>
        </w:rPr>
        <w:t>. The Administrator may amend, suspend or terminate the Plan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the Plan at any time and in such respects as it will deem advisable. No amendment will be effective absent stockholder approval if required by Applicable Law, including any amendment that would increase the Share Reserve or ISO Limit.</w:t>
      </w:r>
    </w:p>
    <w:p>
      <w:pPr>
        <w:spacing w:after="0" w:line="59" w:lineRule="exact"/>
        <w:rPr>
          <w:rFonts w:ascii="Arial" w:cs="Arial" w:eastAsia="Arial" w:hAnsi="Arial"/>
          <w:sz w:val="16"/>
          <w:szCs w:val="16"/>
          <w:color w:val="auto"/>
        </w:rPr>
      </w:pPr>
    </w:p>
    <w:p>
      <w:pPr>
        <w:ind w:left="1380" w:right="20" w:hanging="354"/>
        <w:spacing w:after="0" w:line="264" w:lineRule="auto"/>
        <w:tabs>
          <w:tab w:leader="none" w:pos="1380" w:val="left"/>
        </w:tabs>
        <w:numPr>
          <w:ilvl w:val="1"/>
          <w:numId w:val="73"/>
        </w:numPr>
        <w:rPr>
          <w:rFonts w:ascii="Arial" w:cs="Arial" w:eastAsia="Arial" w:hAnsi="Arial"/>
          <w:sz w:val="16"/>
          <w:szCs w:val="16"/>
          <w:color w:val="auto"/>
        </w:rPr>
      </w:pPr>
      <w:r>
        <w:rPr>
          <w:rFonts w:ascii="Arial" w:cs="Arial" w:eastAsia="Arial" w:hAnsi="Arial"/>
          <w:sz w:val="16"/>
          <w:szCs w:val="16"/>
          <w:b w:val="1"/>
          <w:bCs w:val="1"/>
          <w:color w:val="auto"/>
        </w:rPr>
        <w:t>Award Amendment</w:t>
      </w:r>
      <w:r>
        <w:rPr>
          <w:rFonts w:ascii="Arial" w:cs="Arial" w:eastAsia="Arial" w:hAnsi="Arial"/>
          <w:sz w:val="16"/>
          <w:szCs w:val="16"/>
          <w:color w:val="auto"/>
        </w:rPr>
        <w:t>. The Administrator may amend any Award at any time. However, the Administrator may not amend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in a manner that materially adversely impacts the rights of the Participant holding that Award without the Participant’s written consent. A Participant will not be deemed to have been materially adversely impacted if, without the consent of the Participant, the Board amends an Award: (i) to maintain the qualified status of the Award as an Incentive Stock Option under Section 422 of the Code, (ii) to change the terms of an Incentive Stock Option to the extent such change results in impairment of the Award solely because it impairs the qualified status of the Award as an Incentive Stock Option under Section 422 of the Code, (iii) to clarify the manner of exemption from, or to bring the Award into compliance with Section 409A, (iv) to correct clerical or typographical errors, or (v) to comply with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198120</wp:posOffset>
            </wp:positionV>
            <wp:extent cx="334010" cy="162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23"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C-10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020" w:hanging="354"/>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No Individual Rights</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380" w:right="200" w:hanging="354"/>
        <w:spacing w:after="0" w:line="286" w:lineRule="auto"/>
        <w:tabs>
          <w:tab w:leader="none" w:pos="13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 individual or Participant will have any claim to be granted any Award under the Plan. The Company has no obligation for uniformity of treatment of Participants under the Plan.</w:t>
      </w:r>
    </w:p>
    <w:p>
      <w:pPr>
        <w:spacing w:after="0" w:line="61" w:lineRule="exact"/>
        <w:rPr>
          <w:rFonts w:ascii="Arial" w:cs="Arial" w:eastAsia="Arial" w:hAnsi="Arial"/>
          <w:sz w:val="16"/>
          <w:szCs w:val="16"/>
          <w:color w:val="auto"/>
        </w:rPr>
      </w:pPr>
    </w:p>
    <w:p>
      <w:pPr>
        <w:ind w:left="1380" w:right="20" w:hanging="354"/>
        <w:spacing w:after="0" w:line="271" w:lineRule="auto"/>
        <w:tabs>
          <w:tab w:leader="none" w:pos="13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Nothing in the Plan or any Award will be deemed to constitute an employment contract or confer or be deemed to confer on any Participant any right to continue in the employ of, or to continue any other service relationship with, the Company or any Related Company or limit in any way the right of the Company or any Related Company to terminate a Participant’s Service relationship at any time, with or without cause.</w:t>
      </w:r>
    </w:p>
    <w:p>
      <w:pPr>
        <w:spacing w:after="0" w:line="73" w:lineRule="exact"/>
        <w:rPr>
          <w:rFonts w:ascii="Arial" w:cs="Arial" w:eastAsia="Arial" w:hAnsi="Arial"/>
          <w:sz w:val="16"/>
          <w:szCs w:val="16"/>
          <w:color w:val="auto"/>
        </w:rPr>
      </w:pPr>
    </w:p>
    <w:p>
      <w:pPr>
        <w:ind w:left="1020" w:hanging="354"/>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Conditions on Issuance of Shares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380" w:right="220" w:hanging="354"/>
        <w:spacing w:after="0" w:line="284" w:lineRule="auto"/>
        <w:tabs>
          <w:tab w:leader="none" w:pos="13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Company will have no obligation to issue or deliver any shares of Common Stock under the Plan or make any other distribution of benefits under the Plan unless, in the opinion of the Company’s counsel, such issuance, delivery or distribution would comply with all Applicable Laws.</w:t>
      </w:r>
    </w:p>
    <w:p>
      <w:pPr>
        <w:spacing w:after="0" w:line="48" w:lineRule="exact"/>
        <w:rPr>
          <w:rFonts w:ascii="Arial" w:cs="Arial" w:eastAsia="Arial" w:hAnsi="Arial"/>
          <w:sz w:val="16"/>
          <w:szCs w:val="16"/>
          <w:color w:val="auto"/>
        </w:rPr>
      </w:pPr>
    </w:p>
    <w:p>
      <w:pPr>
        <w:ind w:left="1380" w:right="20" w:hanging="354"/>
        <w:spacing w:after="0" w:line="264" w:lineRule="auto"/>
        <w:tabs>
          <w:tab w:leader="none" w:pos="13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Company will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If, after reasonable efforts and at a reasonable cost, the Company is unable to obtain from any regulatory commission or agency the authority that legal counsel for the Company deems necessary or advisable for the lawful issuance and sale of Common Stock under the Plan, the Company will be relieved from any liability for failure to issue and sell Common Stock under those Awards.</w:t>
      </w:r>
    </w:p>
    <w:p>
      <w:pPr>
        <w:spacing w:after="0" w:line="81" w:lineRule="exact"/>
        <w:rPr>
          <w:rFonts w:ascii="Arial" w:cs="Arial" w:eastAsia="Arial" w:hAnsi="Arial"/>
          <w:sz w:val="16"/>
          <w:szCs w:val="16"/>
          <w:color w:val="auto"/>
        </w:rPr>
      </w:pPr>
    </w:p>
    <w:p>
      <w:pPr>
        <w:jc w:val="both"/>
        <w:ind w:left="1380" w:right="260" w:hanging="354"/>
        <w:spacing w:after="0" w:line="275" w:lineRule="auto"/>
        <w:tabs>
          <w:tab w:leader="none" w:pos="13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As a condition to the receipt of Common Stock under the Plan, the Administrator may require the Participant to (i) make any representations or warranties required for compliance with Applicable Laws and (ii) undertake additional actions as necessary to comply with Applicable Laws.</w:t>
      </w:r>
    </w:p>
    <w:p>
      <w:pPr>
        <w:spacing w:after="0" w:line="69" w:lineRule="exact"/>
        <w:rPr>
          <w:rFonts w:ascii="Arial" w:cs="Arial" w:eastAsia="Arial" w:hAnsi="Arial"/>
          <w:sz w:val="16"/>
          <w:szCs w:val="16"/>
          <w:color w:val="auto"/>
        </w:rPr>
      </w:pPr>
    </w:p>
    <w:p>
      <w:pPr>
        <w:ind w:left="1380" w:right="20" w:hanging="354"/>
        <w:spacing w:after="0" w:line="265" w:lineRule="auto"/>
        <w:tabs>
          <w:tab w:leader="none" w:pos="13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Company may issue shares of Common Stock on a noncertificated basis, including as digital assets located on a distributed ledger or blockchain, to the extent not prohibited by Applicable Law or the applicable rules of any stock exchange. The Company may require that any shares of Common Stock that are unvested or subject to transfer restrictions will be (i) held in book entry form subject to the Company’s instructions until such shares become vested or any other restrictions lapse or (ii) evidenced by a certificate, which certificate will be held in such form and manner as determined by the Administrator.</w:t>
      </w:r>
    </w:p>
    <w:p>
      <w:pPr>
        <w:spacing w:after="0" w:line="77" w:lineRule="exact"/>
        <w:rPr>
          <w:rFonts w:ascii="Arial" w:cs="Arial" w:eastAsia="Arial" w:hAnsi="Arial"/>
          <w:sz w:val="16"/>
          <w:szCs w:val="16"/>
          <w:color w:val="auto"/>
        </w:rPr>
      </w:pPr>
    </w:p>
    <w:p>
      <w:pPr>
        <w:ind w:left="1020" w:hanging="354"/>
        <w:spacing w:after="0" w:line="265"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No Rights as a Stockholder</w:t>
      </w:r>
      <w:r>
        <w:rPr>
          <w:rFonts w:ascii="Arial" w:cs="Arial" w:eastAsia="Arial" w:hAnsi="Arial"/>
          <w:sz w:val="16"/>
          <w:szCs w:val="16"/>
          <w:color w:val="auto"/>
        </w:rPr>
        <w:t>. Unless otherwise provided by the Administrator or in the Award Agreement or in a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services or other agreement, no Participant will be deemed to be the holder of, or have any rights of a holder of, the shares of the Common Stock subject to an Award unless and until the date of issuance under the Plan of the shares that are the subject of such Award. No adjustment to an Award will be made for a dividend or other right for which the record date is prior to the date the shares of Common Stock are issued, except as provided in Section 12.</w:t>
      </w:r>
    </w:p>
    <w:p>
      <w:pPr>
        <w:spacing w:after="0" w:line="77" w:lineRule="exact"/>
        <w:rPr>
          <w:rFonts w:ascii="Arial" w:cs="Arial" w:eastAsia="Arial" w:hAnsi="Arial"/>
          <w:sz w:val="16"/>
          <w:szCs w:val="16"/>
          <w:color w:val="auto"/>
        </w:rPr>
      </w:pPr>
    </w:p>
    <w:p>
      <w:pPr>
        <w:ind w:left="1020" w:right="200" w:hanging="354"/>
        <w:spacing w:after="0" w:line="269"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Participants in Other Countries or Jurisdictions</w:t>
      </w:r>
      <w:r>
        <w:rPr>
          <w:rFonts w:ascii="Arial" w:cs="Arial" w:eastAsia="Arial" w:hAnsi="Arial"/>
          <w:sz w:val="16"/>
          <w:szCs w:val="16"/>
          <w:color w:val="auto"/>
        </w:rPr>
        <w:t>. The Administrator may grant Awards to Eligible Persons who are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nationals on such terms and conditions different from those specified in the Plan. The Administrator has the authority to adopt Plan modifications, administrative procedures, subplans and the like as may be necessary or desirable to comply with provisions of the laws or regulations of other countries or jurisdictions in which the Company or any Related Company may operate or have employees.</w:t>
      </w:r>
    </w:p>
    <w:p>
      <w:pPr>
        <w:spacing w:after="0" w:line="62" w:lineRule="exact"/>
        <w:rPr>
          <w:rFonts w:ascii="Arial" w:cs="Arial" w:eastAsia="Arial" w:hAnsi="Arial"/>
          <w:sz w:val="16"/>
          <w:szCs w:val="16"/>
          <w:color w:val="auto"/>
        </w:rPr>
      </w:pPr>
    </w:p>
    <w:p>
      <w:pPr>
        <w:ind w:left="1020" w:hanging="354"/>
        <w:spacing w:after="0" w:line="269"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No Trust or Fund</w:t>
      </w:r>
      <w:r>
        <w:rPr>
          <w:rFonts w:ascii="Arial" w:cs="Arial" w:eastAsia="Arial" w:hAnsi="Arial"/>
          <w:sz w:val="16"/>
          <w:szCs w:val="16"/>
          <w:color w:val="auto"/>
        </w:rPr>
        <w:t>. The Plan is intended to constitute an “unfunded” plan. Nothing contained herein will require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segregate any monies or other property, or shares of Common Stock, or to create any trusts, or to make any special deposits for any immediate or deferred amounts payable to any Participant. No Participant will have any rights that are greater than those of a general unsecured creditor of the Company. Proceeds from the sale of shares of Common Stock pursuant to Awards will constitute general funds of the Company.</w:t>
      </w:r>
    </w:p>
    <w:p>
      <w:pPr>
        <w:spacing w:after="0" w:line="75" w:lineRule="exact"/>
        <w:rPr>
          <w:rFonts w:ascii="Arial" w:cs="Arial" w:eastAsia="Arial" w:hAnsi="Arial"/>
          <w:sz w:val="16"/>
          <w:szCs w:val="16"/>
          <w:color w:val="auto"/>
        </w:rPr>
      </w:pPr>
    </w:p>
    <w:p>
      <w:pPr>
        <w:ind w:left="1020" w:right="60" w:hanging="354"/>
        <w:spacing w:after="0" w:line="265"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Successors</w:t>
      </w:r>
      <w:r>
        <w:rPr>
          <w:rFonts w:ascii="Arial" w:cs="Arial" w:eastAsia="Arial" w:hAnsi="Arial"/>
          <w:sz w:val="16"/>
          <w:szCs w:val="16"/>
          <w:color w:val="auto"/>
        </w:rPr>
        <w:t>. All obligations of the Company under the Plan with respect to Awards will be binding on any successor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whether the existence of such successor is the result of a direct or indirect purchase, merger, consolidation, or otherwise, of all or substantially all the business and/or assets of the Company. The Plan and conditions of any Award will be binding on the Participant and the Participant’s estate, executor, any receiver or trustee in bankruptcy and any representative of Participant’s creditors.</w:t>
      </w:r>
    </w:p>
    <w:p>
      <w:pPr>
        <w:spacing w:after="0" w:line="77" w:lineRule="exact"/>
        <w:rPr>
          <w:rFonts w:ascii="Arial" w:cs="Arial" w:eastAsia="Arial" w:hAnsi="Arial"/>
          <w:sz w:val="16"/>
          <w:szCs w:val="16"/>
          <w:color w:val="auto"/>
        </w:rPr>
      </w:pPr>
    </w:p>
    <w:p>
      <w:pPr>
        <w:ind w:left="1020" w:right="20" w:hanging="354"/>
        <w:spacing w:after="0" w:line="265"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of the Plan or any Award is determined to be invalid, illegal or unenforceable in any jurisdiction,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as to any person, or would disqualify the Plan or any Award under any law deemed applicable by the Administrator, such provision will be construed or deemed amended to conform to Applicable Laws. If any such provision cannot be so construed or deemed amended without, in the Administrator’s determination, materially altering the intent of the Plan or the Award, such provision will be stricken as to such jurisdiction, person or Award, and the remainder of the Plan and any such Award will remain in full force and effect.</w:t>
      </w:r>
    </w:p>
    <w:p>
      <w:pPr>
        <w:spacing w:after="0" w:line="77" w:lineRule="exact"/>
        <w:rPr>
          <w:rFonts w:ascii="Arial" w:cs="Arial" w:eastAsia="Arial" w:hAnsi="Arial"/>
          <w:sz w:val="16"/>
          <w:szCs w:val="16"/>
          <w:color w:val="auto"/>
        </w:rPr>
      </w:pPr>
    </w:p>
    <w:p>
      <w:pPr>
        <w:ind w:left="1020" w:right="60" w:hanging="354"/>
        <w:spacing w:after="0" w:line="321" w:lineRule="auto"/>
        <w:tabs>
          <w:tab w:leader="none" w:pos="1020" w:val="left"/>
        </w:tabs>
        <w:numPr>
          <w:ilvl w:val="0"/>
          <w:numId w:val="74"/>
        </w:numPr>
        <w:rPr>
          <w:rFonts w:ascii="Arial" w:cs="Arial" w:eastAsia="Arial" w:hAnsi="Arial"/>
          <w:sz w:val="15"/>
          <w:szCs w:val="15"/>
          <w:color w:val="auto"/>
        </w:rPr>
      </w:pPr>
      <w:r>
        <w:rPr>
          <w:rFonts w:ascii="Arial" w:cs="Arial" w:eastAsia="Arial" w:hAnsi="Arial"/>
          <w:sz w:val="15"/>
          <w:szCs w:val="15"/>
          <w:b w:val="1"/>
          <w:bCs w:val="1"/>
          <w:color w:val="auto"/>
        </w:rPr>
        <w:t>Choice of Law and Venue</w:t>
      </w:r>
      <w:r>
        <w:rPr>
          <w:rFonts w:ascii="Arial" w:cs="Arial" w:eastAsia="Arial" w:hAnsi="Arial"/>
          <w:sz w:val="15"/>
          <w:szCs w:val="15"/>
          <w:color w:val="auto"/>
        </w:rPr>
        <w:t>. The Plan, all Awards granted thereunder, and all determinations made and actions taken pursuant</w:t>
      </w:r>
      <w:r>
        <w:rPr>
          <w:rFonts w:ascii="Arial" w:cs="Arial" w:eastAsia="Arial" w:hAnsi="Arial"/>
          <w:sz w:val="15"/>
          <w:szCs w:val="15"/>
          <w:b w:val="1"/>
          <w:bCs w:val="1"/>
          <w:color w:val="auto"/>
        </w:rPr>
        <w:t xml:space="preserve"> </w:t>
      </w:r>
      <w:r>
        <w:rPr>
          <w:rFonts w:ascii="Arial" w:cs="Arial" w:eastAsia="Arial" w:hAnsi="Arial"/>
          <w:sz w:val="15"/>
          <w:szCs w:val="15"/>
          <w:color w:val="auto"/>
        </w:rPr>
        <w:t>hereto, to the extent not otherwise governed by the laws of the United States, will be governed by the laws of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179070</wp:posOffset>
            </wp:positionV>
            <wp:extent cx="334010" cy="1625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93" w:lineRule="exact"/>
        <w:rPr>
          <w:sz w:val="20"/>
          <w:szCs w:val="20"/>
          <w:color w:val="auto"/>
        </w:rPr>
      </w:pPr>
    </w:p>
    <w:p>
      <w:pPr>
        <w:ind w:left="4540"/>
        <w:spacing w:after="0"/>
        <w:tabs>
          <w:tab w:leader="none" w:pos="8620" w:val="left"/>
        </w:tabs>
        <w:rPr>
          <w:sz w:val="20"/>
          <w:szCs w:val="20"/>
          <w:color w:val="auto"/>
        </w:rPr>
      </w:pPr>
      <w:r>
        <w:rPr>
          <w:rFonts w:ascii="Arial" w:cs="Arial" w:eastAsia="Arial" w:hAnsi="Arial"/>
          <w:sz w:val="14"/>
          <w:szCs w:val="14"/>
          <w:color w:val="auto"/>
        </w:rPr>
        <w:t>»  C-11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020" w:right="140"/>
        <w:spacing w:after="0" w:line="304" w:lineRule="auto"/>
        <w:rPr>
          <w:sz w:val="20"/>
          <w:szCs w:val="20"/>
          <w:color w:val="auto"/>
        </w:rPr>
      </w:pPr>
      <w:r>
        <w:rPr>
          <w:rFonts w:ascii="Arial" w:cs="Arial" w:eastAsia="Arial" w:hAnsi="Arial"/>
          <w:sz w:val="16"/>
          <w:szCs w:val="16"/>
          <w:color w:val="auto"/>
        </w:rPr>
        <w:t>without giving effect to principles of conflicts of law. Participants irrevocably consent to the nonexclusive jurisdiction and venue of the state and federal courts located in the state of Texas.</w:t>
      </w:r>
    </w:p>
    <w:p>
      <w:pPr>
        <w:spacing w:after="0" w:line="33" w:lineRule="exact"/>
        <w:rPr>
          <w:sz w:val="20"/>
          <w:szCs w:val="20"/>
          <w:color w:val="auto"/>
        </w:rPr>
      </w:pPr>
    </w:p>
    <w:p>
      <w:pPr>
        <w:ind w:left="1020" w:right="160" w:hanging="354"/>
        <w:spacing w:after="0" w:line="304" w:lineRule="auto"/>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Legal Requirements</w:t>
      </w:r>
      <w:r>
        <w:rPr>
          <w:rFonts w:ascii="Arial" w:cs="Arial" w:eastAsia="Arial" w:hAnsi="Arial"/>
          <w:sz w:val="16"/>
          <w:szCs w:val="16"/>
          <w:color w:val="auto"/>
        </w:rPr>
        <w:t>. The granting of Awards and the issuance of shares of Common Stock under the Plan are subject to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comply with all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7359650</wp:posOffset>
            </wp:positionV>
            <wp:extent cx="334010" cy="1625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C-12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DEFINITIONS</w:t>
      </w:r>
    </w:p>
    <w:p>
      <w:pPr>
        <w:spacing w:after="0" w:line="127" w:lineRule="exact"/>
        <w:rPr>
          <w:sz w:val="20"/>
          <w:szCs w:val="20"/>
          <w:color w:val="auto"/>
        </w:rPr>
      </w:pPr>
    </w:p>
    <w:p>
      <w:pPr>
        <w:ind w:left="660" w:right="5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Entity</w:t>
      </w:r>
      <w:r>
        <w:rPr>
          <w:rFonts w:ascii="Arial" w:cs="Arial" w:eastAsia="Arial" w:hAnsi="Arial"/>
          <w:sz w:val="16"/>
          <w:szCs w:val="16"/>
          <w:color w:val="auto"/>
        </w:rPr>
        <w:t>” means any entity acquired by the Company or a Related Company or with which the Company or a Related Company merges or combines.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has the meaning set forth in Section 3(a) of the Plan.</w:t>
      </w:r>
    </w:p>
    <w:p>
      <w:pPr>
        <w:spacing w:after="0" w:line="113" w:lineRule="exact"/>
        <w:rPr>
          <w:sz w:val="20"/>
          <w:szCs w:val="20"/>
          <w:color w:val="auto"/>
        </w:rPr>
      </w:pPr>
    </w:p>
    <w:p>
      <w:pPr>
        <w:ind w:left="660" w:right="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the requirements relating to the administration of this Plan and the Awards granted hereunder under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74"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any Option, Stock Appreciation Right, Restricted Stock, Restricted Stock Unit or cash-based award or other incentive payable in cash or in shares of Common Stock, as may be designated by the Administrator from time to time.</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 Agreement</w:t>
      </w:r>
      <w:r>
        <w:rPr>
          <w:rFonts w:ascii="Arial" w:cs="Arial" w:eastAsia="Arial" w:hAnsi="Arial"/>
          <w:sz w:val="16"/>
          <w:szCs w:val="16"/>
          <w:color w:val="auto"/>
        </w:rPr>
        <w:t>” means the written document stating the terms of the Award.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127"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unless otherwise defined in an Award Agreement or in a written employment, services or other agreement between the Participant and the Company or a Related Company, means, with respect to a Participant, the occurrence of any of the following events: (a) such Participant’s commission of any felony or any misdemeanor involving moral turpitude, dishonesty or fraud; (b) such Participant’s commission of a crime involving fraud or dishonesty under the laws of the United States or any state thereof; (c) such Participant’s violation of any contract or agreement between the Participant and the Company or a Related Company or any breach of any statutory duty owed to the Company or a Related Company; (d) such Participant’s unauthorized use, misappropriation or disclosure of the confidential information or trade secrets of the Company or a Related Company; (e) such Participant’s misconduct that is injurious or reasonably likely to be injurious to the Company or a Related Company, whether financially, reputationally or otherwise; (f) such Participant’s willful failure or refusal to perform the duties and responsibilities of the Participant’s position or to comply with any lawful directive of the Company or a Related Company; (g) such Participant’s material failure to comply with the written policies or rules of the Company or a Related Company; or (h) such Participant’s act of fraud, embezzlement or misappropriation against the Company or a Related Company. The determination that a termination of the Participant is either for Cause or without Cause will be made by the Administrator, in its sole discretion. Any determination by the Administrator that a Participant was terminated with or without Cause for the purposes of outstanding Awards held by such Participant will have no effect on any determination of the rights or obligations of the Company or such Participant for any other purpose.</w:t>
      </w:r>
    </w:p>
    <w:p>
      <w:pPr>
        <w:spacing w:after="0" w:line="80" w:lineRule="exact"/>
        <w:rPr>
          <w:sz w:val="20"/>
          <w:szCs w:val="20"/>
          <w:color w:val="auto"/>
        </w:rPr>
      </w:pPr>
    </w:p>
    <w:p>
      <w:pPr>
        <w:ind w:left="660" w:right="16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unless the Administrator determines otherwise with respect to an Award at the time the Award is granted or unless otherwise defined for purposes of an Award in a written employment, services or other agreement between the Participant and the Company or a Related Company, means the consummation, in a single transaction or in a series of related transactions, of any one or more of the following events:</w:t>
      </w:r>
    </w:p>
    <w:p>
      <w:pPr>
        <w:spacing w:after="0" w:line="56" w:lineRule="exact"/>
        <w:rPr>
          <w:sz w:val="20"/>
          <w:szCs w:val="20"/>
          <w:color w:val="auto"/>
        </w:rPr>
      </w:pPr>
    </w:p>
    <w:p>
      <w:pPr>
        <w:jc w:val="both"/>
        <w:ind w:left="1380" w:right="40" w:hanging="354"/>
        <w:spacing w:after="0" w:line="284" w:lineRule="auto"/>
        <w:tabs>
          <w:tab w:leader="none" w:pos="13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person or entity becomes the owner, directly or indirectly, of securities of the Company representing more than 50% of the combined voting power of the Company’s then outstanding securities other than by virtue of a merger, consolidation or similar transaction.</w:t>
      </w:r>
    </w:p>
    <w:p>
      <w:pPr>
        <w:spacing w:after="0" w:line="48" w:lineRule="exact"/>
        <w:rPr>
          <w:rFonts w:ascii="Arial" w:cs="Arial" w:eastAsia="Arial" w:hAnsi="Arial"/>
          <w:sz w:val="16"/>
          <w:szCs w:val="16"/>
          <w:color w:val="auto"/>
        </w:rPr>
      </w:pPr>
    </w:p>
    <w:p>
      <w:pPr>
        <w:ind w:left="1380" w:hanging="354"/>
        <w:spacing w:after="0"/>
        <w:tabs>
          <w:tab w:leader="none" w:pos="13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Company Transaction.</w:t>
      </w:r>
    </w:p>
    <w:p>
      <w:pPr>
        <w:spacing w:after="0" w:line="127" w:lineRule="exact"/>
        <w:rPr>
          <w:sz w:val="20"/>
          <w:szCs w:val="20"/>
          <w:color w:val="auto"/>
        </w:rPr>
      </w:pPr>
    </w:p>
    <w:p>
      <w:pPr>
        <w:ind w:left="660" w:right="600"/>
        <w:spacing w:after="0" w:line="286" w:lineRule="auto"/>
        <w:rPr>
          <w:sz w:val="20"/>
          <w:szCs w:val="20"/>
          <w:color w:val="auto"/>
        </w:rPr>
      </w:pPr>
      <w:r>
        <w:rPr>
          <w:rFonts w:ascii="Arial" w:cs="Arial" w:eastAsia="Arial" w:hAnsi="Arial"/>
          <w:sz w:val="16"/>
          <w:szCs w:val="16"/>
          <w:color w:val="auto"/>
        </w:rPr>
        <w:t>However, the term Change of Control will not include a sale of assets, merger or other transaction effected exclusively for the purpose of changing the domicile of the Company.</w:t>
      </w:r>
    </w:p>
    <w:p>
      <w:pPr>
        <w:spacing w:after="0" w:line="48" w:lineRule="exact"/>
        <w:rPr>
          <w:sz w:val="20"/>
          <w:szCs w:val="20"/>
          <w:color w:val="auto"/>
        </w:rPr>
      </w:pPr>
    </w:p>
    <w:p>
      <w:pPr>
        <w:ind w:left="660" w:right="100"/>
        <w:spacing w:after="0" w:line="270" w:lineRule="auto"/>
        <w:rPr>
          <w:sz w:val="20"/>
          <w:szCs w:val="20"/>
          <w:color w:val="auto"/>
        </w:rPr>
      </w:pPr>
      <w:r>
        <w:rPr>
          <w:rFonts w:ascii="Arial" w:cs="Arial" w:eastAsia="Arial" w:hAnsi="Arial"/>
          <w:sz w:val="15"/>
          <w:szCs w:val="15"/>
          <w:color w:val="auto"/>
        </w:rPr>
        <w:t>In addition, a Change of Control will not be deemed to occur (i) on account of the acquisition of securities of the Company by an investor, any affiliate thereof or any other entity or person that acquires the Company’s securities in a transaction or series of related transactions the primary purpose of which is to obtain financing for the Company through the issuance of equity securities, or</w:t>
      </w:r>
    </w:p>
    <w:p>
      <w:pPr>
        <w:spacing w:after="0" w:line="1" w:lineRule="exact"/>
        <w:rPr>
          <w:sz w:val="20"/>
          <w:szCs w:val="20"/>
          <w:color w:val="auto"/>
        </w:rPr>
      </w:pPr>
    </w:p>
    <w:p>
      <w:pPr>
        <w:ind w:left="660" w:right="20" w:firstLine="6"/>
        <w:spacing w:after="0" w:line="246" w:lineRule="auto"/>
        <w:tabs>
          <w:tab w:leader="none" w:pos="879" w:val="left"/>
        </w:tabs>
        <w:numPr>
          <w:ilvl w:val="0"/>
          <w:numId w:val="77"/>
        </w:numPr>
        <w:rPr>
          <w:rFonts w:ascii="Arial" w:cs="Arial" w:eastAsia="Arial" w:hAnsi="Arial"/>
          <w:sz w:val="16"/>
          <w:szCs w:val="16"/>
          <w:color w:val="auto"/>
        </w:rPr>
      </w:pPr>
      <w:r>
        <w:rPr>
          <w:rFonts w:ascii="Arial" w:cs="Arial" w:eastAsia="Arial" w:hAnsi="Arial"/>
          <w:sz w:val="16"/>
          <w:szCs w:val="16"/>
          <w:color w:val="auto"/>
        </w:rPr>
        <w:t>solely because the level of ownership held by any person or entity (the “</w:t>
      </w:r>
      <w:r>
        <w:rPr>
          <w:rFonts w:ascii="Arial" w:cs="Arial" w:eastAsia="Arial" w:hAnsi="Arial"/>
          <w:sz w:val="16"/>
          <w:szCs w:val="16"/>
          <w:b w:val="1"/>
          <w:b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However, if a Change of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w:t>
      </w:r>
    </w:p>
    <w:p>
      <w:pPr>
        <w:spacing w:after="0" w:line="2" w:lineRule="exact"/>
        <w:rPr>
          <w:rFonts w:ascii="Arial" w:cs="Arial" w:eastAsia="Arial" w:hAnsi="Arial"/>
          <w:sz w:val="16"/>
          <w:szCs w:val="16"/>
          <w:color w:val="auto"/>
        </w:rPr>
      </w:pPr>
    </w:p>
    <w:p>
      <w:pPr>
        <w:ind w:left="660" w:right="320"/>
        <w:spacing w:after="0" w:line="265" w:lineRule="auto"/>
        <w:rPr>
          <w:rFonts w:ascii="Arial" w:cs="Arial" w:eastAsia="Arial" w:hAnsi="Arial"/>
          <w:sz w:val="16"/>
          <w:szCs w:val="16"/>
          <w:color w:val="auto"/>
        </w:rPr>
      </w:pPr>
      <w:r>
        <w:rPr>
          <w:rFonts w:ascii="Arial" w:cs="Arial" w:eastAsia="Arial" w:hAnsi="Arial"/>
          <w:sz w:val="16"/>
          <w:szCs w:val="16"/>
          <w:color w:val="auto"/>
        </w:rPr>
        <w:t>the percentage of the then outstanding voting securities owned by the Subject Person over the designated percentage threshold, then a Change of Control will be deemed to occur.</w:t>
      </w:r>
    </w:p>
    <w:p>
      <w:pPr>
        <w:spacing w:after="0" w:line="64" w:lineRule="exact"/>
        <w:rPr>
          <w:sz w:val="20"/>
          <w:szCs w:val="20"/>
          <w:color w:val="auto"/>
        </w:rPr>
      </w:pPr>
    </w:p>
    <w:p>
      <w:pPr>
        <w:ind w:left="660" w:right="40"/>
        <w:spacing w:after="0" w:line="266" w:lineRule="auto"/>
        <w:rPr>
          <w:sz w:val="20"/>
          <w:szCs w:val="20"/>
          <w:color w:val="auto"/>
        </w:rPr>
      </w:pPr>
      <w:r>
        <w:rPr>
          <w:rFonts w:ascii="Arial" w:cs="Arial" w:eastAsia="Arial" w:hAnsi="Arial"/>
          <w:sz w:val="16"/>
          <w:szCs w:val="16"/>
          <w:color w:val="auto"/>
        </w:rPr>
        <w:t>If necessary for compliance with Section 409A, no transaction will be a Change of Control unless it is also a change in the ownership or effective control of the Company, or in the ownership of a substantial portion of the Company’s assets, as provided in Section 409A(a)(2)(A)(v) of the Code and Treasury Regulations Section 1.409A-3(i)(5).</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 from time to time.</w:t>
      </w:r>
    </w:p>
    <w:p>
      <w:pPr>
        <w:spacing w:after="0" w:line="113"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a duly authorized committee of the Board that is structured to satisfy Applicable Laws for purposes of the actions being taken by that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184785</wp:posOffset>
            </wp:positionV>
            <wp:extent cx="334010" cy="1625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02" w:lineRule="exact"/>
        <w:rPr>
          <w:sz w:val="20"/>
          <w:szCs w:val="20"/>
          <w:color w:val="auto"/>
        </w:rPr>
      </w:pPr>
    </w:p>
    <w:p>
      <w:pPr>
        <w:ind w:left="4540"/>
        <w:spacing w:after="0"/>
        <w:tabs>
          <w:tab w:leader="none" w:pos="8620" w:val="left"/>
        </w:tabs>
        <w:rPr>
          <w:sz w:val="20"/>
          <w:szCs w:val="20"/>
          <w:color w:val="auto"/>
        </w:rPr>
      </w:pPr>
      <w:r>
        <w:rPr>
          <w:rFonts w:ascii="Arial" w:cs="Arial" w:eastAsia="Arial" w:hAnsi="Arial"/>
          <w:sz w:val="14"/>
          <w:szCs w:val="14"/>
          <w:color w:val="auto"/>
        </w:rPr>
        <w:t>»  C-13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right="3040"/>
        <w:spacing w:after="0" w:line="3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par value $0.001 per share, of the Company. “</w:t>
      </w:r>
      <w:r>
        <w:rPr>
          <w:rFonts w:ascii="Arial" w:cs="Arial" w:eastAsia="Arial" w:hAnsi="Arial"/>
          <w:sz w:val="16"/>
          <w:szCs w:val="16"/>
          <w:b w:val="1"/>
          <w:bCs w:val="1"/>
          <w:color w:val="auto"/>
        </w:rPr>
        <w:t>Company</w:t>
      </w:r>
      <w:r>
        <w:rPr>
          <w:rFonts w:ascii="Arial" w:cs="Arial" w:eastAsia="Arial" w:hAnsi="Arial"/>
          <w:sz w:val="16"/>
          <w:szCs w:val="16"/>
          <w:color w:val="auto"/>
        </w:rPr>
        <w:t>” means Applied Optoelectronics, Inc., a Delaware corporation. “</w:t>
      </w:r>
      <w:r>
        <w:rPr>
          <w:rFonts w:ascii="Arial" w:cs="Arial" w:eastAsia="Arial" w:hAnsi="Arial"/>
          <w:sz w:val="16"/>
          <w:szCs w:val="16"/>
          <w:b w:val="1"/>
          <w:bCs w:val="1"/>
          <w:color w:val="auto"/>
        </w:rPr>
        <w:t>Company Transaction</w:t>
      </w:r>
      <w:r>
        <w:rPr>
          <w:rFonts w:ascii="Arial" w:cs="Arial" w:eastAsia="Arial" w:hAnsi="Arial"/>
          <w:sz w:val="16"/>
          <w:szCs w:val="16"/>
          <w:color w:val="auto"/>
        </w:rPr>
        <w:t>” means:</w:t>
      </w:r>
    </w:p>
    <w:p>
      <w:pPr>
        <w:ind w:left="1380" w:right="100" w:hanging="354"/>
        <w:spacing w:after="0" w:line="264" w:lineRule="auto"/>
        <w:tabs>
          <w:tab w:leader="none" w:pos="13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68" w:lineRule="exact"/>
        <w:rPr>
          <w:rFonts w:ascii="Arial" w:cs="Arial" w:eastAsia="Arial" w:hAnsi="Arial"/>
          <w:sz w:val="16"/>
          <w:szCs w:val="16"/>
          <w:color w:val="auto"/>
        </w:rPr>
      </w:pPr>
    </w:p>
    <w:p>
      <w:pPr>
        <w:ind w:left="1380" w:right="740" w:hanging="354"/>
        <w:spacing w:after="0" w:line="304" w:lineRule="auto"/>
        <w:tabs>
          <w:tab w:leader="none" w:pos="13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sale in one transaction or a series of transactions undertaken with a common purpose of more than 50% of the Company’s outstanding voting securities; or</w:t>
      </w:r>
    </w:p>
    <w:p>
      <w:pPr>
        <w:spacing w:after="0" w:line="33" w:lineRule="exact"/>
        <w:rPr>
          <w:rFonts w:ascii="Arial" w:cs="Arial" w:eastAsia="Arial" w:hAnsi="Arial"/>
          <w:sz w:val="16"/>
          <w:szCs w:val="16"/>
          <w:color w:val="auto"/>
        </w:rPr>
      </w:pPr>
    </w:p>
    <w:p>
      <w:pPr>
        <w:ind w:left="1380" w:right="40" w:hanging="354"/>
        <w:spacing w:after="0" w:line="269" w:lineRule="auto"/>
        <w:tabs>
          <w:tab w:leader="none" w:pos="13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sale or other disposition of all or substantially all of the consolidated assets of the Company and its subsidiaries, other than a sale or other disposition of all or substantially all of the consolidated assets of the Company and its subsidiaries to a person or entity, more than 50% of the combined voting power of the voting securities of which are owned by stockholders of the Company in substantially the same proportions as their ownership of the outstanding voting securities of the Company immediately prior to such sale or other disposition.</w:t>
      </w:r>
    </w:p>
    <w:p>
      <w:pPr>
        <w:spacing w:after="0" w:line="76" w:lineRule="exact"/>
        <w:rPr>
          <w:sz w:val="20"/>
          <w:szCs w:val="20"/>
          <w:color w:val="auto"/>
        </w:rPr>
      </w:pPr>
    </w:p>
    <w:p>
      <w:pPr>
        <w:ind w:left="660" w:right="2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unless otherwise defined by the Administrator for purposes of the Plan or in an Award Agreement or in a written employment, services or other agreement between the Participant and the Company or a Related Company, means a mental or physical impairment of the Participant that is expected to result in death or that has lasted or is expected to last for a continuous period of 12 months or more and that causes the Participant to be unable to perform the Participant’s material duties for the Company or a Related Company and to be engaged in any substantial gainful activity, in each case as determined by the Company’s chief human resources officer or other person performing that function or, in the case of directors and executive officers, the Administrator, each of whose determination will be conclusive and binding.</w:t>
      </w:r>
    </w:p>
    <w:p>
      <w:pPr>
        <w:spacing w:after="0" w:line="73" w:lineRule="exact"/>
        <w:rPr>
          <w:sz w:val="20"/>
          <w:szCs w:val="20"/>
          <w:color w:val="auto"/>
        </w:rPr>
      </w:pPr>
    </w:p>
    <w:p>
      <w:pPr>
        <w:ind w:left="660" w:right="180"/>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Equivalent</w:t>
      </w:r>
      <w:r>
        <w:rPr>
          <w:rFonts w:ascii="Arial" w:cs="Arial" w:eastAsia="Arial" w:hAnsi="Arial"/>
          <w:sz w:val="16"/>
          <w:szCs w:val="16"/>
          <w:color w:val="auto"/>
        </w:rPr>
        <w:t>” means a credit, made at the discretion of the Administrator or as otherwise provided by the Plan, to the account of a Participant in an amount equal to the cash dividends paid on one share of Common Stock for each share represented by an Award held by such Participant. Dividend Equivalents will generally be subject to the same vesting restrictions as the related shares subject to the underlying Award. The Administrator may settle Dividend Equivalents in cash, shares of Common Stock, or a combination thereof.</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the Plan is first approved by the stockholders.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Person</w:t>
      </w:r>
      <w:r>
        <w:rPr>
          <w:rFonts w:ascii="Arial" w:cs="Arial" w:eastAsia="Arial" w:hAnsi="Arial"/>
          <w:sz w:val="16"/>
          <w:szCs w:val="16"/>
          <w:color w:val="auto"/>
        </w:rPr>
        <w:t>” means any person eligible to receive an Award as set forth in Section 5 of the Plan.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from time to time.</w:t>
      </w:r>
    </w:p>
    <w:p>
      <w:pPr>
        <w:spacing w:after="0" w:line="127"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the per share fair market value of the Common Stock as established in good faith by the Administrator. In general, if the Common Stock is listed on an established stock exchange or national market system, the Administrator will use the closing sales price for the Common Stock on any given date during regular trading, or if not trading on that date, such price on the last preceding date on which the Common Stock was traded, unless determined otherwise by the Administrator using such methods or procedures as it may establish. If the Common Stock is not listed on a national stock exchange or national market system, the Administrator will determine Fair Market Value in a manner consistent with Sections 409A and 422 of the Code. However, in determining the value of a share for purposes of tax reporting purposes and such other purposes as determined by the Administrator, the Administrator may calculate Fair Market Value using the foregoing methods, the actual sales price in the transaction at issue (e.g., “</w:t>
      </w:r>
      <w:r>
        <w:rPr>
          <w:rFonts w:ascii="Arial" w:cs="Arial" w:eastAsia="Arial" w:hAnsi="Arial"/>
          <w:sz w:val="16"/>
          <w:szCs w:val="16"/>
          <w:i w:val="1"/>
          <w:iCs w:val="1"/>
          <w:color w:val="auto"/>
        </w:rPr>
        <w:t>sell to cover</w:t>
      </w:r>
      <w:r>
        <w:rPr>
          <w:rFonts w:ascii="Arial" w:cs="Arial" w:eastAsia="Arial" w:hAnsi="Arial"/>
          <w:sz w:val="16"/>
          <w:szCs w:val="16"/>
          <w:color w:val="auto"/>
        </w:rPr>
        <w:t>”), or such other value determined by the Company’s general counsel or principal financial officer in good faith in a manner that complies with applicable tax laws.</w:t>
      </w:r>
    </w:p>
    <w:p>
      <w:pPr>
        <w:spacing w:after="0" w:line="81"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will have the meaning ascribed to such term in any written agreement between the Participant and the Company defining such term as applicable to an Award and, in the absence of such agreement, such term means, with respect to a Participant, the Participant’s resignation from all positions he or she then-holds with the Company following: (i) a reduction in the Participant’s base salary of more than 10% or (ii) the required relocation of Participant’s primary work location to a facility that increases the Participant’s one-way commute by more than 50 miles, in either case, only if (x) Participant provides written notice to the Company’s Chief Executive Officer within 30 days following such event identifying the nature of the event, (y) the Company fails to cure such event within 30 days following receipt of such written notice and (z) Participant’s resignation is effective not later than 30 days thereafter.</w:t>
      </w:r>
    </w:p>
    <w:p>
      <w:pPr>
        <w:spacing w:after="0" w:line="75" w:lineRule="exact"/>
        <w:rPr>
          <w:sz w:val="20"/>
          <w:szCs w:val="20"/>
          <w:color w:val="auto"/>
        </w:rPr>
      </w:pPr>
    </w:p>
    <w:p>
      <w:pPr>
        <w:jc w:val="both"/>
        <w:ind w:left="660" w:right="28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 Date</w:t>
      </w:r>
      <w:r>
        <w:rPr>
          <w:rFonts w:ascii="Arial" w:cs="Arial" w:eastAsia="Arial" w:hAnsi="Arial"/>
          <w:sz w:val="16"/>
          <w:szCs w:val="16"/>
          <w:color w:val="auto"/>
        </w:rPr>
        <w:t>” means the later of (a) the date on which the Administrator completes the corporate action authorizing the grant of an Award or such later date specified by the Administrator and (b) the date on which all conditions precedent to an Award have been satisfied, provided that conditions to the exercisability or vesting of Awards will not defer the Grant Date.</w:t>
      </w:r>
    </w:p>
    <w:p>
      <w:pPr>
        <w:spacing w:after="0" w:line="63"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Incentive Stock Option</w:t>
      </w:r>
      <w:r>
        <w:rPr>
          <w:rFonts w:ascii="Arial" w:cs="Arial" w:eastAsia="Arial" w:hAnsi="Arial"/>
          <w:sz w:val="16"/>
          <w:szCs w:val="16"/>
          <w:color w:val="auto"/>
        </w:rPr>
        <w:t>” or “</w:t>
      </w:r>
      <w:r>
        <w:rPr>
          <w:rFonts w:ascii="Arial" w:cs="Arial" w:eastAsia="Arial" w:hAnsi="Arial"/>
          <w:sz w:val="16"/>
          <w:szCs w:val="16"/>
          <w:b w:val="1"/>
          <w:bCs w:val="1"/>
          <w:color w:val="auto"/>
        </w:rPr>
        <w:t>ISO</w:t>
      </w:r>
      <w:r>
        <w:rPr>
          <w:rFonts w:ascii="Arial" w:cs="Arial" w:eastAsia="Arial" w:hAnsi="Arial"/>
          <w:sz w:val="16"/>
          <w:szCs w:val="16"/>
          <w:color w:val="auto"/>
        </w:rPr>
        <w:t>” means an Option granted with the intention that it qualify as an “incentive stock option” as that term is defined for purposes of Section 422 of the Code or any successor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184785</wp:posOffset>
            </wp:positionV>
            <wp:extent cx="334010" cy="1625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02" w:lineRule="exact"/>
        <w:rPr>
          <w:sz w:val="20"/>
          <w:szCs w:val="20"/>
          <w:color w:val="auto"/>
        </w:rPr>
      </w:pPr>
    </w:p>
    <w:p>
      <w:pPr>
        <w:ind w:left="4540"/>
        <w:spacing w:after="0"/>
        <w:tabs>
          <w:tab w:leader="none" w:pos="8620" w:val="left"/>
        </w:tabs>
        <w:rPr>
          <w:sz w:val="20"/>
          <w:szCs w:val="20"/>
          <w:color w:val="auto"/>
        </w:rPr>
      </w:pPr>
      <w:r>
        <w:rPr>
          <w:rFonts w:ascii="Arial" w:cs="Arial" w:eastAsia="Arial" w:hAnsi="Arial"/>
          <w:sz w:val="14"/>
          <w:szCs w:val="14"/>
          <w:color w:val="auto"/>
        </w:rPr>
        <w:t>»  C-14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right="2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Nonqualified Stock Option</w:t>
      </w:r>
      <w:r>
        <w:rPr>
          <w:rFonts w:ascii="Arial" w:cs="Arial" w:eastAsia="Arial" w:hAnsi="Arial"/>
          <w:sz w:val="16"/>
          <w:szCs w:val="16"/>
          <w:color w:val="auto"/>
        </w:rPr>
        <w:t>,” “</w:t>
      </w:r>
      <w:r>
        <w:rPr>
          <w:rFonts w:ascii="Arial" w:cs="Arial" w:eastAsia="Arial" w:hAnsi="Arial"/>
          <w:sz w:val="16"/>
          <w:szCs w:val="16"/>
          <w:b w:val="1"/>
          <w:bCs w:val="1"/>
          <w:color w:val="auto"/>
        </w:rPr>
        <w:t>Nonstatutory Stock Option</w:t>
      </w:r>
      <w:r>
        <w:rPr>
          <w:rFonts w:ascii="Arial" w:cs="Arial" w:eastAsia="Arial" w:hAnsi="Arial"/>
          <w:sz w:val="16"/>
          <w:szCs w:val="16"/>
          <w:color w:val="auto"/>
        </w:rPr>
        <w:t>,” or “</w:t>
      </w:r>
      <w:r>
        <w:rPr>
          <w:rFonts w:ascii="Arial" w:cs="Arial" w:eastAsia="Arial" w:hAnsi="Arial"/>
          <w:sz w:val="16"/>
          <w:szCs w:val="16"/>
          <w:b w:val="1"/>
          <w:bCs w:val="1"/>
          <w:color w:val="auto"/>
        </w:rPr>
        <w:t>NSO</w:t>
      </w:r>
      <w:r>
        <w:rPr>
          <w:rFonts w:ascii="Arial" w:cs="Arial" w:eastAsia="Arial" w:hAnsi="Arial"/>
          <w:sz w:val="16"/>
          <w:szCs w:val="16"/>
          <w:color w:val="auto"/>
        </w:rPr>
        <w:t>” means an Option that does not qualify as an Incentive Stock Option.</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Non-Employee Director</w:t>
      </w:r>
      <w:r>
        <w:rPr>
          <w:rFonts w:ascii="Arial" w:cs="Arial" w:eastAsia="Arial" w:hAnsi="Arial"/>
          <w:sz w:val="16"/>
          <w:szCs w:val="16"/>
          <w:color w:val="auto"/>
        </w:rPr>
        <w:t>” means a member of the Board who is not an employee of the Company or any Related Company.</w:t>
      </w:r>
    </w:p>
    <w:p>
      <w:pPr>
        <w:spacing w:after="0" w:line="127" w:lineRule="exact"/>
        <w:rPr>
          <w:sz w:val="20"/>
          <w:szCs w:val="20"/>
          <w:color w:val="auto"/>
        </w:rPr>
      </w:pPr>
    </w:p>
    <w:p>
      <w:pPr>
        <w:ind w:left="660" w:right="1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 right to purchase Common Stock granted under Section 7 of the Plan. Options are either Incentive Stock Options or Nonstatutory Stock Options.</w:t>
      </w:r>
    </w:p>
    <w:p>
      <w:pPr>
        <w:spacing w:after="0" w:line="48" w:lineRule="exact"/>
        <w:rPr>
          <w:sz w:val="20"/>
          <w:szCs w:val="20"/>
          <w:color w:val="auto"/>
        </w:rPr>
      </w:pPr>
    </w:p>
    <w:p>
      <w:pPr>
        <w:ind w:left="660" w:right="5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Company</w:t>
      </w:r>
      <w:r>
        <w:rPr>
          <w:rFonts w:ascii="Arial" w:cs="Arial" w:eastAsia="Arial" w:hAnsi="Arial"/>
          <w:sz w:val="16"/>
          <w:szCs w:val="16"/>
          <w:color w:val="auto"/>
        </w:rPr>
        <w:t>” means a company or other entity which as a result of a Company Transaction owns the Company or all or substantially all of the Company’s assets either directly or through one or more subsidiaries.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Person to whom an Award is granted.</w:t>
      </w:r>
    </w:p>
    <w:p>
      <w:pPr>
        <w:spacing w:after="0" w:line="11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Metrics</w:t>
      </w:r>
      <w:r>
        <w:rPr>
          <w:rFonts w:ascii="Arial" w:cs="Arial" w:eastAsia="Arial" w:hAnsi="Arial"/>
          <w:sz w:val="16"/>
          <w:szCs w:val="16"/>
          <w:color w:val="auto"/>
        </w:rPr>
        <w:t>” means any performance objectives selected by the Administrator, which may include measuring achievement in earnings (including earnings per share or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environmental or climate impact; social good impact;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and corporate development and planning goals. Performance Metrics may be measured on an absolute basis or relative to a pre-established target, across or within Performance Periods, and, with respect to financial metrics, in accordance with or with deviations from either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or International Accounting Standards Board (“</w:t>
      </w:r>
      <w:r>
        <w:rPr>
          <w:rFonts w:ascii="Arial" w:cs="Arial" w:eastAsia="Arial" w:hAnsi="Arial"/>
          <w:sz w:val="16"/>
          <w:szCs w:val="16"/>
          <w:b w:val="1"/>
          <w:bCs w:val="1"/>
          <w:color w:val="auto"/>
        </w:rPr>
        <w:t>IASB</w:t>
      </w:r>
      <w:r>
        <w:rPr>
          <w:rFonts w:ascii="Arial" w:cs="Arial" w:eastAsia="Arial" w:hAnsi="Arial"/>
          <w:sz w:val="16"/>
          <w:szCs w:val="16"/>
          <w:color w:val="auto"/>
        </w:rPr>
        <w:t>”) principles.</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2026 Equity Incentive Plan.</w:t>
      </w:r>
    </w:p>
    <w:p>
      <w:pPr>
        <w:spacing w:after="0" w:line="127"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Prior Plans</w:t>
      </w:r>
      <w:r>
        <w:rPr>
          <w:rFonts w:ascii="Arial" w:cs="Arial" w:eastAsia="Arial" w:hAnsi="Arial"/>
          <w:sz w:val="16"/>
          <w:szCs w:val="16"/>
          <w:color w:val="auto"/>
        </w:rPr>
        <w:t>” means the Company’s Amended and Restated 2021 Equity Incentive Plan and the Amended and Restated 2013 Equity Incentive Plan.</w:t>
      </w:r>
    </w:p>
    <w:p>
      <w:pPr>
        <w:spacing w:after="0" w:line="48"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Company</w:t>
      </w:r>
      <w:r>
        <w:rPr>
          <w:rFonts w:ascii="Arial" w:cs="Arial" w:eastAsia="Arial" w:hAnsi="Arial"/>
          <w:sz w:val="16"/>
          <w:szCs w:val="16"/>
          <w:color w:val="auto"/>
        </w:rPr>
        <w:t>” means any “parent” or “subsidiary” of the Company, as such terms are defined under Rule 405 of the Securities Act. The Administrator will determine status as a Related Company.</w:t>
      </w:r>
    </w:p>
    <w:p>
      <w:pPr>
        <w:spacing w:after="0" w:line="48" w:lineRule="exact"/>
        <w:rPr>
          <w:sz w:val="20"/>
          <w:szCs w:val="20"/>
          <w:color w:val="auto"/>
        </w:rPr>
      </w:pPr>
    </w:p>
    <w:p>
      <w:pPr>
        <w:ind w:left="660" w:right="2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an Award of shares of Common Stock, either without payment of a purchase price (a “</w:t>
      </w:r>
      <w:r>
        <w:rPr>
          <w:rFonts w:ascii="Arial" w:cs="Arial" w:eastAsia="Arial" w:hAnsi="Arial"/>
          <w:sz w:val="16"/>
          <w:szCs w:val="16"/>
          <w:b w:val="1"/>
          <w:bCs w:val="1"/>
          <w:color w:val="auto"/>
        </w:rPr>
        <w:t>Restricted Stock</w:t>
      </w:r>
      <w:r>
        <w:rPr>
          <w:rFonts w:ascii="Arial" w:cs="Arial" w:eastAsia="Arial" w:hAnsi="Arial"/>
          <w:sz w:val="16"/>
          <w:szCs w:val="16"/>
          <w:color w:val="auto"/>
        </w:rPr>
        <w:t xml:space="preserve"> </w:t>
      </w:r>
      <w:r>
        <w:rPr>
          <w:rFonts w:ascii="Arial" w:cs="Arial" w:eastAsia="Arial" w:hAnsi="Arial"/>
          <w:sz w:val="16"/>
          <w:szCs w:val="16"/>
          <w:b w:val="1"/>
          <w:bCs w:val="1"/>
          <w:color w:val="auto"/>
        </w:rPr>
        <w:t>Bonus Award</w:t>
      </w:r>
      <w:r>
        <w:rPr>
          <w:rFonts w:ascii="Arial" w:cs="Arial" w:eastAsia="Arial" w:hAnsi="Arial"/>
          <w:sz w:val="16"/>
          <w:szCs w:val="16"/>
          <w:color w:val="auto"/>
        </w:rPr>
        <w:t>”) or with payment of a purchase price (a “</w:t>
      </w:r>
      <w:r>
        <w:rPr>
          <w:rFonts w:ascii="Arial" w:cs="Arial" w:eastAsia="Arial" w:hAnsi="Arial"/>
          <w:sz w:val="16"/>
          <w:szCs w:val="16"/>
          <w:b w:val="1"/>
          <w:bCs w:val="1"/>
          <w:color w:val="auto"/>
        </w:rPr>
        <w:t>Restricted Stock Purchase Award</w:t>
      </w:r>
      <w:r>
        <w:rPr>
          <w:rFonts w:ascii="Arial" w:cs="Arial" w:eastAsia="Arial" w:hAnsi="Arial"/>
          <w:sz w:val="16"/>
          <w:szCs w:val="16"/>
          <w:color w:val="auto"/>
        </w:rPr>
        <w:t>”).</w:t>
      </w:r>
    </w:p>
    <w:p>
      <w:pPr>
        <w:spacing w:after="0" w:line="32" w:lineRule="exact"/>
        <w:rPr>
          <w:sz w:val="20"/>
          <w:szCs w:val="20"/>
          <w:color w:val="auto"/>
        </w:rPr>
      </w:pPr>
    </w:p>
    <w:p>
      <w:pPr>
        <w:jc w:val="both"/>
        <w:ind w:left="660" w:right="16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 Unit</w:t>
      </w:r>
      <w:r>
        <w:rPr>
          <w:rFonts w:ascii="Arial" w:cs="Arial" w:eastAsia="Arial" w:hAnsi="Arial"/>
          <w:sz w:val="16"/>
          <w:szCs w:val="16"/>
          <w:color w:val="auto"/>
        </w:rPr>
        <w:t>” or “</w:t>
      </w:r>
      <w:r>
        <w:rPr>
          <w:rFonts w:ascii="Arial" w:cs="Arial" w:eastAsia="Arial" w:hAnsi="Arial"/>
          <w:sz w:val="16"/>
          <w:szCs w:val="16"/>
          <w:b w:val="1"/>
          <w:bCs w:val="1"/>
          <w:color w:val="auto"/>
        </w:rPr>
        <w:t>RSU</w:t>
      </w:r>
      <w:r>
        <w:rPr>
          <w:rFonts w:ascii="Arial" w:cs="Arial" w:eastAsia="Arial" w:hAnsi="Arial"/>
          <w:sz w:val="16"/>
          <w:szCs w:val="16"/>
          <w:color w:val="auto"/>
        </w:rPr>
        <w:t>” means an Award denominated in units of Common Stock that represents an unfunded, unsecured right to receive the Fair Market Value of one share of Common Stock for each unit subject to the Award in cash, Common Stock or other securities, on the date of vesting or settlement.</w:t>
      </w:r>
    </w:p>
    <w:p>
      <w:pPr>
        <w:spacing w:after="0" w:line="63"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16b-3</w:t>
      </w:r>
      <w:r>
        <w:rPr>
          <w:rFonts w:ascii="Arial" w:cs="Arial" w:eastAsia="Arial" w:hAnsi="Arial"/>
          <w:sz w:val="16"/>
          <w:szCs w:val="16"/>
          <w:color w:val="auto"/>
        </w:rPr>
        <w:t>” means Rule 16b-3 of the Exchange Act or any successor to Rule 16b-3, as in effect when discretion is being exercised with respect to the Plan.</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409A</w:t>
      </w:r>
      <w:r>
        <w:rPr>
          <w:rFonts w:ascii="Arial" w:cs="Arial" w:eastAsia="Arial" w:hAnsi="Arial"/>
          <w:sz w:val="16"/>
          <w:szCs w:val="16"/>
          <w:color w:val="auto"/>
        </w:rPr>
        <w:t>” means Section 409A of the Code.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from time to time.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w:t>
      </w:r>
      <w:r>
        <w:rPr>
          <w:rFonts w:ascii="Arial" w:cs="Arial" w:eastAsia="Arial" w:hAnsi="Arial"/>
          <w:sz w:val="16"/>
          <w:szCs w:val="16"/>
          <w:color w:val="auto"/>
        </w:rPr>
        <w:t>” means there has not been a Termination of Service with respect to a Participant.</w:t>
      </w:r>
    </w:p>
    <w:p>
      <w:pPr>
        <w:spacing w:after="0" w:line="127" w:lineRule="exact"/>
        <w:rPr>
          <w:sz w:val="20"/>
          <w:szCs w:val="20"/>
          <w:color w:val="auto"/>
        </w:rPr>
      </w:pPr>
    </w:p>
    <w:p>
      <w:pPr>
        <w:ind w:left="660" w:right="22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Appreciation Right</w:t>
      </w:r>
      <w:r>
        <w:rPr>
          <w:rFonts w:ascii="Arial" w:cs="Arial" w:eastAsia="Arial" w:hAnsi="Arial"/>
          <w:sz w:val="16"/>
          <w:szCs w:val="16"/>
          <w:color w:val="auto"/>
        </w:rPr>
        <w:t>” or “SAR” means a right to receive, in cash, shares of Common Stock or other securities, (i) the Fair Market Value per share of Common Stock on the date of exercise minus the grant price per share of Common Stock subject to the SAR, multiplied by (ii) the number of shares of Common Stock with respect to which the SAR is exercised.</w:t>
      </w:r>
    </w:p>
    <w:p>
      <w:pPr>
        <w:spacing w:after="0" w:line="63" w:lineRule="exact"/>
        <w:rPr>
          <w:sz w:val="20"/>
          <w:szCs w:val="20"/>
          <w:color w:val="auto"/>
        </w:rPr>
      </w:pPr>
    </w:p>
    <w:p>
      <w:pPr>
        <w:ind w:left="660" w:right="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Substitute Awards</w:t>
      </w:r>
      <w:r>
        <w:rPr>
          <w:rFonts w:ascii="Arial" w:cs="Arial" w:eastAsia="Arial" w:hAnsi="Arial"/>
          <w:sz w:val="16"/>
          <w:szCs w:val="16"/>
          <w:color w:val="auto"/>
        </w:rPr>
        <w:t>” means Awards granted or shares of Common Stock issued by the Company in substitution or exchange for awards previously granted by an Acquired Entity.</w:t>
      </w:r>
    </w:p>
    <w:p>
      <w:pPr>
        <w:spacing w:after="0" w:line="48"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Company”</w:t>
      </w:r>
      <w:r>
        <w:rPr>
          <w:rFonts w:ascii="Arial" w:cs="Arial" w:eastAsia="Arial" w:hAnsi="Arial"/>
          <w:sz w:val="16"/>
          <w:szCs w:val="16"/>
          <w:color w:val="auto"/>
        </w:rPr>
        <w:t xml:space="preserve"> means the surviving company, the successor company or Parent Company, as applicable, in connection with a Company Transaction.</w:t>
      </w:r>
    </w:p>
    <w:p>
      <w:pPr>
        <w:spacing w:after="0" w:line="48" w:lineRule="exact"/>
        <w:rPr>
          <w:sz w:val="20"/>
          <w:szCs w:val="20"/>
          <w:color w:val="auto"/>
        </w:rPr>
      </w:pPr>
    </w:p>
    <w:p>
      <w:pPr>
        <w:ind w:left="660" w:right="300"/>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Termination of Service</w:t>
      </w:r>
      <w:r>
        <w:rPr>
          <w:rFonts w:ascii="Arial" w:cs="Arial" w:eastAsia="Arial" w:hAnsi="Arial"/>
          <w:sz w:val="15"/>
          <w:szCs w:val="15"/>
          <w:color w:val="auto"/>
        </w:rPr>
        <w:t>” unless the Administrator determines otherwise with respect to an Award, means a termination of employment or service relationship with the Company or a Related Company for any reason, whether voluntary or involuntary, including by reason of death or Disability. Any question as to whether and when there has been a Termination of Service for the purposes of an Award and the cause of such Termination of Service will be determined by the Company’s chief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188595</wp:posOffset>
            </wp:positionV>
            <wp:extent cx="334010" cy="1625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308" w:lineRule="exact"/>
        <w:rPr>
          <w:sz w:val="20"/>
          <w:szCs w:val="20"/>
          <w:color w:val="auto"/>
        </w:rPr>
      </w:pPr>
    </w:p>
    <w:p>
      <w:pPr>
        <w:ind w:left="4540"/>
        <w:spacing w:after="0"/>
        <w:tabs>
          <w:tab w:leader="none" w:pos="8620" w:val="left"/>
        </w:tabs>
        <w:rPr>
          <w:sz w:val="20"/>
          <w:szCs w:val="20"/>
          <w:color w:val="auto"/>
        </w:rPr>
      </w:pPr>
      <w:r>
        <w:rPr>
          <w:rFonts w:ascii="Arial" w:cs="Arial" w:eastAsia="Arial" w:hAnsi="Arial"/>
          <w:sz w:val="14"/>
          <w:szCs w:val="14"/>
          <w:color w:val="auto"/>
        </w:rPr>
        <w:t>»  C-15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right="40"/>
        <w:spacing w:after="0" w:line="264" w:lineRule="auto"/>
        <w:rPr>
          <w:sz w:val="20"/>
          <w:szCs w:val="20"/>
          <w:color w:val="auto"/>
        </w:rPr>
      </w:pPr>
      <w:r>
        <w:rPr>
          <w:rFonts w:ascii="Arial" w:cs="Arial" w:eastAsia="Arial" w:hAnsi="Arial"/>
          <w:sz w:val="16"/>
          <w:szCs w:val="16"/>
          <w:color w:val="auto"/>
        </w:rPr>
        <w:t>officer or other person performing that function or, with respect to directors and executive officers, by the Administrator, whose determination will be conclusive and binding. Transfer of a Participant’s employment or service relationship between the Company and any Related Company will not be considered a Termination of Service for purposes of an Award. Unless the Administrator determines otherwise, a Termination of Service will be deemed to occur if the Participant’s employment or service relationship is with an entity that has ceased to be a Related Company. A Participant’s change in status from an employee of the Company or a Related Company to a Non-Employee Director, consultant, advisor or independent contractor of the Company or a Related Company, or a change in status from a Non-Employee Director, consultant, advisor or independent contractor of the Company or a Related Company to an employee of the Company or a Related Company, will not be considered a Termination of Service.</w:t>
      </w:r>
    </w:p>
    <w:p>
      <w:pPr>
        <w:spacing w:after="0" w:line="68" w:lineRule="exact"/>
        <w:rPr>
          <w:sz w:val="20"/>
          <w:szCs w:val="20"/>
          <w:color w:val="auto"/>
        </w:rPr>
      </w:pPr>
    </w:p>
    <w:p>
      <w:pPr>
        <w:ind w:left="660" w:right="14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Transfer</w:t>
      </w:r>
      <w:r>
        <w:rPr>
          <w:rFonts w:ascii="Arial" w:cs="Arial" w:eastAsia="Arial" w:hAnsi="Arial"/>
          <w:sz w:val="15"/>
          <w:szCs w:val="15"/>
          <w:color w:val="auto"/>
        </w:rPr>
        <w:t>” means, as the context may require, (a) any sale, assignment, pledge (as collateral for a loan or as security for the performance of an obligation or for any other purpose), hypothecation, mortgage, encumbrance or other disposition, whether by contract, gift, will, intestate succession, operation of law or otherwise, of all or any part of an Award or shares issued thereunder, as applicable, (b) any transaction designed to give the stockholder essentially the same economic benefit as any of the foregoing,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any verb equivalent of the foregoing.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Vesting Commencement Date</w:t>
      </w:r>
      <w:r>
        <w:rPr>
          <w:rFonts w:ascii="Arial" w:cs="Arial" w:eastAsia="Arial" w:hAnsi="Arial"/>
          <w:sz w:val="16"/>
          <w:szCs w:val="16"/>
          <w:color w:val="auto"/>
        </w:rPr>
        <w:t>” means the date selected by the Administrator as the date from which an Award begins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6081395</wp:posOffset>
            </wp:positionV>
            <wp:extent cx="334010" cy="1625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40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4"/>
          <w:szCs w:val="14"/>
          <w:color w:val="auto"/>
        </w:rPr>
        <w:t>»  C-16  «</w:t>
      </w:r>
      <w:r>
        <w:rPr>
          <w:sz w:val="20"/>
          <w:szCs w:val="20"/>
          <w:color w:val="auto"/>
        </w:rPr>
        <w:tab/>
      </w:r>
      <w:r>
        <w:rPr>
          <w:rFonts w:ascii="Arial" w:cs="Arial" w:eastAsia="Arial" w:hAnsi="Arial"/>
          <w:sz w:val="14"/>
          <w:szCs w:val="14"/>
          <w:color w:val="7F7F7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55245</wp:posOffset>
            </wp:positionV>
            <wp:extent cx="6574790" cy="85128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574790" cy="85128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027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1965" cy="89027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lowerRoman"/>
      <w:start w:val="2"/>
    </w:lvl>
  </w:abstractNum>
  <w:abstractNum w:abstractNumId="24">
    <w:nsid w:val="79A1DEAA"/>
    <w:multiLevelType w:val="hybridMultilevel"/>
    <w:lvl w:ilvl="0">
      <w:lvlJc w:val="left"/>
      <w:lvlText w:val="(%1)"/>
      <w:numFmt w:val="lowerLetter"/>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2"/>
    </w:lvl>
  </w:abstractNum>
  <w:abstractNum w:abstractNumId="28">
    <w:nsid w:val="520EEDD1"/>
    <w:multiLevelType w:val="hybridMultilevel"/>
    <w:lvl w:ilvl="0">
      <w:lvlJc w:val="left"/>
      <w:lvlText w:val="(%1)"/>
      <w:numFmt w:val="decimal"/>
      <w:start w:val="4"/>
    </w:lvl>
  </w:abstractNum>
  <w:abstractNum w:abstractNumId="29">
    <w:nsid w:val="374A3FE6"/>
    <w:multiLevelType w:val="hybridMultilevel"/>
    <w:lvl w:ilvl="0">
      <w:lvlJc w:val="left"/>
      <w:lvlText w:val="(%1)"/>
      <w:numFmt w:val="decimal"/>
      <w:start w:val="5"/>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2"/>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
    <w:nsid w:val="4AD084E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5">
    <w:nsid w:val="1F48EAA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6">
    <w:nsid w:val="1381823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7">
    <w:nsid w:val="5DB70AE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8">
    <w:nsid w:val="100F8FCA"/>
    <w:multiLevelType w:val="hybridMultilevel"/>
    <w:lvl w:ilvl="0">
      <w:lvlJc w:val="left"/>
      <w:lvlText w:val="%1."/>
      <w:numFmt w:val="lowerLetter"/>
      <w:start w:val="5"/>
    </w:lvl>
  </w:abstractNum>
  <w:abstractNum w:abstractNumId="59">
    <w:nsid w:val="6590700B"/>
    <w:multiLevelType w:val="hybridMultilevel"/>
    <w:lvl w:ilvl="0">
      <w:lvlJc w:val="left"/>
      <w:lvlText w:val="%1"/>
      <w:numFmt w:val="decimal"/>
      <w:start w:val="1"/>
    </w:lvl>
    <w:lvl w:ilvl="1">
      <w:lvlJc w:val="left"/>
      <w:lvlText w:val="%2."/>
      <w:numFmt w:val="lowerLetter"/>
      <w:start w:val="7"/>
    </w:lvl>
  </w:abstractNum>
  <w:abstractNum w:abstractNumId="60">
    <w:nsid w:val="15014ACB"/>
    <w:multiLevelType w:val="hybridMultilevel"/>
    <w:lvl w:ilvl="0">
      <w:lvlJc w:val="left"/>
      <w:lvlText w:val="%1."/>
      <w:numFmt w:val="decimal"/>
      <w:start w:val="7"/>
    </w:lvl>
    <w:lvl w:ilvl="1">
      <w:lvlJc w:val="left"/>
      <w:lvlText w:val="%2."/>
      <w:numFmt w:val="lowerLetter"/>
      <w:start w:val="1"/>
    </w:lvl>
  </w:abstractNum>
  <w:abstractNum w:abstractNumId="61">
    <w:nsid w:val="5F5E7FD0"/>
    <w:multiLevelType w:val="hybridMultilevel"/>
    <w:lvl w:ilvl="0">
      <w:lvlJc w:val="left"/>
      <w:lvlText w:val="%1."/>
      <w:numFmt w:val="lowerRoman"/>
      <w:start w:val="1"/>
    </w:lvl>
  </w:abstractNum>
  <w:abstractNum w:abstractNumId="62">
    <w:nsid w:val="98A314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3">
    <w:nsid w:val="799D0247"/>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64">
    <w:nsid w:val="6B9476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5">
    <w:nsid w:val="42C296BD"/>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66">
    <w:nsid w:val="168E121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7">
    <w:nsid w:val="1EBA5D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68">
    <w:nsid w:val="661E3F1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9">
    <w:nsid w:val="5DC79EA8"/>
    <w:multiLevelType w:val="hybridMultilevel"/>
    <w:lvl w:ilvl="0">
      <w:lvlJc w:val="left"/>
      <w:lvlText w:val="%1."/>
      <w:numFmt w:val="lowerLetter"/>
      <w:start w:val="2"/>
    </w:lvl>
    <w:lvl w:ilvl="1">
      <w:lvlJc w:val="left"/>
      <w:lvlText w:val="%2."/>
      <w:numFmt w:val="lowerRoman"/>
      <w:start w:val="1"/>
    </w:lvl>
  </w:abstractNum>
  <w:abstractNum w:abstractNumId="70">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1">
    <w:nsid w:val="7BD3EE7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2">
    <w:nsid w:val="51D9C56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73">
    <w:nsid w:val="613EFDC5"/>
    <w:multiLevelType w:val="hybridMultilevel"/>
    <w:lvl w:ilvl="0">
      <w:lvlJc w:val="left"/>
      <w:lvlText w:val="%1."/>
      <w:numFmt w:val="decimal"/>
      <w:start w:val="15"/>
    </w:lvl>
    <w:lvl w:ilvl="1">
      <w:lvlJc w:val="left"/>
      <w:lvlText w:val="%2."/>
      <w:numFmt w:val="lowerLetter"/>
      <w:start w:val="1"/>
    </w:lvl>
  </w:abstractNum>
  <w:abstractNum w:abstractNumId="74">
    <w:nsid w:val="BF72B14"/>
    <w:multiLevelType w:val="hybridMultilevel"/>
    <w:lvl w:ilvl="0">
      <w:lvlJc w:val="left"/>
      <w:lvlText w:val="%1."/>
      <w:numFmt w:val="decimal"/>
      <w:start w:val="23"/>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lowerRoman"/>
      <w:start w:val="2"/>
    </w:lvl>
  </w:abstractNum>
  <w:abstractNum w:abstractNumId="77">
    <w:nsid w:val="A0382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2026-04-24T15:46:31Z</dcterms:created>
  <dcterms:modified xsi:type="dcterms:W3CDTF">2026-04-24T15:46:31Z</dcterms:modified>
</cp:coreProperties>
</file>