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3980" w:right="1680" w:hanging="3972"/>
        <w:spacing w:after="0" w:line="490" w:lineRule="auto"/>
        <w:tabs>
          <w:tab w:leader="none" w:pos="59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20" w:right="239" w:bottom="1440" w:gutter="0" w:footer="0" w:header="0"/>
        </w:sectPr>
      </w:pP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220"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13115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80" w:hanging="428"/>
        <w:spacing w:after="0"/>
        <w:tabs>
          <w:tab w:leader="none" w:pos="5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11" w:lineRule="exact"/>
        <w:rPr>
          <w:sz w:val="24"/>
          <w:szCs w:val="24"/>
          <w:color w:val="auto"/>
        </w:rPr>
      </w:pPr>
    </w:p>
    <w:p>
      <w:pPr>
        <w:jc w:val="both"/>
        <w:ind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1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2280" w:space="720"/>
            <w:col w:w="4180" w:space="720"/>
            <w:col w:w="2240" w:space="720"/>
            <w:col w:w="560"/>
          </w:cols>
          <w:pgMar w:left="240" w:top="22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2280" w:space="720"/>
            <w:col w:w="4180" w:space="720"/>
            <w:col w:w="2240" w:space="720"/>
            <w:col w:w="560"/>
          </w:cols>
          <w:pgMar w:left="240" w:top="220" w:right="239" w:bottom="1440" w:gutter="0" w:footer="0" w:header="0"/>
          <w:type w:val="continuous"/>
        </w:sectPr>
      </w:pPr>
    </w:p>
    <w:p>
      <w:pPr>
        <w:spacing w:after="0" w:line="16" w:lineRule="exact"/>
        <w:rPr>
          <w:sz w:val="24"/>
          <w:szCs w:val="24"/>
          <w:color w:val="auto"/>
        </w:rPr>
      </w:pPr>
    </w:p>
    <w:p>
      <w:pPr>
        <w:ind w:left="4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41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August 3, 2015 there were 15,122,710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Part I. Financial Information</w:t>
            </w: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Condensed Consolidated Financial Statements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Condensed Consolidated Balance Sheets as of June 30, 2015 (Unaudited) and December 31, 2014</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Condensed Consolidated Statements of Operations for the Three and Six Months ended June 30, 2015 and 2014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10120" w:type="dxa"/>
            <w:vAlign w:val="bottom"/>
            <w:gridSpan w:val="3"/>
            <w:shd w:val="clear" w:color="auto" w:fill="EEEEEE"/>
          </w:tcPr>
          <w:p>
            <w:pPr>
              <w:ind w:left="80"/>
              <w:spacing w:after="0" w:line="201" w:lineRule="exact"/>
              <w:rPr>
                <w:sz w:val="20"/>
                <w:szCs w:val="20"/>
                <w:color w:val="auto"/>
              </w:rPr>
            </w:pPr>
            <w:r>
              <w:rPr>
                <w:rFonts w:ascii="Arial" w:cs="Arial" w:eastAsia="Arial" w:hAnsi="Arial"/>
                <w:sz w:val="18"/>
                <w:szCs w:val="18"/>
                <w:color w:val="auto"/>
                <w:w w:val="94"/>
              </w:rPr>
              <w:t>Condensed Consolidated Statements of Comprehensive Income (Loss) for the Three and Six Months Ended June 30, 2015 and 2014</w:t>
            </w:r>
          </w:p>
        </w:tc>
        <w:tc>
          <w:tcPr>
            <w:tcW w:w="5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(Unaudited)</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Condensed Consolidated Statements of Stockholders’ Equity (Deficit) for the Six Months Ended June 30, 2015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Condensed Consolidated Statements of Cash Flows for the Six Months ended June 30, 2015 and 2014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Notes To Condensed Consolidated Financial Statements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Part II. Other Information</w:t>
            </w: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6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Item 1A.</w:t>
            </w: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Defaults Upon Senior Securities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Mine Safety Disclosures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Item 5.</w:t>
            </w: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12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Signatures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3"/>
          </w:tcPr>
          <w:p>
            <w:pPr>
              <w:ind w:left="492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5"/>
              </w:rPr>
              <w:t>June 30, 2015</w:t>
            </w:r>
          </w:p>
        </w:tc>
        <w:tc>
          <w:tcPr>
            <w:tcW w:w="20" w:type="dxa"/>
            <w:vAlign w:val="bottom"/>
          </w:tcPr>
          <w:p>
            <w:pPr>
              <w:spacing w:after="0"/>
              <w:rPr>
                <w:sz w:val="20"/>
                <w:szCs w:val="20"/>
                <w:color w:val="auto"/>
              </w:rPr>
            </w:pPr>
          </w:p>
        </w:tc>
        <w:tc>
          <w:tcPr>
            <w:tcW w:w="16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0"/>
              </w:rPr>
              <w:t>December 31, 2014</w:t>
            </w:r>
          </w:p>
        </w:tc>
      </w:tr>
      <w:tr>
        <w:trPr>
          <w:trHeight w:val="210"/>
        </w:trPr>
        <w:tc>
          <w:tcPr>
            <w:tcW w:w="7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(Unaudited)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28,412</w:t>
            </w:r>
          </w:p>
        </w:tc>
        <w:tc>
          <w:tcPr>
            <w:tcW w:w="540" w:type="dxa"/>
            <w:vAlign w:val="bottom"/>
            <w:gridSpan w:val="2"/>
            <w:shd w:val="clear" w:color="auto" w:fill="EEEEEE"/>
          </w:tcPr>
          <w:p>
            <w:pPr>
              <w:jc w:val="right"/>
              <w:ind w:right="39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32,175</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2,495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8,324</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8,189</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Accounts receivable - trade, net</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32,907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31,589</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52,451</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33,780</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8,031</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6,017</w:t>
            </w:r>
          </w:p>
        </w:tc>
        <w:tc>
          <w:tcPr>
            <w:tcW w:w="80" w:type="dxa"/>
            <w:vAlign w:val="bottom"/>
            <w:shd w:val="clear" w:color="auto" w:fill="EEEEEE"/>
          </w:tcPr>
          <w:p>
            <w:pPr>
              <w:spacing w:after="0"/>
              <w:rPr>
                <w:sz w:val="19"/>
                <w:szCs w:val="19"/>
                <w:color w:val="auto"/>
              </w:rPr>
            </w:pPr>
          </w:p>
        </w:tc>
      </w:tr>
      <w:tr>
        <w:trPr>
          <w:trHeight w:val="210"/>
        </w:trPr>
        <w:tc>
          <w:tcPr>
            <w:tcW w:w="77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132,620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restricted for construction in progress</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5,089</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78,979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64,808</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Land use rights, net</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919</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3,837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3,833</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assets, net</w:t>
            </w:r>
          </w:p>
        </w:tc>
        <w:tc>
          <w:tcPr>
            <w:tcW w:w="18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1,303</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860</w:t>
            </w:r>
          </w:p>
        </w:tc>
        <w:tc>
          <w:tcPr>
            <w:tcW w:w="80" w:type="dxa"/>
            <w:vAlign w:val="bottom"/>
            <w:shd w:val="clear" w:color="auto" w:fill="EEEEEE"/>
          </w:tcPr>
          <w:p>
            <w:pPr>
              <w:spacing w:after="0"/>
              <w:rPr>
                <w:sz w:val="19"/>
                <w:szCs w:val="19"/>
                <w:color w:val="auto"/>
              </w:rPr>
            </w:pPr>
          </w:p>
        </w:tc>
      </w:tr>
      <w:tr>
        <w:trPr>
          <w:trHeight w:val="263"/>
        </w:trPr>
        <w:tc>
          <w:tcPr>
            <w:tcW w:w="778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222,747</w:t>
            </w:r>
          </w:p>
        </w:tc>
        <w:tc>
          <w:tcPr>
            <w:tcW w:w="36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183,670</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778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30,990</w:t>
            </w:r>
          </w:p>
        </w:tc>
        <w:tc>
          <w:tcPr>
            <w:tcW w:w="540" w:type="dxa"/>
            <w:vAlign w:val="bottom"/>
            <w:gridSpan w:val="2"/>
            <w:shd w:val="clear" w:color="auto" w:fill="EEEEEE"/>
          </w:tcPr>
          <w:p>
            <w:pPr>
              <w:jc w:val="right"/>
              <w:ind w:right="39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9,591</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29,755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30,799</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Bank acceptance payable</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2,660</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7,348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6,940</w:t>
            </w:r>
          </w:p>
        </w:tc>
        <w:tc>
          <w:tcPr>
            <w:tcW w:w="8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70,753</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48,601</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29,596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19,057</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long term liabilities</w:t>
            </w:r>
          </w:p>
        </w:tc>
        <w:tc>
          <w:tcPr>
            <w:tcW w:w="18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EEEEEE"/>
          </w:tcPr>
          <w:p>
            <w:pPr>
              <w:spacing w:after="0"/>
              <w:rPr>
                <w:sz w:val="19"/>
                <w:szCs w:val="19"/>
                <w:color w:val="auto"/>
              </w:rPr>
            </w:pPr>
          </w:p>
        </w:tc>
      </w:tr>
      <w:tr>
        <w:trPr>
          <w:trHeight w:val="210"/>
        </w:trPr>
        <w:tc>
          <w:tcPr>
            <w:tcW w:w="778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100,849</w:t>
            </w:r>
          </w:p>
        </w:tc>
        <w:tc>
          <w:tcPr>
            <w:tcW w:w="3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68,658</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 (deficit):</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02"/>
        </w:trPr>
        <w:tc>
          <w:tcPr>
            <w:tcW w:w="7780" w:type="dxa"/>
            <w:vAlign w:val="bottom"/>
          </w:tcPr>
          <w:p>
            <w:pPr>
              <w:ind w:left="360"/>
              <w:spacing w:after="0" w:line="201" w:lineRule="exact"/>
              <w:rPr>
                <w:sz w:val="20"/>
                <w:szCs w:val="20"/>
                <w:color w:val="auto"/>
              </w:rPr>
            </w:pPr>
            <w:r>
              <w:rPr>
                <w:rFonts w:ascii="Arial" w:cs="Arial" w:eastAsia="Arial" w:hAnsi="Arial"/>
                <w:sz w:val="18"/>
                <w:szCs w:val="18"/>
                <w:color w:val="auto"/>
                <w:w w:val="94"/>
              </w:rPr>
              <w:t>Preferred Stock: 5,000 shares authorized; no shares issued and outstanding at June 30, 2015 and</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780" w:type="dxa"/>
            <w:vAlign w:val="bottom"/>
          </w:tcPr>
          <w:p>
            <w:pPr>
              <w:ind w:left="540"/>
              <w:spacing w:after="0"/>
              <w:rPr>
                <w:sz w:val="20"/>
                <w:szCs w:val="20"/>
                <w:color w:val="auto"/>
              </w:rPr>
            </w:pPr>
            <w:r>
              <w:rPr>
                <w:rFonts w:ascii="Arial" w:cs="Arial" w:eastAsia="Arial" w:hAnsi="Arial"/>
                <w:sz w:val="18"/>
                <w:szCs w:val="18"/>
                <w:color w:val="auto"/>
              </w:rPr>
              <w:t>December 31, 2014, $0.001 par value</w:t>
            </w:r>
          </w:p>
        </w:tc>
        <w:tc>
          <w:tcPr>
            <w:tcW w:w="180" w:type="dxa"/>
            <w:vAlign w:val="bottom"/>
          </w:tcPr>
          <w:p>
            <w:pPr>
              <w:spacing w:after="0"/>
              <w:rPr>
                <w:sz w:val="20"/>
                <w:szCs w:val="20"/>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780" w:type="dxa"/>
            <w:vAlign w:val="bottom"/>
            <w:shd w:val="clear" w:color="auto" w:fill="EEEEEE"/>
          </w:tcPr>
          <w:p>
            <w:pPr>
              <w:ind w:left="360"/>
              <w:spacing w:after="0" w:line="201" w:lineRule="exact"/>
              <w:rPr>
                <w:sz w:val="20"/>
                <w:szCs w:val="20"/>
                <w:color w:val="auto"/>
              </w:rPr>
            </w:pPr>
            <w:r>
              <w:rPr>
                <w:rFonts w:ascii="Arial" w:cs="Arial" w:eastAsia="Arial" w:hAnsi="Arial"/>
                <w:sz w:val="18"/>
                <w:szCs w:val="18"/>
                <w:color w:val="auto"/>
                <w:w w:val="93"/>
              </w:rPr>
              <w:t>Common Stock: 45,000 shares authorized; 14,949 shares issued and outstanding at June 30, 2015,</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7780" w:type="dxa"/>
            <w:vAlign w:val="bottom"/>
            <w:shd w:val="clear" w:color="auto" w:fill="EEEEEE"/>
          </w:tcPr>
          <w:p>
            <w:pPr>
              <w:ind w:left="540"/>
              <w:spacing w:after="0"/>
              <w:rPr>
                <w:sz w:val="20"/>
                <w:szCs w:val="20"/>
                <w:color w:val="auto"/>
              </w:rPr>
            </w:pPr>
            <w:r>
              <w:rPr>
                <w:rFonts w:ascii="Arial" w:cs="Arial" w:eastAsia="Arial" w:hAnsi="Arial"/>
                <w:sz w:val="18"/>
                <w:szCs w:val="18"/>
                <w:color w:val="auto"/>
                <w:w w:val="93"/>
              </w:rPr>
              <w:t>$0.001 par value; 14,824 shares issued and outstanding at December 31, 2014, $0.001 par value</w:t>
            </w:r>
          </w:p>
        </w:tc>
        <w:tc>
          <w:tcPr>
            <w:tcW w:w="180" w:type="dxa"/>
            <w:vAlign w:val="bottom"/>
            <w:shd w:val="clear" w:color="auto" w:fill="EEEEEE"/>
          </w:tcPr>
          <w:p>
            <w:pPr>
              <w:spacing w:after="0"/>
              <w:rPr>
                <w:sz w:val="20"/>
                <w:szCs w:val="20"/>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EEEEEE"/>
          </w:tcPr>
          <w:p>
            <w:pPr>
              <w:spacing w:after="0"/>
              <w:rPr>
                <w:sz w:val="20"/>
                <w:szCs w:val="20"/>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193,488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192,112</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Accumulated other comprehensive gain</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1,925</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(73,626)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(79,040)</w:t>
            </w:r>
          </w:p>
        </w:tc>
      </w:tr>
      <w:tr>
        <w:trPr>
          <w:trHeight w:val="210"/>
        </w:trPr>
        <w:tc>
          <w:tcPr>
            <w:tcW w:w="778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121,898</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115,012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7780" w:type="dxa"/>
            <w:vAlign w:val="bottom"/>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222,747</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w w:val="99"/>
              </w:rPr>
              <w:t>Three months ended June 30,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EEEEEE"/>
            </w:tcBorders>
          </w:tcPr>
          <w:p>
            <w:pPr>
              <w:spacing w:after="0"/>
              <w:rPr>
                <w:sz w:val="19"/>
                <w:szCs w:val="19"/>
                <w:color w:val="auto"/>
              </w:rPr>
            </w:pPr>
          </w:p>
        </w:tc>
        <w:tc>
          <w:tcPr>
            <w:tcW w:w="14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bottom w:val="single" w:sz="8" w:color="EEEEEE"/>
            </w:tcBorders>
          </w:tcPr>
          <w:p>
            <w:pPr>
              <w:spacing w:after="0"/>
              <w:rPr>
                <w:sz w:val="19"/>
                <w:szCs w:val="19"/>
                <w:color w:val="auto"/>
              </w:rPr>
            </w:pPr>
          </w:p>
        </w:tc>
        <w:tc>
          <w:tcPr>
            <w:tcW w:w="14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Revenue, net</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49,632</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32,650</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79,866</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57,509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32,901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21,462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53,084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37,668</w:t>
            </w:r>
          </w:p>
        </w:tc>
        <w:tc>
          <w:tcPr>
            <w:tcW w:w="0" w:type="dxa"/>
            <w:vAlign w:val="bottom"/>
          </w:tcPr>
          <w:p>
            <w:pPr>
              <w:spacing w:after="0"/>
              <w:rPr>
                <w:sz w:val="1"/>
                <w:szCs w:val="1"/>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16,731</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11,188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26,782</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19,841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4,701</w:t>
            </w: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4,009</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9,506</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7,555</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1,497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3,166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4,534</w:t>
            </w:r>
          </w:p>
        </w:tc>
        <w:tc>
          <w:tcPr>
            <w:tcW w:w="1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3,952</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9,537</w:t>
            </w: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7,506</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10,842</w:t>
            </w: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9,458</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22,209</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5,889</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1,730</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4,573</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1,247</w:t>
            </w: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other income</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6,224</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5,549</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6,089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1,919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5,414</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0.41</w:t>
            </w:r>
          </w:p>
        </w:tc>
        <w:tc>
          <w:tcPr>
            <w:tcW w:w="50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0.13</w:t>
            </w:r>
          </w:p>
        </w:tc>
        <w:tc>
          <w:tcPr>
            <w:tcW w:w="50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0.36</w:t>
            </w:r>
          </w:p>
        </w:tc>
        <w:tc>
          <w:tcPr>
            <w:tcW w:w="48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0.34</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used to</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compute net income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14,936,442</w:t>
            </w: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14,785,437</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14,890,581</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13,794,384</w:t>
            </w: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15,871,745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15,641,694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16,015,158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14,620,570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COMPREHENSIVE INCOME (Unaudited,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6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w w:val="99"/>
              </w:rPr>
              <w:t>Three months ended June 30,</w:t>
            </w:r>
          </w:p>
        </w:tc>
        <w:tc>
          <w:tcPr>
            <w:tcW w:w="340" w:type="dxa"/>
            <w:vAlign w:val="bottom"/>
          </w:tcPr>
          <w:p>
            <w:pPr>
              <w:spacing w:after="0"/>
              <w:rPr>
                <w:sz w:val="20"/>
                <w:szCs w:val="20"/>
                <w:color w:val="auto"/>
              </w:rPr>
            </w:pPr>
          </w:p>
        </w:tc>
        <w:tc>
          <w:tcPr>
            <w:tcW w:w="32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900" w:type="dxa"/>
            <w:vAlign w:val="bottom"/>
            <w:tcBorders>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19"/>
                <w:szCs w:val="19"/>
                <w:color w:val="auto"/>
              </w:rPr>
            </w:pPr>
          </w:p>
        </w:tc>
      </w:tr>
      <w:tr>
        <w:trPr>
          <w:trHeight w:val="21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6,089</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1,919</w:t>
            </w: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5,414</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EEEEEE"/>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w w:val="96"/>
              </w:rPr>
              <w:t>Foreign currency translation adjustment, net of tax</w:t>
            </w:r>
          </w:p>
        </w:tc>
        <w:tc>
          <w:tcPr>
            <w:tcW w:w="36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6,208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2,058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5,510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Number of</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paid-in</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comprehensive</w:t>
            </w:r>
          </w:p>
        </w:tc>
        <w:tc>
          <w:tcPr>
            <w:tcW w:w="1340" w:type="dxa"/>
            <w:vAlign w:val="bottom"/>
            <w:gridSpan w:val="4"/>
          </w:tcPr>
          <w:p>
            <w:pPr>
              <w:ind w:left="120"/>
              <w:spacing w:after="0"/>
              <w:rPr>
                <w:sz w:val="20"/>
                <w:szCs w:val="20"/>
                <w:color w:val="auto"/>
              </w:rPr>
            </w:pPr>
            <w:r>
              <w:rPr>
                <w:rFonts w:ascii="Arial" w:cs="Arial" w:eastAsia="Arial" w:hAnsi="Arial"/>
                <w:sz w:val="18"/>
                <w:szCs w:val="18"/>
                <w:b w:val="1"/>
                <w:bCs w:val="1"/>
                <w:color w:val="auto"/>
              </w:rPr>
              <w:t>Accumulated</w:t>
            </w:r>
          </w:p>
        </w:tc>
        <w:tc>
          <w:tcPr>
            <w:tcW w:w="1120" w:type="dxa"/>
            <w:vAlign w:val="bottom"/>
            <w:gridSpan w:val="5"/>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capital</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gain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0"/>
        </w:trPr>
        <w:tc>
          <w:tcPr>
            <w:tcW w:w="4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December 31, 2014</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14,824</w:t>
            </w:r>
          </w:p>
        </w:tc>
        <w:tc>
          <w:tcPr>
            <w:tcW w:w="220" w:type="dxa"/>
            <w:vAlign w:val="bottom"/>
            <w:tcBorders>
              <w:top w:val="single" w:sz="8" w:color="EEEEEE"/>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ind w:right="6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15</w:t>
            </w:r>
          </w:p>
        </w:tc>
        <w:tc>
          <w:tcPr>
            <w:tcW w:w="2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192,112</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(79,040)</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115,012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Issuance of shares under equity plans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8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1,049</w:t>
            </w: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1,049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5,414</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 adjustment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spacing w:after="0"/>
              <w:rPr>
                <w:sz w:val="19"/>
                <w:szCs w:val="19"/>
                <w:color w:val="auto"/>
              </w:rPr>
            </w:pPr>
          </w:p>
        </w:tc>
        <w:tc>
          <w:tcPr>
            <w:tcW w:w="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June 30, 2015</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14,949</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193,488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(73,626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94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Operating activities:</w:t>
            </w: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861"/>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5,414</w:t>
            </w:r>
          </w:p>
        </w:tc>
        <w:tc>
          <w:tcPr>
            <w:tcW w:w="122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Provision for obsolete inventory</w:t>
            </w: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1,251</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4,313</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Loss (gain) on disposal of assets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Share-based compensation and warrant expense</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1,049</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(1,234)</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Notes receivable</w:t>
            </w: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Inventory</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2"/>
              </w:rPr>
              <w:t>(19,683)</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5"/>
              </w:rPr>
              <w:t>(12,360)</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(1,908)</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(1,118)</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9,337</w:t>
            </w:r>
          </w:p>
        </w:tc>
        <w:tc>
          <w:tcPr>
            <w:tcW w:w="0" w:type="dxa"/>
            <w:vAlign w:val="bottom"/>
          </w:tcPr>
          <w:p>
            <w:pPr>
              <w:spacing w:after="0"/>
              <w:rPr>
                <w:sz w:val="1"/>
                <w:szCs w:val="1"/>
                <w:color w:val="auto"/>
              </w:rPr>
            </w:pPr>
          </w:p>
        </w:tc>
      </w:tr>
      <w:tr>
        <w:trPr>
          <w:trHeight w:val="230"/>
        </w:trPr>
        <w:tc>
          <w:tcPr>
            <w:tcW w:w="778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provided by (used in) operating activities</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(10,586</w:t>
            </w:r>
          </w:p>
        </w:tc>
        <w:tc>
          <w:tcPr>
            <w:tcW w:w="12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Investing activities: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short-term investments</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Change in restricted cash for construction in progress</w:t>
            </w: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(5,089)</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2"/>
              </w:rPr>
              <w:t>(17,379)</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5"/>
              </w:rPr>
              <w:t>(13,101)</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Proceeds from disposal of equipment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Deposits and deferred charges</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(23,170</w:t>
            </w:r>
          </w:p>
        </w:tc>
        <w:tc>
          <w:tcPr>
            <w:tcW w:w="12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(17,108</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Financing activities: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8,357</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Principal payments of long-term debt</w:t>
            </w: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(870)</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line of credit borrowings</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72,006</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Repayments of line of credit borrowings</w:t>
            </w: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(47,855)</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(22,304)</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bank acceptance payable</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3,405</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Repayments of bank acceptance payable</w:t>
            </w: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Repayments of notes payable</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Increase in restricted cash</w:t>
            </w: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(1,975)</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 of stock options</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Arial" w:cs="Arial" w:eastAsia="Arial" w:hAnsi="Arial"/>
                <w:sz w:val="18"/>
                <w:szCs w:val="18"/>
                <w:color w:val="auto"/>
              </w:rPr>
              <w:t>Proceeds from common stock offering, net</w:t>
            </w: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45,630</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30,879</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29,021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EEEEEE"/>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(3,763)</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12,073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32,175</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22,006</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top w:val="single" w:sz="8" w:color="auto"/>
              <w:bottom w:val="single" w:sz="8" w:color="auto"/>
            </w:tcBorders>
            <w:shd w:val="clear" w:color="auto" w:fill="EEEEEE"/>
          </w:tcPr>
          <w:p>
            <w:pPr>
              <w:jc w:val="right"/>
              <w:ind w:right="86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28,412</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34,079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paid for:</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Interest</w:t>
            </w:r>
          </w:p>
        </w:tc>
        <w:tc>
          <w:tcPr>
            <w:tcW w:w="1020" w:type="dxa"/>
            <w:vAlign w:val="bottom"/>
          </w:tcPr>
          <w:p>
            <w:pPr>
              <w:jc w:val="right"/>
              <w:ind w:right="861"/>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c>
          <w:tcPr>
            <w:tcW w:w="122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1020" w:type="dxa"/>
            <w:vAlign w:val="bottom"/>
            <w:shd w:val="clear" w:color="auto" w:fill="EEEEEE"/>
          </w:tcPr>
          <w:p>
            <w:pPr>
              <w:jc w:val="right"/>
              <w:ind w:right="86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117</w:t>
            </w:r>
          </w:p>
        </w:tc>
        <w:tc>
          <w:tcPr>
            <w:tcW w:w="1220" w:type="dxa"/>
            <w:vAlign w:val="bottom"/>
            <w:gridSpan w:val="2"/>
            <w:shd w:val="clear" w:color="auto" w:fill="EEEEEE"/>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Non-cash investing and financing activities: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Purchase of intangible assets with notes payable</w:t>
            </w:r>
          </w:p>
        </w:tc>
        <w:tc>
          <w:tcPr>
            <w:tcW w:w="1020" w:type="dxa"/>
            <w:vAlign w:val="bottom"/>
            <w:shd w:val="clear" w:color="auto" w:fill="EEEEEE"/>
          </w:tcPr>
          <w:p>
            <w:pPr>
              <w:jc w:val="right"/>
              <w:ind w:right="86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ind w:left="260" w:right="2740"/>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Applied Optoelectronics, Inc., or AOI, was originally incorporated in Texas in February of 1997 and then converted to a Delaware corporation in March of 2013. AOI together with its wholly-owned subsidiaries are collectively referred to as the Company. The Company is a leading, vertically integrated provider of fiber-optic networking products, primarily for three networking end-markets: internet data centers, cable television, and fiber-to-the-home. The Company designs and manufactures a wide range of optical communications products at varying levels of integration, from components, subassemblies and modules to complete turn-key equipment.</w:t>
      </w:r>
    </w:p>
    <w:p>
      <w:pPr>
        <w:spacing w:after="0" w:line="18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 Company has manufacturing and research and development facilities in all three of its locations, located in the U.S., Taiwan and China. At its corporate headquarters and manufacturing facilities in Sugar Land, Texas, the Company primarily manufactures lasers and laser components and performs research and development activities for laser component products. The Company operates a division in Taipei, Taiwan that primarily manufactures transceivers for both the data center and fiber-to-the-home (“FTTH”) markets and performs research and development activities for the transceiver products. The Company operates in Ningbo, China through its wholly-owned subsidiary Prime World International Holdings, Ltd. (incorporated in the British Virgin Islands). Prime World International Holdings, Ltd., is the sole parent of Global Technology, Inc. (incorporated in the People’s Republic of China). Through Global Technology Inc, the Company primarily manufactures Cable TV Broadband (“CATV”) systems and equipment and performs research and development activities for the CATV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condensed consolidated financial statements of the Company, as of June 30, 2015 and December 31, 2014 and for the three and six months ended June 30, 2015 and June 30, 2014, have been prepared in accordance with the instructions on Form 10-Q pursuant to the rules and regulations of the Securities and Exchange Commission (“SEC”). In accordance with those rules and regulations, the Company has omitted certain information and notes normally provided in the Company’s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but does not include all disclosures required by U.S. generally accepted accounting principles (“GAAP”). These condensed consolidated financial statements should be read in conjunction with the Consolidated Financial Statements and Notes thereto included in the Company’s Annual Report on Form 10-K (“Annual Report”) for the fiscal year ended December 31, 2014. The results of operations for the three and six months ended June 30, 2015 are not necessarily indicative of the results expected for the entire fiscal year. All significant intercompany accounts and transactions have been eliminated.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valuation allowances for deferred tax assets, inventory reserve, share-based compensation expense, estimated useful lives of property and equipment, and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and six months ended June 30, 2015, as compared to the significant accounting policies described in its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(“ASU 2014-09”). The standard provides companies with a single model for use in accounting for revenue arising from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with customers and supersedes current revenue recognition guidance, including industry-specific revenue guidance. The core principle of the model is to recognize revenue when control of the goods or services transfers to the customer, as opposed to recognizing revenue when the risks and rewards transfer to the customer under the existing revenue guidance. ASU 2014-09 is effective for annual reporting periods beginning after December 15, 2016. In April 2015, the FASB deferred this standard’s effective date by one year. The deferral allows early adoption at the original effective date. Entities have the option of either a full retrospective or a modified retrospective approach to adopt this new guidance. The Company is in the process of evaluating the impact of adoption on its consolidated financial statements.</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July 2015, the FASB issued ASU No. 2015-11, Inventory ("ASU 2015-11"). The amendments in ASU 2015-11 clarify the subsequent measurement of inventory requiring an entity to subsequently measure inventory at the lower of cost and net realizable value. Net realizable value is the estimated selling price in the ordinary course of business, less reasonably predictable costs of completion, disposal, and transportation. This ASU applies only to inventory that is measured using the first-in, first-out (FIFO) or average cost method. Subsequent measurement is unchanged for inventory measured using last-in, first-out (LIFO) or the retail inventory method. The amendments in ASU 2015-11 should be applied prospectively and are effective for financial statements issued for fiscal years beginning after December 15, 2016, and interim periods within those fiscal years, with early adoption permitted. The company is currently assessing the impact that this standard will have on its consolidated financial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491"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Fair Value of Financial Instruments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for the periods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As of June 30, 2015</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8"/>
          </w:tcPr>
          <w:p>
            <w:pPr>
              <w:ind w:left="80"/>
              <w:spacing w:after="0"/>
              <w:rPr>
                <w:sz w:val="20"/>
                <w:szCs w:val="20"/>
                <w:color w:val="auto"/>
              </w:rPr>
            </w:pPr>
            <w:r>
              <w:rPr>
                <w:rFonts w:ascii="Arial" w:cs="Arial" w:eastAsia="Arial" w:hAnsi="Arial"/>
                <w:sz w:val="18"/>
                <w:szCs w:val="18"/>
                <w:b w:val="1"/>
                <w:bCs w:val="1"/>
                <w:color w:val="auto"/>
                <w:w w:val="95"/>
              </w:rPr>
              <w:t>As of December 31, 2014</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(Level 1)</w:t>
            </w: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(Level 2)</w:t>
            </w:r>
          </w:p>
        </w:tc>
        <w:tc>
          <w:tcPr>
            <w:tcW w:w="106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68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66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66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6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28,412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1"/>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28,412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32,175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2,495</w:t>
            </w:r>
          </w:p>
        </w:tc>
        <w:tc>
          <w:tcPr>
            <w:tcW w:w="14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spacing w:after="0"/>
              <w:rPr>
                <w:sz w:val="19"/>
                <w:szCs w:val="19"/>
                <w:color w:val="auto"/>
              </w:rPr>
            </w:pPr>
          </w:p>
        </w:tc>
        <w:tc>
          <w:tcPr>
            <w:tcW w:w="40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0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Short term investments</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8,324</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8,324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8,189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Notes receivable</w:t>
            </w:r>
          </w:p>
        </w:tc>
        <w:tc>
          <w:tcPr>
            <w:tcW w:w="20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spacing w:after="0"/>
              <w:rPr>
                <w:sz w:val="19"/>
                <w:szCs w:val="19"/>
                <w:color w:val="auto"/>
              </w:rPr>
            </w:pPr>
          </w:p>
        </w:tc>
        <w:tc>
          <w:tcPr>
            <w:tcW w:w="40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0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980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200"/>
              <w:spacing w:after="0" w:line="201" w:lineRule="exact"/>
              <w:rPr>
                <w:sz w:val="20"/>
                <w:szCs w:val="20"/>
                <w:color w:val="auto"/>
              </w:rPr>
            </w:pPr>
            <w:r>
              <w:rPr>
                <w:rFonts w:ascii="Arial" w:cs="Arial" w:eastAsia="Arial" w:hAnsi="Arial"/>
                <w:sz w:val="18"/>
                <w:szCs w:val="18"/>
                <w:color w:val="auto"/>
              </w:rPr>
              <w:t>Cash restricted for construction in</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340" w:type="dxa"/>
            <w:vAlign w:val="bottom"/>
          </w:tcPr>
          <w:p>
            <w:pPr>
              <w:ind w:left="400"/>
              <w:spacing w:after="0"/>
              <w:rPr>
                <w:sz w:val="20"/>
                <w:szCs w:val="20"/>
                <w:color w:val="auto"/>
              </w:rPr>
            </w:pPr>
            <w:r>
              <w:rPr>
                <w:rFonts w:ascii="Arial" w:cs="Arial" w:eastAsia="Arial" w:hAnsi="Arial"/>
                <w:sz w:val="18"/>
                <w:szCs w:val="18"/>
                <w:color w:val="auto"/>
              </w:rPr>
              <w:t>progress</w:t>
            </w:r>
          </w:p>
        </w:tc>
        <w:tc>
          <w:tcPr>
            <w:tcW w:w="2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5,089</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5,089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EEEEEE"/>
          </w:tcPr>
          <w:p>
            <w:pPr>
              <w:jc w:val="right"/>
              <w:ind w:right="4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44,320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660" w:type="dxa"/>
            <w:vAlign w:val="bottom"/>
            <w:tcBorders>
              <w:top w:val="single" w:sz="8" w:color="auto"/>
              <w:bottom w:val="single" w:sz="8" w:color="auto"/>
            </w:tcBorders>
            <w:shd w:val="clear" w:color="auto" w:fill="EEEEEE"/>
          </w:tcPr>
          <w:p>
            <w:pPr>
              <w:jc w:val="right"/>
              <w:ind w:right="501"/>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EEEEEE"/>
          </w:tcPr>
          <w:p>
            <w:pPr>
              <w:ind w:left="6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44,320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40,873</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400" w:type="dxa"/>
            <w:vAlign w:val="bottom"/>
            <w:tcBorders>
              <w:top w:val="single" w:sz="8" w:color="auto"/>
              <w:bottom w:val="single" w:sz="8" w:color="auto"/>
            </w:tcBorders>
            <w:shd w:val="clear" w:color="auto" w:fill="EEEEEE"/>
          </w:tcPr>
          <w:p>
            <w:pPr>
              <w:jc w:val="right"/>
              <w:ind w:right="2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EEEEEE"/>
          </w:tcPr>
          <w:p>
            <w:pPr>
              <w:ind w:left="30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41,853</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Bank acceptance payable</w:t>
            </w:r>
          </w:p>
        </w:tc>
        <w:tc>
          <w:tcPr>
            <w:tcW w:w="20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2,660</w:t>
            </w:r>
          </w:p>
        </w:tc>
        <w:tc>
          <w:tcPr>
            <w:tcW w:w="660" w:type="dxa"/>
            <w:vAlign w:val="bottom"/>
            <w:shd w:val="clear" w:color="auto" w:fill="EEEEEE"/>
          </w:tcPr>
          <w:p>
            <w:pPr>
              <w:spacing w:after="0"/>
              <w:rPr>
                <w:sz w:val="19"/>
                <w:szCs w:val="19"/>
                <w:color w:val="auto"/>
              </w:rPr>
            </w:pPr>
          </w:p>
        </w:tc>
        <w:tc>
          <w:tcPr>
            <w:tcW w:w="40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2,660</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0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carrying value amounts of accounts receivable, prepaid expenses and other current assets, borrowings from our credit facility, accounts payable, accrued expenses and other current liabilities approximate fair value because of the short-term maturity of these instruments.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Basic net income per share has been computed using the weighted-average number of shares of common stock outstanding during the period. Diluted net income per share has been computed using the weighted-average number of shares of common stock and dilutive potential common shares from stock options, restricted stock units/awards and warrants outstanding during the period. In periods with net losses, normally dilutive shares become anti-dilutive, and therefore for those periods basic and dilutive earnings per share are the same.</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for the periods indicated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00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6"/>
          </w:tcPr>
          <w:p>
            <w:pPr>
              <w:ind w:left="3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9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Numerator:</w:t>
            </w: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87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6,089</w:t>
            </w:r>
          </w:p>
        </w:tc>
        <w:tc>
          <w:tcPr>
            <w:tcW w:w="12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1,919</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5,414</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Denominator:</w:t>
            </w: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to compute net</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00" w:type="dxa"/>
            <w:vAlign w:val="bottom"/>
          </w:tcPr>
          <w:p>
            <w:pPr>
              <w:ind w:left="160"/>
              <w:spacing w:after="0"/>
              <w:rPr>
                <w:sz w:val="20"/>
                <w:szCs w:val="20"/>
                <w:color w:val="auto"/>
              </w:rPr>
            </w:pPr>
            <w:r>
              <w:rPr>
                <w:rFonts w:ascii="Arial" w:cs="Arial" w:eastAsia="Arial" w:hAnsi="Arial"/>
                <w:sz w:val="18"/>
                <w:szCs w:val="18"/>
                <w:color w:val="auto"/>
              </w:rPr>
              <w:t>income per share</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14,936</w:t>
            </w: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14,785</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14,891</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13,794</w:t>
            </w:r>
          </w:p>
        </w:tc>
      </w:tr>
      <w:tr>
        <w:trPr>
          <w:trHeight w:val="230"/>
        </w:trPr>
        <w:tc>
          <w:tcPr>
            <w:tcW w:w="3900" w:type="dxa"/>
            <w:vAlign w:val="bottom"/>
          </w:tcPr>
          <w:p>
            <w:pPr>
              <w:ind w:left="160"/>
              <w:spacing w:after="0"/>
              <w:rPr>
                <w:sz w:val="20"/>
                <w:szCs w:val="20"/>
                <w:color w:val="auto"/>
              </w:rPr>
            </w:pPr>
            <w:r>
              <w:rPr>
                <w:rFonts w:ascii="Arial" w:cs="Arial" w:eastAsia="Arial" w:hAnsi="Arial"/>
                <w:sz w:val="18"/>
                <w:szCs w:val="18"/>
                <w:color w:val="auto"/>
              </w:rPr>
              <w:t>Effect of dilutive options and warrants</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1,124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r>
      <w:tr>
        <w:trPr>
          <w:trHeight w:val="210"/>
        </w:trPr>
        <w:tc>
          <w:tcPr>
            <w:tcW w:w="390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15,872</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15,642</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16,015</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14,621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income per share</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EEEEEE"/>
          </w:tcPr>
          <w:p>
            <w:pPr>
              <w:jc w:val="right"/>
              <w:ind w:right="87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0.41</w:t>
            </w:r>
          </w:p>
        </w:tc>
        <w:tc>
          <w:tcPr>
            <w:tcW w:w="1220" w:type="dxa"/>
            <w:vAlign w:val="bottom"/>
            <w:gridSpan w:val="2"/>
            <w:shd w:val="clear" w:color="auto" w:fill="EEEEEE"/>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0.13</w:t>
            </w:r>
          </w:p>
        </w:tc>
        <w:tc>
          <w:tcPr>
            <w:tcW w:w="5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0.36</w:t>
            </w:r>
          </w:p>
        </w:tc>
        <w:tc>
          <w:tcPr>
            <w:tcW w:w="5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0.15</w:t>
            </w:r>
          </w:p>
        </w:tc>
      </w:tr>
      <w:tr>
        <w:trPr>
          <w:trHeight w:val="230"/>
        </w:trPr>
        <w:tc>
          <w:tcPr>
            <w:tcW w:w="390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40" w:type="dxa"/>
            <w:vAlign w:val="bottom"/>
          </w:tcPr>
          <w:p>
            <w:pPr>
              <w:jc w:val="right"/>
              <w:ind w:right="87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0.38</w:t>
            </w:r>
          </w:p>
        </w:tc>
        <w:tc>
          <w:tcPr>
            <w:tcW w:w="12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securities that were excluded from the computation of diluted net income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Note 5.  Inventory</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80" w:type="dxa"/>
            <w:vAlign w:val="bottom"/>
            <w:gridSpan w:val="2"/>
          </w:tcPr>
          <w:p>
            <w:pPr>
              <w:ind w:left="660"/>
              <w:spacing w:after="0"/>
              <w:rPr>
                <w:sz w:val="20"/>
                <w:szCs w:val="20"/>
                <w:color w:val="auto"/>
              </w:rPr>
            </w:pPr>
            <w:r>
              <w:rPr>
                <w:rFonts w:ascii="Arial" w:cs="Arial" w:eastAsia="Arial" w:hAnsi="Arial"/>
                <w:sz w:val="18"/>
                <w:szCs w:val="18"/>
                <w:color w:val="auto"/>
                <w:w w:val="95"/>
              </w:rPr>
              <w:t>Inventories consist of the following for the periods indicated (in thousands):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December 31, 2014</w:t>
            </w:r>
          </w:p>
        </w:tc>
      </w:tr>
      <w:tr>
        <w:trPr>
          <w:trHeight w:val="210"/>
        </w:trPr>
        <w:tc>
          <w:tcPr>
            <w:tcW w:w="1160" w:type="dxa"/>
            <w:vAlign w:val="bottom"/>
          </w:tcPr>
          <w:p>
            <w:pPr>
              <w:spacing w:after="0"/>
              <w:rPr>
                <w:sz w:val="18"/>
                <w:szCs w:val="18"/>
                <w:color w:val="auto"/>
              </w:rPr>
            </w:pPr>
          </w:p>
        </w:tc>
        <w:tc>
          <w:tcPr>
            <w:tcW w:w="52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20,145</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23,984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13,379</w:t>
            </w:r>
          </w:p>
        </w:tc>
        <w:tc>
          <w:tcPr>
            <w:tcW w:w="10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8,322</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EEEEEE"/>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lower of cost or market adjustment expensed for inventory for the three months ended June 30, 2015 and 2014 was $0.7 million and $0.5 million, respectively. The lower of cost or market adjustment expensed for inventory for the six months ended June 30, 2015 and 2014 was $1.3 million and $0.8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June 30, 2015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 2014</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Land improvements</w:t>
            </w: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26,532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71,662</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61,529</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5,553</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Transportation equipment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0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EEEEEE"/>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106,975</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84,748</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(36,477)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(32,412)</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70,498</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52,336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7,380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1,101</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78,979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For the three months ended June 30, 2015 and 2014, depreciation expense of property, plant and equipment was $2.2 million and $1.3 million, respectively. For the six months ended June 30, 2015 and 2014, depreciation expense of property, plant and equipment was $4.1 million and $2.5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June 30, 2015</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Gross Amount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amortization</w:t>
            </w:r>
          </w:p>
        </w:tc>
        <w:tc>
          <w:tcPr>
            <w:tcW w:w="1860" w:type="dxa"/>
            <w:vAlign w:val="bottom"/>
            <w:gridSpan w:val="4"/>
          </w:tcPr>
          <w:p>
            <w:pPr>
              <w:ind w:left="140"/>
              <w:spacing w:after="0"/>
              <w:rPr>
                <w:sz w:val="20"/>
                <w:szCs w:val="20"/>
                <w:color w:val="auto"/>
              </w:rPr>
            </w:pPr>
            <w:r>
              <w:rPr>
                <w:rFonts w:ascii="Arial" w:cs="Arial" w:eastAsia="Arial" w:hAnsi="Arial"/>
                <w:sz w:val="18"/>
                <w:szCs w:val="18"/>
                <w:b w:val="1"/>
                <w:bCs w:val="1"/>
                <w:color w:val="auto"/>
                <w:w w:val="92"/>
              </w:rPr>
              <w:t>Intangible assets, net</w:t>
            </w:r>
          </w:p>
        </w:tc>
      </w:tr>
      <w:tr>
        <w:trPr>
          <w:trHeight w:val="210"/>
        </w:trPr>
        <w:tc>
          <w:tcPr>
            <w:tcW w:w="31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Patents</w:t>
            </w:r>
          </w:p>
        </w:tc>
        <w:tc>
          <w:tcPr>
            <w:tcW w:w="15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5,172</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(1,340)</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3,832</w:t>
            </w:r>
          </w:p>
        </w:tc>
        <w:tc>
          <w:tcPr>
            <w:tcW w:w="120" w:type="dxa"/>
            <w:vAlign w:val="bottom"/>
            <w:tcBorders>
              <w:top w:val="single" w:sz="8" w:color="EEEEEE"/>
            </w:tcBorders>
            <w:shd w:val="clear" w:color="auto" w:fill="EEEEEE"/>
          </w:tcPr>
          <w:p>
            <w:pPr>
              <w:spacing w:after="0"/>
              <w:rPr>
                <w:sz w:val="18"/>
                <w:szCs w:val="18"/>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Trademarks</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23"/>
        </w:trPr>
        <w:tc>
          <w:tcPr>
            <w:tcW w:w="31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intangible assets</w:t>
            </w:r>
          </w:p>
        </w:tc>
        <w:tc>
          <w:tcPr>
            <w:tcW w:w="15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5,186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spacing w:after="0"/>
              <w:rPr>
                <w:sz w:val="19"/>
                <w:szCs w:val="19"/>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(1,349</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spacing w:after="0"/>
              <w:rPr>
                <w:sz w:val="19"/>
                <w:szCs w:val="19"/>
                <w:color w:val="auto"/>
              </w:rPr>
            </w:pP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3,837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 2014</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Gross Amount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amortization</w:t>
            </w:r>
          </w:p>
        </w:tc>
        <w:tc>
          <w:tcPr>
            <w:tcW w:w="1860" w:type="dxa"/>
            <w:vAlign w:val="bottom"/>
            <w:gridSpan w:val="4"/>
          </w:tcPr>
          <w:p>
            <w:pPr>
              <w:ind w:left="140"/>
              <w:spacing w:after="0"/>
              <w:rPr>
                <w:sz w:val="20"/>
                <w:szCs w:val="20"/>
                <w:color w:val="auto"/>
              </w:rPr>
            </w:pPr>
            <w:r>
              <w:rPr>
                <w:rFonts w:ascii="Arial" w:cs="Arial" w:eastAsia="Arial" w:hAnsi="Arial"/>
                <w:sz w:val="18"/>
                <w:szCs w:val="18"/>
                <w:b w:val="1"/>
                <w:bCs w:val="1"/>
                <w:color w:val="auto"/>
                <w:w w:val="92"/>
              </w:rPr>
              <w:t>Intangible assets, net</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1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Patents</w:t>
            </w:r>
          </w:p>
        </w:tc>
        <w:tc>
          <w:tcPr>
            <w:tcW w:w="15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4,968</w:t>
            </w:r>
          </w:p>
        </w:tc>
        <w:tc>
          <w:tcPr>
            <w:tcW w:w="3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3,827</w:t>
            </w:r>
          </w:p>
        </w:tc>
        <w:tc>
          <w:tcPr>
            <w:tcW w:w="120" w:type="dxa"/>
            <w:vAlign w:val="bottom"/>
            <w:tcBorders>
              <w:top w:val="single" w:sz="8" w:color="EEEEEE"/>
            </w:tcBorders>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Trademarks</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1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intangible assets</w:t>
            </w:r>
          </w:p>
        </w:tc>
        <w:tc>
          <w:tcPr>
            <w:tcW w:w="15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4,982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auto"/>
              <w:bottom w:val="single" w:sz="8" w:color="auto"/>
            </w:tcBorders>
            <w:shd w:val="clear" w:color="auto" w:fill="EEEEEE"/>
          </w:tcPr>
          <w:p>
            <w:pPr>
              <w:spacing w:after="0"/>
              <w:rPr>
                <w:sz w:val="19"/>
                <w:szCs w:val="19"/>
                <w:color w:val="auto"/>
              </w:rPr>
            </w:pPr>
          </w:p>
        </w:tc>
        <w:tc>
          <w:tcPr>
            <w:tcW w:w="1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(1,149</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spacing w:after="0"/>
              <w:rPr>
                <w:sz w:val="19"/>
                <w:szCs w:val="19"/>
                <w:color w:val="auto"/>
              </w:rPr>
            </w:pP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9"/>
        </w:trPr>
        <w:tc>
          <w:tcPr>
            <w:tcW w:w="5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0" w:name="page11"/>
    <w:bookmarkEnd w:id="10"/>
    <w:p>
      <w:pPr>
        <w:ind w:right="80" w:firstLine="648"/>
        <w:spacing w:after="0" w:line="259" w:lineRule="auto"/>
        <w:rPr>
          <w:sz w:val="20"/>
          <w:szCs w:val="20"/>
          <w:color w:val="auto"/>
        </w:rPr>
      </w:pPr>
      <w:r>
        <w:rPr>
          <w:rFonts w:ascii="Arial" w:cs="Arial" w:eastAsia="Arial" w:hAnsi="Arial"/>
          <w:sz w:val="18"/>
          <w:szCs w:val="18"/>
          <w:color w:val="auto"/>
        </w:rPr>
        <w:t>For the three months ended June 30, 2015 and 2014, amortization expense for intangible assets, included in general and administrative expenses on the income statement, was $102,000 and $95,000, respectively. For the six months ended June 30, 2015 and 2014, amortization expense for intangible assets, included in general and administrative expenses on the income statement, was $201,000 and $164,000, respectively. The remaining weighted average amortization period for intangible assets is approximately 10 years.</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2014 the Company acquired an intangible asset from an unrelated company in the form of a license to various patents related to transceiver product technology. The weighted-average amortization period for the license is 10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June 30, 2015</w:t>
            </w:r>
          </w:p>
        </w:tc>
        <w:tc>
          <w:tcPr>
            <w:tcW w:w="160" w:type="dxa"/>
            <w:vAlign w:val="bottom"/>
          </w:tcPr>
          <w:p>
            <w:pPr>
              <w:spacing w:after="0"/>
              <w:rPr>
                <w:sz w:val="20"/>
                <w:szCs w:val="20"/>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December 31, 2014</w:t>
            </w:r>
          </w:p>
        </w:tc>
        <w:tc>
          <w:tcPr>
            <w:tcW w:w="0" w:type="dxa"/>
            <w:vAlign w:val="bottom"/>
          </w:tcPr>
          <w:p>
            <w:pPr>
              <w:spacing w:after="0"/>
              <w:rPr>
                <w:sz w:val="1"/>
                <w:szCs w:val="1"/>
                <w:color w:val="auto"/>
              </w:rPr>
            </w:pPr>
          </w:p>
        </w:tc>
      </w:tr>
      <w:tr>
        <w:trPr>
          <w:trHeight w:val="182"/>
        </w:trPr>
        <w:tc>
          <w:tcPr>
            <w:tcW w:w="754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5"/>
              </w:rPr>
              <w:t>Revolving line of credit with a U.S. bank up to $20,000 with interest at LIBOR plus 2.75%, maturing</w:t>
            </w:r>
          </w:p>
        </w:tc>
        <w:tc>
          <w:tcPr>
            <w:tcW w:w="2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142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580" w:type="dxa"/>
            <w:vAlign w:val="bottom"/>
            <w:tcBorders>
              <w:top w:val="single" w:sz="8" w:color="auto"/>
            </w:tcBorders>
            <w:shd w:val="clear" w:color="auto" w:fill="EEEEEE"/>
          </w:tcPr>
          <w:p>
            <w:pPr>
              <w:spacing w:after="0"/>
              <w:rPr>
                <w:sz w:val="15"/>
                <w:szCs w:val="15"/>
                <w:color w:val="auto"/>
              </w:rPr>
            </w:pPr>
          </w:p>
        </w:tc>
        <w:tc>
          <w:tcPr>
            <w:tcW w:w="100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June 30, 2018</w:t>
            </w:r>
          </w:p>
        </w:tc>
        <w:tc>
          <w:tcPr>
            <w:tcW w:w="2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3"/>
              </w:rPr>
              <w:t>Revolving line of credit with a U.S. bank up to $5,000 with interest at LIBOR plus 3.0%, due every 90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00"/>
              <w:spacing w:after="0"/>
              <w:rPr>
                <w:sz w:val="20"/>
                <w:szCs w:val="20"/>
                <w:color w:val="auto"/>
              </w:rPr>
            </w:pPr>
            <w:r>
              <w:rPr>
                <w:rFonts w:ascii="Arial" w:cs="Arial" w:eastAsia="Arial" w:hAnsi="Arial"/>
                <w:sz w:val="18"/>
                <w:szCs w:val="18"/>
                <w:color w:val="auto"/>
              </w:rPr>
              <w:t>days, maturing June 30, 2018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Term loan with a U.S. bank with monthly payments of principal and interest at LIBOR plus 2.75%,</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maturing July 31, 2019</w:t>
            </w:r>
          </w:p>
        </w:tc>
        <w:tc>
          <w:tcPr>
            <w:tcW w:w="2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4,623</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7"/>
              </w:rPr>
              <w:t>Term loan with a U.S. bank with monthly payments of principal and interest at LIBOR plus 2.75%,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00"/>
              <w:spacing w:after="0"/>
              <w:rPr>
                <w:sz w:val="20"/>
                <w:szCs w:val="20"/>
                <w:color w:val="auto"/>
              </w:rPr>
            </w:pPr>
            <w:r>
              <w:rPr>
                <w:rFonts w:ascii="Arial" w:cs="Arial" w:eastAsia="Arial" w:hAnsi="Arial"/>
                <w:sz w:val="18"/>
                <w:szCs w:val="18"/>
                <w:color w:val="auto"/>
              </w:rPr>
              <w:t>maturing June 30, 2020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Revolving line of credit with a Taiwan bank up to $3,000 with interest based on the bank's corporate</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interest rate index+ 1.5%, or 2.40% maturing on November 15, 2015</w:t>
            </w:r>
          </w:p>
        </w:tc>
        <w:tc>
          <w:tcPr>
            <w:tcW w:w="2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2,296</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6"/>
              </w:rPr>
              <w:t>Revolving line of credit with a Taiwan bank up to $7,000 with interest at Taiwan deposit index plus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00"/>
              <w:spacing w:after="0"/>
              <w:rPr>
                <w:sz w:val="20"/>
                <w:szCs w:val="20"/>
                <w:color w:val="auto"/>
              </w:rPr>
            </w:pPr>
            <w:r>
              <w:rPr>
                <w:rFonts w:ascii="Arial" w:cs="Arial" w:eastAsia="Arial" w:hAnsi="Arial"/>
                <w:sz w:val="18"/>
                <w:szCs w:val="18"/>
                <w:color w:val="auto"/>
              </w:rPr>
              <w:t>0.38% or LIBOR plus 1.7% maturing on February 6, 2016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5,908</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Revolving line of credit with a Taiwan bank up to $4,000 with interest at Taiwan Time Deposit Interest</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Rate Index plus 0.41% or LIBOR plus 1.28% maturing on December 11, 2015</w:t>
            </w:r>
          </w:p>
        </w:tc>
        <w:tc>
          <w:tcPr>
            <w:tcW w:w="2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3,624</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7"/>
              </w:rPr>
              <w:t>Revolving line of credit with a China bank up to $5,000 with interest ranged from 2.15% to 3.15%,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00"/>
              <w:spacing w:after="0"/>
              <w:rPr>
                <w:sz w:val="20"/>
                <w:szCs w:val="20"/>
                <w:color w:val="auto"/>
              </w:rPr>
            </w:pPr>
            <w:r>
              <w:rPr>
                <w:rFonts w:ascii="Arial" w:cs="Arial" w:eastAsia="Arial" w:hAnsi="Arial"/>
                <w:sz w:val="18"/>
                <w:szCs w:val="18"/>
                <w:color w:val="auto"/>
              </w:rPr>
              <w:t>which mature between July and September 2015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4,014</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Revolving line of credit with a China bank up to $4,432 with interest at 108% of China Prime rate, or</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5.79%, maturing April 17, 2016</w:t>
            </w:r>
          </w:p>
        </w:tc>
        <w:tc>
          <w:tcPr>
            <w:tcW w:w="2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3,926</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5"/>
              </w:rPr>
              <w:t>Revolving line of credit with the Taiwan branch of a China bank up to $3,000 with interest at LIBOR</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00"/>
              <w:spacing w:after="0"/>
              <w:rPr>
                <w:sz w:val="20"/>
                <w:szCs w:val="20"/>
                <w:color w:val="auto"/>
              </w:rPr>
            </w:pPr>
            <w:r>
              <w:rPr>
                <w:rFonts w:ascii="Arial" w:cs="Arial" w:eastAsia="Arial" w:hAnsi="Arial"/>
                <w:sz w:val="18"/>
                <w:szCs w:val="18"/>
                <w:color w:val="auto"/>
              </w:rPr>
              <w:t>plus 1.5% or Taiwan Interbank Offered Rate plus 0.9% , maturing April 1, 2016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2,917</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Note payable to a finance company due in monthly installments with 4.95% interest, maturing July 30,</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2"/>
              </w:rPr>
              <w:t>Note payable to a finance company due in monthly installments with 4.5% interest, maturing from May</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00"/>
              <w:spacing w:after="0"/>
              <w:rPr>
                <w:sz w:val="20"/>
                <w:szCs w:val="20"/>
                <w:color w:val="auto"/>
              </w:rPr>
            </w:pPr>
            <w:r>
              <w:rPr>
                <w:rFonts w:ascii="Arial" w:cs="Arial" w:eastAsia="Arial" w:hAnsi="Arial"/>
                <w:sz w:val="18"/>
                <w:szCs w:val="18"/>
                <w:color w:val="auto"/>
              </w:rPr>
              <w:t>27, 2018 to June 30, 2018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6,213</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5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60,586</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28,648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(30,990)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23"/>
        </w:trPr>
        <w:tc>
          <w:tcPr>
            <w:tcW w:w="75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Long term portion</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29,596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ind w:right="41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19,057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2540"/>
              <w:spacing w:after="0"/>
              <w:rPr>
                <w:sz w:val="20"/>
                <w:szCs w:val="20"/>
                <w:color w:val="auto"/>
              </w:rPr>
            </w:pPr>
            <w:r>
              <w:rPr>
                <w:rFonts w:ascii="Arial" w:cs="Arial" w:eastAsia="Arial" w:hAnsi="Arial"/>
                <w:sz w:val="18"/>
                <w:szCs w:val="18"/>
                <w:b w:val="1"/>
                <w:bCs w:val="1"/>
                <w:color w:val="auto"/>
              </w:rPr>
              <w:t>Bank Acceptance Notes Payable</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42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8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40" w:type="dxa"/>
            <w:vAlign w:val="bottom"/>
            <w:shd w:val="clear" w:color="auto" w:fill="EEEEEE"/>
          </w:tcPr>
          <w:p>
            <w:pPr>
              <w:spacing w:after="0" w:line="195" w:lineRule="exact"/>
              <w:rPr>
                <w:sz w:val="20"/>
                <w:szCs w:val="20"/>
                <w:color w:val="auto"/>
              </w:rPr>
            </w:pPr>
            <w:r>
              <w:rPr>
                <w:rFonts w:ascii="Arial" w:cs="Arial" w:eastAsia="Arial" w:hAnsi="Arial"/>
                <w:sz w:val="18"/>
                <w:szCs w:val="18"/>
                <w:color w:val="auto"/>
                <w:w w:val="93"/>
              </w:rPr>
              <w:t>Bank acceptance notes issued to vendors with a zero percent interest rate, a 30% guarantee deposit</w:t>
            </w: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4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of $797, and maturity dates ranging from July 2015 to December 2015</w:t>
            </w:r>
          </w:p>
        </w:tc>
        <w:tc>
          <w:tcPr>
            <w:tcW w:w="2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2,660</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June 30, 2015. The one-month LIBOR rate was 0.186% on June 30,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long-term debt are as follows for the future one-year periods ending June 30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00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3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$30,990</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2017</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3,739</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000" w:type="dxa"/>
            <w:vAlign w:val="bottom"/>
            <w:shd w:val="clear" w:color="auto" w:fill="EEEEEE"/>
          </w:tcPr>
          <w:p>
            <w:pPr>
              <w:spacing w:after="0"/>
              <w:rPr>
                <w:sz w:val="20"/>
                <w:szCs w:val="20"/>
                <w:color w:val="auto"/>
              </w:rPr>
            </w:pPr>
            <w:r>
              <w:rPr>
                <w:rFonts w:ascii="Arial" w:cs="Arial" w:eastAsia="Arial" w:hAnsi="Arial"/>
                <w:sz w:val="18"/>
                <w:szCs w:val="18"/>
                <w:color w:val="auto"/>
              </w:rPr>
              <w:t>2018</w:t>
            </w:r>
          </w:p>
        </w:tc>
        <w:tc>
          <w:tcPr>
            <w:tcW w:w="3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23,631</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2019 thereafter</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2,226</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0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outstanding</w:t>
            </w:r>
          </w:p>
        </w:tc>
        <w:tc>
          <w:tcPr>
            <w:tcW w:w="1980" w:type="dxa"/>
            <w:vAlign w:val="bottom"/>
            <w:tcBorders>
              <w:top w:val="single" w:sz="8" w:color="EEEEEE"/>
              <w:bottom w:val="single" w:sz="8" w:color="EEEEEE"/>
            </w:tcBorders>
            <w:shd w:val="clear" w:color="auto" w:fill="EEEEEE"/>
          </w:tcPr>
          <w:p>
            <w:pPr>
              <w:spacing w:after="0"/>
              <w:rPr>
                <w:sz w:val="18"/>
                <w:szCs w:val="18"/>
                <w:color w:val="auto"/>
              </w:rPr>
            </w:pPr>
          </w:p>
        </w:tc>
        <w:tc>
          <w:tcPr>
            <w:tcW w:w="1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$60,586</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80" w:type="dxa"/>
            <w:vAlign w:val="bottom"/>
            <w:vMerge w:val="restart"/>
          </w:tcPr>
          <w:p>
            <w:pPr>
              <w:jc w:val="right"/>
              <w:ind w:right="970"/>
              <w:spacing w:after="0"/>
              <w:rPr>
                <w:sz w:val="20"/>
                <w:szCs w:val="20"/>
                <w:color w:val="auto"/>
              </w:rPr>
            </w:pPr>
            <w:r>
              <w:rPr>
                <w:rFonts w:ascii="Arial" w:cs="Arial" w:eastAsia="Arial" w:hAnsi="Arial"/>
                <w:sz w:val="18"/>
                <w:szCs w:val="18"/>
                <w:color w:val="auto"/>
              </w:rPr>
              <w:t>11</w:t>
            </w:r>
          </w:p>
        </w:tc>
        <w:tc>
          <w:tcPr>
            <w:tcW w:w="172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8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vMerge w:val="continue"/>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1" w:name="page12"/>
    <w:bookmarkEnd w:id="11"/>
    <w:p>
      <w:pPr>
        <w:ind w:right="80" w:firstLine="648"/>
        <w:spacing w:after="0" w:line="257" w:lineRule="auto"/>
        <w:rPr>
          <w:sz w:val="20"/>
          <w:szCs w:val="20"/>
          <w:color w:val="auto"/>
        </w:rPr>
      </w:pPr>
      <w:r>
        <w:rPr>
          <w:rFonts w:ascii="Arial" w:cs="Arial" w:eastAsia="Arial" w:hAnsi="Arial"/>
          <w:sz w:val="18"/>
          <w:szCs w:val="18"/>
          <w:color w:val="auto"/>
        </w:rPr>
        <w:t>On June 30, 2015, the Company entered into with East West Bank and Comerica Bank a credit agreement, a second lien deed of trust, multiple security agreements and promissory notes evidencing two credit facilities and a term loan. The credit agreement included a $25.0 million revolving line of credit which matures on June 30, 2018 and a $10 million term loan maturing on June 30, 2020. The interest rate on these loans is the LIBOR Borrowing Rate plus 2.75% or 3.0%. As of June 30, 2015, $25.0 million was outstanding under the revolving line of credit and $2.0 million was outstanding under the term loans.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Also with East West Bank was a term loan of $5 million with monthly payments of principal and interest that matures on July 31, 2019. As of June 30, 2015, the outstanding balance of such term loan was $4.6 million.</w:t>
      </w:r>
    </w:p>
    <w:p>
      <w:pPr>
        <w:spacing w:after="0" w:line="170"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On January 26, 2015, the Company entered into a construction loan agreement with East West Bank for up to $22.0 million dollars to finance the construction of its campus expansion plan in Sugar Land, Texas. Upon signing the agreement, the Company deposited $11.0 million into a restricted bank account for owner’s contribution of construction costs. The loan will have a fifteen month draw down period with monthly interest payments commencing on February 26, 2015 and ending April 26, 2016. Thereafter, the entire outstanding principal balance shall be converted to a sixty-nine month term loan with principal and interest payments due monthly amortized over three hundred months. The first principal and interest payment is due on May 26, 2016 and will continue the same day of each month thereafter. The final principal and interest payment is due on January 26, 2022 and will include all unpaid principal and all accrued and unpaid interest. The Company may pay without penalty all or a portion of the amount owed earlier than due. Under the loan agreement, the loan bears interest, at an annual rate based on the one-month LIBOR Borrowing Rate plus 2.75%. As of June 30, 2015, there were no amounts outstanding under this loan agreement and there was a balance of $5.1 million in the restricted bank account.</w:t>
      </w:r>
    </w:p>
    <w:p>
      <w:pPr>
        <w:spacing w:after="0" w:line="16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loan and security agreements with East West Bank and Comerica Bank require the Company to maintain certain financial covenants, including a minimum current ratio and minimum annual EBITDA. As of June 30, 2015, the Company was in compliance with all covenants contained in these agreements.</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January 6, 2015, the Company’s Taiwan branch entered into a Credit Facility with CTBC Bank Co. Ltd. in Taipei, Taiwan for 90.0 million New Taiwan dollar ($3.0 million USD), one year revolving credit facility. Its obligations under the Credit Facility are unsecured. Borrowings under the Credit Facility will bear interest at a rate based on the Bank’s corporate interest rate index plus 1.5%, adjusted monthly. As of the execution of the Credit Facility the Bank’s corporate interest rate index is 0.91%. As of June 30, 2015, $2.3 million was outstanding under this credit facility.</w:t>
      </w:r>
    </w:p>
    <w:p>
      <w:pPr>
        <w:spacing w:after="0" w:line="171"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On March 9, 2015, the Company’s Taiwan branch increased its $4.0 million, to a $7.0 million revolving credit facility agreement, with E. Sun Commercial Bank. Its obligations under the credit facility are secured by our $4.0 million cash deposit in a one-year CD with such bank and mature on May 27, 2016. The $4.0 million revolving line of credit with CD security bears interest at a rate equal to Taiwan Deposit Index Rate plus 0.38% for New Taiwan dollar borrowings and a 0.1% service fee for U.S. dollar borrowings. The additional $3.0 million credit facility bears interest at a rate equal to LIBOR plus 1.7% divided by 0.946 and a 0.5% service fee for U.S. dollar borrowings. As of June 30, 2015, $5.9 million was outstanding under this credit facility.</w:t>
      </w:r>
    </w:p>
    <w:p>
      <w:pPr>
        <w:spacing w:after="0" w:line="15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March 25, 2015, the Company’s Taiwan branch renewed its $4.0 million, one year revolving credit facility agreement, originally dated December 31, 2013, with Mega International Commercial Bank. Obligations under the credit facility are secured by a $4.0 million cash deposit in a CD with such bank. Borrowings under this credit facility will bear interest at a rate not less than the LIBOR borrowing rate plus 1.0%, divided by 0.946 for U.S. and other currency borrowings, New Taiwan dollar borrowings interest will bear at a rate equal to the Bank’s base lending rate plus 0.76%. The current effective interest rate is 1.77%. As of June 30, 2015, $3.6 million was outstanding under this credit facility.</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April 1, 2015, the Company’s Taiwan branch entered into a comprehensive credit line agreement with the Taipei branch of China Construction Bank, providing a revolving credit line of $3 million, maturing on April 1, 2016. Borrowings under the credit line agreement are secured by a standby letter of credit issued by the China branch of the bank under existing agreements between the bank and our China subsidiary. Borrowings under the credit line agreement reduce the amounts available under of the existing credit line between the bank and the Company’s China subsidiary and cannot exceed 97% of the amount of the standby letter of credit issued by the China branch of the bank. Borrowings under the credit line agreement will bear interest at a rate not less than LIBOR plus 1.5% for US dollar borrowings and at a rate of not less than Taiwan Interbank Offered Rate plus 0.9% for New Taiwan dollar borrowings. As of June 30, 2015, $2.9 million was outstanding under this credit facility.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Taiwan branch had an outstanding note payable balance of $0.1 million with a financing company that matures on July 30, 2015.</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right="180" w:firstLine="648"/>
        <w:spacing w:after="0" w:line="255" w:lineRule="auto"/>
        <w:rPr>
          <w:sz w:val="20"/>
          <w:szCs w:val="20"/>
          <w:color w:val="auto"/>
        </w:rPr>
      </w:pPr>
      <w:r>
        <w:rPr>
          <w:rFonts w:ascii="Arial" w:cs="Arial" w:eastAsia="Arial" w:hAnsi="Arial"/>
          <w:sz w:val="18"/>
          <w:szCs w:val="18"/>
          <w:color w:val="auto"/>
        </w:rPr>
        <w:t>On June 30, 2015, the Company’s Taiwan branch entered into a purchase and sale contract and a finance lease agreement together with the sale contract with Chailease Finance Co, Ltd. in connection with certain equipment, structured as a sale lease-back transaction. Pursuant to the sale contract, the Company sold certain equipment to Chailease and simultaneously leased the equipment back from Chailease pursuant to the finance lease agreement. The finance lease agreement has a three year term, with monthly lease payments, maturing on May 27 and June 30, 2018 respectively. The title to the equipment will be transferred to the Company upon the expiration of the finance lease agreement. As of June 30, 2015, $6.2 million was outstanding under this finance lease agreement.</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June 30, 2015, the Company’s China subsidiary had credit facilities with China Construction Bank totaling $12.1 million, which can be drawn in U.S. currency, RMB currency or issuing bank acceptance notes to vendors with different interest rates. As of June 30, 2015, the Company had a U.S. currency based loan of $4.0 million outstanding under various notes with three-month terms, maturing from July 2015 to September 2015 with effective interest rate of 3.15%. There was $3.9 million outstanding RMB currency cash loan as of June 30, 2015, with a maturity date of April 26, 2016. The effective interest rate for the RMB currency loan was 5.79%. The outstanding balance of bank acceptance notes issued to vendors was $2.7 million with zero interest rate as of June 30, 2015.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the Company had $41.1 million of unused borrowing capacity.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December 31, 2014</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Accrued payroll</w:t>
            </w:r>
          </w:p>
        </w:tc>
        <w:tc>
          <w:tcPr>
            <w:tcW w:w="17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4,117</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3,662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Accrued income taxes</w:t>
            </w:r>
          </w:p>
        </w:tc>
        <w:tc>
          <w:tcPr>
            <w:tcW w:w="1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Advance payments</w:t>
            </w:r>
          </w:p>
        </w:tc>
        <w:tc>
          <w:tcPr>
            <w:tcW w:w="1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Accrued other</w:t>
            </w:r>
          </w:p>
        </w:tc>
        <w:tc>
          <w:tcPr>
            <w:tcW w:w="170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2,078</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1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900" w:type="dxa"/>
            <w:vAlign w:val="bottom"/>
            <w:tcBorders>
              <w:bottom w:val="single" w:sz="8" w:color="EEEEEE"/>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EEEEEE"/>
            </w:tcBorders>
          </w:tcPr>
          <w:p>
            <w:pPr>
              <w:spacing w:after="0"/>
              <w:rPr>
                <w:sz w:val="19"/>
                <w:szCs w:val="19"/>
                <w:color w:val="auto"/>
              </w:rPr>
            </w:pPr>
          </w:p>
        </w:tc>
        <w:tc>
          <w:tcPr>
            <w:tcW w:w="140" w:type="dxa"/>
            <w:vAlign w:val="bottom"/>
            <w:tcBorders>
              <w:top w:val="single" w:sz="8" w:color="auto"/>
              <w:bottom w:val="single" w:sz="8" w:color="EEEEEE"/>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EEEEEE"/>
            </w:tcBorders>
          </w:tcPr>
          <w:p>
            <w:pPr>
              <w:spacing w:after="0"/>
              <w:rPr>
                <w:sz w:val="19"/>
                <w:szCs w:val="19"/>
                <w:color w:val="auto"/>
              </w:rPr>
            </w:pPr>
          </w:p>
        </w:tc>
        <w:tc>
          <w:tcPr>
            <w:tcW w:w="20" w:type="dxa"/>
            <w:vAlign w:val="bottom"/>
            <w:tcBorders>
              <w:top w:val="single" w:sz="8" w:color="auto"/>
              <w:bottom w:val="single" w:sz="8" w:color="EEEEE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Unrealized foreign exchange gain (loss)</w:t>
            </w:r>
          </w:p>
        </w:tc>
        <w:tc>
          <w:tcPr>
            <w:tcW w:w="1120" w:type="dxa"/>
            <w:vAlign w:val="bottom"/>
            <w:shd w:val="clear" w:color="auto" w:fill="EEEEEE"/>
          </w:tcPr>
          <w:p>
            <w:pPr>
              <w:jc w:val="right"/>
              <w:ind w:right="95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847</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00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890</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210"/>
              <w:spacing w:after="0"/>
              <w:rPr>
                <w:sz w:val="20"/>
                <w:szCs w:val="20"/>
                <w:color w:val="auto"/>
              </w:rPr>
            </w:pPr>
            <w:r>
              <w:rPr>
                <w:rFonts w:ascii="Arial" w:cs="Arial" w:eastAsia="Arial" w:hAnsi="Arial"/>
                <w:sz w:val="10"/>
                <w:szCs w:val="10"/>
                <w:color w:val="auto"/>
                <w:w w:val="71"/>
              </w:rPr>
              <w:t>$</w:t>
            </w: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Realized foreign exchange gain (loss)</w:t>
            </w:r>
          </w:p>
        </w:tc>
        <w:tc>
          <w:tcPr>
            <w:tcW w:w="1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Government subsidy income</w:t>
            </w:r>
          </w:p>
        </w:tc>
        <w:tc>
          <w:tcPr>
            <w:tcW w:w="11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199</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non-operating gain (loss)</w:t>
            </w:r>
          </w:p>
        </w:tc>
        <w:tc>
          <w:tcPr>
            <w:tcW w:w="1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Gain (loss) on disposal of assets</w:t>
            </w:r>
          </w:p>
        </w:tc>
        <w:tc>
          <w:tcPr>
            <w:tcW w:w="112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16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w:t>
            </w: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39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00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ind w:right="60" w:firstLine="648"/>
        <w:spacing w:after="0" w:line="276" w:lineRule="auto"/>
        <w:rPr>
          <w:sz w:val="20"/>
          <w:szCs w:val="20"/>
          <w:color w:val="auto"/>
        </w:rPr>
      </w:pPr>
      <w:r>
        <w:rPr>
          <w:rFonts w:ascii="Arial" w:cs="Arial" w:eastAsia="Arial" w:hAnsi="Arial"/>
          <w:sz w:val="17"/>
          <w:szCs w:val="17"/>
          <w:color w:val="auto"/>
        </w:rPr>
        <w:t>The Company issues stock options, restricted stock awards (“RSAs”) and restricted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the fair market value of the Company’s stock had been historically determined by the board of directors and from time to time with the assistance of third party valuation specialists.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Options have been granted to the Company’s employees under the five incentive plans and generally become exercisable as to 25% of the shares on the first anniversary date following the date of grant and semi-annually thereafter. All options expire ten years after the date of grant.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Average Share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Price on Date</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Average Fair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Exercise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Life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33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December 31, 2014</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1,423</w:t>
            </w:r>
          </w:p>
        </w:tc>
        <w:tc>
          <w:tcPr>
            <w:tcW w:w="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Cancelled/Forfeited</w:t>
            </w:r>
          </w:p>
        </w:tc>
        <w:tc>
          <w:tcPr>
            <w:tcW w:w="13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5.23</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3"/>
        </w:trPr>
        <w:tc>
          <w:tcPr>
            <w:tcW w:w="33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Outstanding, June 30, 2015</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EEEEE"/>
            </w:tcBorders>
            <w:gridSpan w:val="2"/>
          </w:tcPr>
          <w:p>
            <w:pPr>
              <w:jc w:val="right"/>
              <w:ind w:right="22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EEEEE"/>
            </w:tcBorders>
            <w:gridSpan w:val="2"/>
          </w:tcPr>
          <w:p>
            <w:pPr>
              <w:jc w:val="right"/>
              <w:ind w:right="200"/>
              <w:spacing w:after="0"/>
              <w:rPr>
                <w:sz w:val="20"/>
                <w:szCs w:val="20"/>
                <w:color w:val="auto"/>
              </w:rPr>
            </w:pPr>
            <w:r>
              <w:rPr>
                <w:rFonts w:ascii="Arial" w:cs="Arial" w:eastAsia="Arial" w:hAnsi="Arial"/>
                <w:sz w:val="18"/>
                <w:szCs w:val="18"/>
                <w:color w:val="auto"/>
              </w:rPr>
              <w:t>4.54</w:t>
            </w:r>
          </w:p>
        </w:tc>
        <w:tc>
          <w:tcPr>
            <w:tcW w:w="12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7.649</w:t>
            </w:r>
          </w:p>
        </w:tc>
        <w:tc>
          <w:tcPr>
            <w:tcW w:w="24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11,323</w:t>
            </w:r>
          </w:p>
        </w:tc>
        <w:tc>
          <w:tcPr>
            <w:tcW w:w="0" w:type="dxa"/>
            <w:vAlign w:val="bottom"/>
          </w:tcPr>
          <w:p>
            <w:pPr>
              <w:spacing w:after="0"/>
              <w:rPr>
                <w:sz w:val="1"/>
                <w:szCs w:val="1"/>
                <w:color w:val="auto"/>
              </w:rPr>
            </w:pPr>
          </w:p>
        </w:tc>
      </w:tr>
      <w:tr>
        <w:trPr>
          <w:trHeight w:val="197"/>
        </w:trPr>
        <w:tc>
          <w:tcPr>
            <w:tcW w:w="334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Exercisable, June 30, 2015</w:t>
            </w:r>
          </w:p>
        </w:tc>
        <w:tc>
          <w:tcPr>
            <w:tcW w:w="116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657</w:t>
            </w:r>
          </w:p>
        </w:tc>
        <w:tc>
          <w:tcPr>
            <w:tcW w:w="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gridSpan w:val="2"/>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EEEEEE"/>
            </w:tcBorders>
            <w:gridSpan w:val="2"/>
            <w:shd w:val="clear" w:color="auto" w:fill="EEEEEE"/>
          </w:tcPr>
          <w:p>
            <w:pPr>
              <w:jc w:val="right"/>
              <w:ind w:right="220"/>
              <w:spacing w:after="0" w:line="196" w:lineRule="exact"/>
              <w:rPr>
                <w:sz w:val="20"/>
                <w:szCs w:val="20"/>
                <w:color w:val="auto"/>
              </w:rPr>
            </w:pPr>
            <w:r>
              <w:rPr>
                <w:rFonts w:ascii="Arial" w:cs="Arial" w:eastAsia="Arial" w:hAnsi="Arial"/>
                <w:sz w:val="18"/>
                <w:szCs w:val="18"/>
                <w:color w:val="auto"/>
              </w:rPr>
              <w:t>8.25</w:t>
            </w:r>
          </w:p>
        </w:tc>
        <w:tc>
          <w:tcPr>
            <w:tcW w:w="12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gridSpan w:val="2"/>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EEEEEE"/>
            </w:tcBorders>
            <w:gridSpan w:val="2"/>
            <w:shd w:val="clear" w:color="auto" w:fill="EEEEEE"/>
          </w:tcPr>
          <w:p>
            <w:pPr>
              <w:jc w:val="right"/>
              <w:ind w:right="200"/>
              <w:spacing w:after="0" w:line="196" w:lineRule="exact"/>
              <w:rPr>
                <w:sz w:val="20"/>
                <w:szCs w:val="20"/>
                <w:color w:val="auto"/>
              </w:rPr>
            </w:pPr>
            <w:r>
              <w:rPr>
                <w:rFonts w:ascii="Arial" w:cs="Arial" w:eastAsia="Arial" w:hAnsi="Arial"/>
                <w:sz w:val="18"/>
                <w:szCs w:val="18"/>
                <w:color w:val="auto"/>
              </w:rPr>
              <w:t>3.80</w:t>
            </w:r>
          </w:p>
        </w:tc>
        <w:tc>
          <w:tcPr>
            <w:tcW w:w="124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7.170</w:t>
            </w:r>
          </w:p>
        </w:tc>
        <w:tc>
          <w:tcPr>
            <w:tcW w:w="240" w:type="dxa"/>
            <w:vAlign w:val="bottom"/>
            <w:tcBorders>
              <w:bottom w:val="single" w:sz="8" w:color="EEEEEE"/>
            </w:tcBorders>
            <w:gridSpan w:val="2"/>
            <w:shd w:val="clear" w:color="auto" w:fill="EEEEEE"/>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5,991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Vested and expected to vest</w:t>
            </w: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4.51</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7.626</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1,299</w:t>
            </w: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June 30, 2015, there was approximately $2.9 million of unrecognized stock option expense, net of estimated forfeitures, which is expected to be recognized over 2.13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gridSpan w:val="3"/>
          </w:tcPr>
          <w:p>
            <w:pPr>
              <w:spacing w:after="0"/>
              <w:rPr>
                <w:sz w:val="20"/>
                <w:szCs w:val="20"/>
                <w:color w:val="auto"/>
              </w:rPr>
            </w:pPr>
            <w:r>
              <w:rPr>
                <w:rFonts w:ascii="Arial" w:cs="Arial" w:eastAsia="Arial" w:hAnsi="Arial"/>
                <w:sz w:val="18"/>
                <w:szCs w:val="18"/>
                <w:i w:val="1"/>
                <w:iCs w:val="1"/>
                <w:color w:val="auto"/>
              </w:rPr>
              <w:t>Restricted Stock Units/Awards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760" w:type="dxa"/>
            <w:vAlign w:val="bottom"/>
            <w:gridSpan w:val="2"/>
          </w:tcPr>
          <w:p>
            <w:pPr>
              <w:ind w:left="80"/>
              <w:spacing w:after="0"/>
              <w:rPr>
                <w:sz w:val="20"/>
                <w:szCs w:val="20"/>
                <w:color w:val="auto"/>
              </w:rPr>
            </w:pPr>
            <w:r>
              <w:rPr>
                <w:rFonts w:ascii="Arial" w:cs="Arial" w:eastAsia="Arial" w:hAnsi="Arial"/>
                <w:sz w:val="18"/>
                <w:szCs w:val="18"/>
                <w:color w:val="auto"/>
              </w:rPr>
              <w:t>The following is a summary of RSU/RSA activity:</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Price on Date</w:t>
            </w:r>
          </w:p>
        </w:tc>
        <w:tc>
          <w:tcPr>
            <w:tcW w:w="2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Fair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820" w:type="dxa"/>
            <w:vAlign w:val="bottom"/>
          </w:tcPr>
          <w:p>
            <w:pPr>
              <w:jc w:val="center"/>
              <w:ind w:left="210"/>
              <w:spacing w:after="0"/>
              <w:rPr>
                <w:sz w:val="20"/>
                <w:szCs w:val="20"/>
                <w:color w:val="auto"/>
              </w:rPr>
            </w:pPr>
            <w:r>
              <w:rPr>
                <w:rFonts w:ascii="Arial" w:cs="Arial" w:eastAsia="Arial" w:hAnsi="Arial"/>
                <w:sz w:val="18"/>
                <w:szCs w:val="18"/>
                <w:b w:val="1"/>
                <w:bCs w:val="1"/>
                <w:color w:val="auto"/>
                <w:w w:val="82"/>
              </w:rPr>
              <w:t>shares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of Exercise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480" w:type="dxa"/>
            <w:vAlign w:val="bottom"/>
            <w:gridSpan w:val="4"/>
          </w:tcPr>
          <w:p>
            <w:pPr>
              <w:ind w:left="220"/>
              <w:spacing w:after="0"/>
              <w:rPr>
                <w:sz w:val="20"/>
                <w:szCs w:val="20"/>
                <w:color w:val="auto"/>
              </w:rPr>
            </w:pPr>
            <w:r>
              <w:rPr>
                <w:rFonts w:ascii="Arial" w:cs="Arial" w:eastAsia="Arial" w:hAnsi="Arial"/>
                <w:sz w:val="18"/>
                <w:szCs w:val="18"/>
                <w:b w:val="1"/>
                <w:bCs w:val="1"/>
                <w:color w:val="auto"/>
              </w:rPr>
              <w:t>Intrinsic Value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at December 31, 2014</w:t>
            </w:r>
          </w:p>
        </w:tc>
        <w:tc>
          <w:tcPr>
            <w:tcW w:w="8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18.22</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Exercised/Released</w:t>
            </w:r>
          </w:p>
        </w:tc>
        <w:tc>
          <w:tcPr>
            <w:tcW w:w="4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13.43</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18.24</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Cancelled/Forfeited</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at June 30, 2015</w:t>
            </w:r>
          </w:p>
        </w:tc>
        <w:tc>
          <w:tcPr>
            <w:tcW w:w="820" w:type="dxa"/>
            <w:vAlign w:val="bottom"/>
            <w:tcBorders>
              <w:top w:val="single" w:sz="8" w:color="auto"/>
              <w:bottom w:val="single" w:sz="8" w:color="auto"/>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3"/>
              </w:rPr>
              <w:t>128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EEEEEE"/>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9.30</w:t>
            </w:r>
          </w:p>
        </w:tc>
        <w:tc>
          <w:tcPr>
            <w:tcW w:w="340" w:type="dxa"/>
            <w:vAlign w:val="bottom"/>
            <w:tcBorders>
              <w:top w:val="single" w:sz="8" w:color="EEEEEE"/>
              <w:bottom w:val="single" w:sz="8" w:color="EEEEEE"/>
            </w:tcBorders>
            <w:gridSpan w:val="2"/>
            <w:shd w:val="clear" w:color="auto" w:fill="EEEEEE"/>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2,222</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vMerge w:val="restart"/>
          </w:tcPr>
          <w:p>
            <w:pPr>
              <w:spacing w:after="0"/>
              <w:rPr>
                <w:sz w:val="20"/>
                <w:szCs w:val="20"/>
                <w:color w:val="auto"/>
              </w:rPr>
            </w:pPr>
            <w:r>
              <w:rPr>
                <w:rFonts w:ascii="Arial" w:cs="Arial" w:eastAsia="Arial" w:hAnsi="Arial"/>
                <w:sz w:val="18"/>
                <w:szCs w:val="18"/>
                <w:color w:val="auto"/>
              </w:rPr>
              <w:t>Exercisable, June 30, 2015</w:t>
            </w: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940" w:type="dxa"/>
            <w:vAlign w:val="bottom"/>
            <w:tcBorders>
              <w:bottom w:val="single" w:sz="8" w:color="EEEEEE"/>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EEEEEE"/>
            </w:tcBorders>
            <w:vMerge w:val="continue"/>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040" w:type="dxa"/>
            <w:vAlign w:val="bottom"/>
            <w:tcBorders>
              <w:bottom w:val="single" w:sz="8" w:color="EEEEEE"/>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1000" w:type="dxa"/>
            <w:vAlign w:val="bottom"/>
            <w:tcBorders>
              <w:bottom w:val="single" w:sz="8" w:color="EEEEEE"/>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02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494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Vested and expected to vest</w:t>
            </w:r>
          </w:p>
        </w:tc>
        <w:tc>
          <w:tcPr>
            <w:tcW w:w="820" w:type="dxa"/>
            <w:vAlign w:val="bottom"/>
            <w:tcBorders>
              <w:bottom w:val="single" w:sz="8" w:color="auto"/>
            </w:tcBorders>
            <w:shd w:val="clear" w:color="auto" w:fill="EEEEEE"/>
          </w:tcPr>
          <w:p>
            <w:pPr>
              <w:spacing w:after="0"/>
              <w:rPr>
                <w:sz w:val="17"/>
                <w:szCs w:val="17"/>
                <w:color w:val="auto"/>
              </w:rPr>
            </w:pPr>
          </w:p>
        </w:tc>
        <w:tc>
          <w:tcPr>
            <w:tcW w:w="3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w w:val="93"/>
              </w:rPr>
              <w:t>123</w:t>
            </w:r>
          </w:p>
        </w:tc>
        <w:tc>
          <w:tcPr>
            <w:tcW w:w="1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04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gridSpan w:val="2"/>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EEEEEE"/>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9.29</w:t>
            </w:r>
          </w:p>
        </w:tc>
        <w:tc>
          <w:tcPr>
            <w:tcW w:w="340" w:type="dxa"/>
            <w:vAlign w:val="bottom"/>
            <w:tcBorders>
              <w:bottom w:val="single" w:sz="8" w:color="EEEEEE"/>
            </w:tcBorders>
            <w:gridSpan w:val="2"/>
            <w:shd w:val="clear" w:color="auto" w:fill="EEEEEE"/>
          </w:tcPr>
          <w:p>
            <w:pPr>
              <w:ind w:left="22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EEEEE"/>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2,127</w:t>
            </w:r>
          </w:p>
        </w:tc>
        <w:tc>
          <w:tcPr>
            <w:tcW w:w="12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above includes 57,600 RSA’s granted on January 30, 2015 and issued on March 5, 2015.</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of June 30, 2015 was $1.0 million of unrecognized compensation expense related to these RSU’s and RSA’s. This expense is expected to be recognized over 3.58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i w:val="1"/>
                <w:iCs w:val="1"/>
                <w:color w:val="auto"/>
              </w:rPr>
              <w:t>Share-Based Compensation</w:t>
            </w: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00" w:type="dxa"/>
            <w:vAlign w:val="bottom"/>
            <w:gridSpan w:val="8"/>
          </w:tcPr>
          <w:p>
            <w:pPr>
              <w:ind w:left="660"/>
              <w:spacing w:after="0"/>
              <w:rPr>
                <w:sz w:val="20"/>
                <w:szCs w:val="20"/>
                <w:color w:val="auto"/>
              </w:rPr>
            </w:pPr>
            <w:r>
              <w:rPr>
                <w:rFonts w:ascii="Arial" w:cs="Arial" w:eastAsia="Arial" w:hAnsi="Arial"/>
                <w:sz w:val="18"/>
                <w:szCs w:val="18"/>
                <w:color w:val="auto"/>
                <w:w w:val="89"/>
              </w:rPr>
              <w:t>Employee share-based compensation expenses recognized for the periods indicated (in thousands):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900" w:type="dxa"/>
            <w:vAlign w:val="bottom"/>
          </w:tcPr>
          <w:p>
            <w:pPr>
              <w:spacing w:after="0"/>
              <w:rPr>
                <w:sz w:val="24"/>
                <w:szCs w:val="24"/>
                <w:color w:val="auto"/>
              </w:rPr>
            </w:pPr>
          </w:p>
        </w:tc>
        <w:tc>
          <w:tcPr>
            <w:tcW w:w="3120" w:type="dxa"/>
            <w:vAlign w:val="bottom"/>
            <w:gridSpan w:val="5"/>
          </w:tcPr>
          <w:p>
            <w:pPr>
              <w:jc w:val="right"/>
              <w:ind w:right="125"/>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6"/>
          </w:tcPr>
          <w:p>
            <w:pPr>
              <w:ind w:left="3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900" w:type="dxa"/>
            <w:vAlign w:val="bottom"/>
          </w:tcPr>
          <w:p>
            <w:pPr>
              <w:spacing w:after="0"/>
              <w:rPr>
                <w:sz w:val="19"/>
                <w:szCs w:val="19"/>
                <w:color w:val="auto"/>
              </w:rPr>
            </w:pPr>
          </w:p>
        </w:tc>
        <w:tc>
          <w:tcPr>
            <w:tcW w:w="116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105"/>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Share-Based compensation - by expense type</w:t>
            </w:r>
          </w:p>
        </w:tc>
        <w:tc>
          <w:tcPr>
            <w:tcW w:w="1160" w:type="dxa"/>
            <w:vAlign w:val="bottom"/>
            <w:tcBorders>
              <w:top w:val="single" w:sz="8" w:color="auto"/>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ind w:left="300"/>
              <w:spacing w:after="0"/>
              <w:rPr>
                <w:sz w:val="20"/>
                <w:szCs w:val="20"/>
                <w:color w:val="auto"/>
              </w:rPr>
            </w:pPr>
            <w:r>
              <w:rPr>
                <w:rFonts w:ascii="Arial" w:cs="Arial" w:eastAsia="Arial" w:hAnsi="Arial"/>
                <w:sz w:val="18"/>
                <w:szCs w:val="18"/>
                <w:color w:val="auto"/>
              </w:rPr>
              <w:t>Cost of sales</w:t>
            </w:r>
          </w:p>
        </w:tc>
        <w:tc>
          <w:tcPr>
            <w:tcW w:w="1160" w:type="dxa"/>
            <w:vAlign w:val="bottom"/>
          </w:tcPr>
          <w:p>
            <w:pPr>
              <w:jc w:val="right"/>
              <w:ind w:right="99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340" w:type="dxa"/>
            <w:vAlign w:val="bottom"/>
            <w:gridSpan w:val="2"/>
          </w:tcPr>
          <w:p>
            <w:pPr>
              <w:jc w:val="right"/>
              <w:ind w:right="100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39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w:t>
            </w: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3900" w:type="dxa"/>
            <w:vAlign w:val="bottom"/>
          </w:tcPr>
          <w:p>
            <w:pPr>
              <w:ind w:left="300"/>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30"/>
        </w:trPr>
        <w:tc>
          <w:tcPr>
            <w:tcW w:w="39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EEEEEE"/>
          </w:tcPr>
          <w:p>
            <w:pPr>
              <w:spacing w:after="0"/>
              <w:rPr>
                <w:sz w:val="19"/>
                <w:szCs w:val="19"/>
                <w:color w:val="auto"/>
              </w:rPr>
            </w:pPr>
          </w:p>
        </w:tc>
        <w:tc>
          <w:tcPr>
            <w:tcW w:w="116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434</w:t>
            </w:r>
          </w:p>
        </w:tc>
        <w:tc>
          <w:tcPr>
            <w:tcW w:w="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801</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850</w:t>
            </w:r>
          </w:p>
        </w:tc>
      </w:tr>
      <w:tr>
        <w:trPr>
          <w:trHeight w:val="223"/>
        </w:trPr>
        <w:tc>
          <w:tcPr>
            <w:tcW w:w="39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900" w:type="dxa"/>
            <w:vAlign w:val="bottom"/>
          </w:tcPr>
          <w:p>
            <w:pPr>
              <w:spacing w:after="0"/>
              <w:rPr>
                <w:sz w:val="24"/>
                <w:szCs w:val="24"/>
                <w:color w:val="auto"/>
              </w:rPr>
            </w:pPr>
          </w:p>
        </w:tc>
        <w:tc>
          <w:tcPr>
            <w:tcW w:w="3120" w:type="dxa"/>
            <w:vAlign w:val="bottom"/>
            <w:gridSpan w:val="5"/>
          </w:tcPr>
          <w:p>
            <w:pPr>
              <w:jc w:val="right"/>
              <w:ind w:right="125"/>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6"/>
          </w:tcPr>
          <w:p>
            <w:pPr>
              <w:ind w:left="3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900" w:type="dxa"/>
            <w:vAlign w:val="bottom"/>
          </w:tcPr>
          <w:p>
            <w:pPr>
              <w:spacing w:after="0"/>
              <w:rPr>
                <w:sz w:val="19"/>
                <w:szCs w:val="19"/>
                <w:color w:val="auto"/>
              </w:rPr>
            </w:pPr>
          </w:p>
        </w:tc>
        <w:tc>
          <w:tcPr>
            <w:tcW w:w="116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105"/>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Share-Based compensation - by award type</w:t>
            </w:r>
          </w:p>
        </w:tc>
        <w:tc>
          <w:tcPr>
            <w:tcW w:w="1160" w:type="dxa"/>
            <w:vAlign w:val="bottom"/>
            <w:tcBorders>
              <w:top w:val="single" w:sz="8" w:color="auto"/>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ind w:left="300"/>
              <w:spacing w:after="0"/>
              <w:rPr>
                <w:sz w:val="20"/>
                <w:szCs w:val="20"/>
                <w:color w:val="auto"/>
              </w:rPr>
            </w:pPr>
            <w:r>
              <w:rPr>
                <w:rFonts w:ascii="Arial" w:cs="Arial" w:eastAsia="Arial" w:hAnsi="Arial"/>
                <w:sz w:val="18"/>
                <w:szCs w:val="18"/>
                <w:color w:val="auto"/>
              </w:rPr>
              <w:t>Employee stock options</w:t>
            </w:r>
          </w:p>
        </w:tc>
        <w:tc>
          <w:tcPr>
            <w:tcW w:w="1160" w:type="dxa"/>
            <w:vAlign w:val="bottom"/>
          </w:tcPr>
          <w:p>
            <w:pPr>
              <w:jc w:val="right"/>
              <w:ind w:right="99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1340" w:type="dxa"/>
            <w:vAlign w:val="bottom"/>
            <w:gridSpan w:val="2"/>
          </w:tcPr>
          <w:p>
            <w:pPr>
              <w:jc w:val="right"/>
              <w:ind w:right="100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419</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763</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r>
      <w:tr>
        <w:trPr>
          <w:trHeight w:val="216"/>
        </w:trPr>
        <w:tc>
          <w:tcPr>
            <w:tcW w:w="39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Restricted stock units/awards</w:t>
            </w:r>
          </w:p>
        </w:tc>
        <w:tc>
          <w:tcPr>
            <w:tcW w:w="11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85</w:t>
            </w: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286</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158</w:t>
            </w:r>
          </w:p>
        </w:tc>
      </w:tr>
      <w:tr>
        <w:trPr>
          <w:trHeight w:val="230"/>
        </w:trPr>
        <w:tc>
          <w:tcPr>
            <w:tcW w:w="3900" w:type="dxa"/>
            <w:vAlign w:val="bottom"/>
          </w:tcPr>
          <w:p>
            <w:pPr>
              <w:ind w:left="300"/>
              <w:spacing w:after="0"/>
              <w:rPr>
                <w:sz w:val="20"/>
                <w:szCs w:val="20"/>
                <w:color w:val="auto"/>
              </w:rPr>
            </w:pPr>
            <w:r>
              <w:rPr>
                <w:rFonts w:ascii="Arial" w:cs="Arial" w:eastAsia="Arial" w:hAnsi="Arial"/>
                <w:sz w:val="18"/>
                <w:szCs w:val="18"/>
                <w:color w:val="auto"/>
              </w:rPr>
              <w:t>Warrants</w:t>
            </w:r>
          </w:p>
        </w:tc>
        <w:tc>
          <w:tcPr>
            <w:tcW w:w="11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23"/>
        </w:trPr>
        <w:tc>
          <w:tcPr>
            <w:tcW w:w="390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ind w:right="99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ind w:right="100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has authorized the issuance of up to 45,000,000 shares of common stock, all of which have been designated voting common stock, under its Amended and Restated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has authorized the issuance of up to 5,000,000 shares of preferred stock under the Company’s Amended and Restated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and December 31, 2014, the Company had no outstanding warrants to purchase common or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September 25, 2013, our registration statement on Form S-1 for our initial public offering was declared effective by the Securities and Exchange Commission. The offering commenced on September 26, and the Company sold 3.6 million shares of its common stock in its initial public offering at a price of $10.00 per share, providing proceeds of $31.5 million, net of expenses and underwriting discounts and commissions. The Company’s initial public offering closed on October 1, 2013.</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March 19, 2014, the Company sold 2.0 million shares of its common stock in a secondary offering at a price of $24.25 per share, providing proceeds of $45.7 million, net of expenses and underwriting discounts and commissions. The Company’s sale of 1.6 million shares in the secondary offering closed on March 25, 2014 and the Company’s sale of an additional 0.4 million shares as a result of the underwriters’ exercise of their option to purchase additional shares closed on March 28, 2014.</w:t>
      </w:r>
    </w:p>
    <w:p>
      <w:pPr>
        <w:spacing w:after="0" w:line="18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On June 3, 2015, the Company filed a Securities Registration Statement on Form S-3 with the Securities and Exchange Commission effective June 23, 2015, providing for the public offer and sale of certain securities of the Company from time to time, at its discretion, up to an aggregate amount of $140 million. As of June 30, 2015, the Company has not sold any shares under this registration statement.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13. Segment and Geographic Information</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1" w:lineRule="exact"/>
        <w:rPr>
          <w:sz w:val="20"/>
          <w:szCs w:val="20"/>
          <w:color w:val="auto"/>
        </w:rPr>
      </w:pPr>
    </w:p>
    <w:p>
      <w:pPr>
        <w:jc w:val="both"/>
        <w:ind w:right="340"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000" w:type="dxa"/>
            <w:vAlign w:val="bottom"/>
            <w:gridSpan w:val="5"/>
          </w:tcPr>
          <w:p>
            <w:pPr>
              <w:jc w:val="right"/>
              <w:ind w:right="5"/>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6"/>
          </w:tcPr>
          <w:p>
            <w:pPr>
              <w:ind w:left="3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9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040" w:type="dxa"/>
            <w:vAlign w:val="bottom"/>
          </w:tcPr>
          <w:p>
            <w:pPr>
              <w:jc w:val="right"/>
              <w:ind w:right="87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10,960</w:t>
            </w:r>
          </w:p>
        </w:tc>
        <w:tc>
          <w:tcPr>
            <w:tcW w:w="122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6,987</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760"/>
              <w:spacing w:after="0"/>
              <w:rPr>
                <w:sz w:val="20"/>
                <w:szCs w:val="20"/>
                <w:color w:val="auto"/>
              </w:rPr>
            </w:pPr>
            <w:r>
              <w:rPr>
                <w:rFonts w:ascii="Arial" w:cs="Arial" w:eastAsia="Arial" w:hAnsi="Arial"/>
                <w:sz w:val="18"/>
                <w:szCs w:val="18"/>
                <w:color w:val="auto"/>
              </w:rPr>
              <w:t>18,254</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12,124</w:t>
            </w:r>
          </w:p>
        </w:tc>
      </w:tr>
      <w:tr>
        <w:trPr>
          <w:trHeight w:val="216"/>
        </w:trPr>
        <w:tc>
          <w:tcPr>
            <w:tcW w:w="39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Taiwan</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32,908</w:t>
            </w: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20,549</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ind w:left="760"/>
              <w:spacing w:after="0"/>
              <w:rPr>
                <w:sz w:val="20"/>
                <w:szCs w:val="20"/>
                <w:color w:val="auto"/>
              </w:rPr>
            </w:pPr>
            <w:r>
              <w:rPr>
                <w:rFonts w:ascii="Arial" w:cs="Arial" w:eastAsia="Arial" w:hAnsi="Arial"/>
                <w:sz w:val="18"/>
                <w:szCs w:val="18"/>
                <w:color w:val="auto"/>
              </w:rPr>
              <w:t>51,249</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34,889</w:t>
            </w:r>
          </w:p>
        </w:tc>
      </w:tr>
      <w:tr>
        <w:trPr>
          <w:trHeight w:val="230"/>
        </w:trPr>
        <w:tc>
          <w:tcPr>
            <w:tcW w:w="3900" w:type="dxa"/>
            <w:vAlign w:val="bottom"/>
          </w:tcPr>
          <w:p>
            <w:pPr>
              <w:ind w:left="300"/>
              <w:spacing w:after="0"/>
              <w:rPr>
                <w:sz w:val="20"/>
                <w:szCs w:val="20"/>
                <w:color w:val="auto"/>
              </w:rPr>
            </w:pPr>
            <w:r>
              <w:rPr>
                <w:rFonts w:ascii="Arial" w:cs="Arial" w:eastAsia="Arial" w:hAnsi="Arial"/>
                <w:sz w:val="18"/>
                <w:szCs w:val="18"/>
                <w:color w:val="auto"/>
              </w:rPr>
              <w:t>China</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5,764</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5,114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ind w:left="760"/>
              <w:spacing w:after="0"/>
              <w:rPr>
                <w:sz w:val="20"/>
                <w:szCs w:val="20"/>
                <w:color w:val="auto"/>
              </w:rPr>
            </w:pPr>
            <w:r>
              <w:rPr>
                <w:rFonts w:ascii="Arial" w:cs="Arial" w:eastAsia="Arial" w:hAnsi="Arial"/>
                <w:sz w:val="18"/>
                <w:szCs w:val="18"/>
                <w:color w:val="auto"/>
              </w:rPr>
              <w:t>10,363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10,496</w:t>
            </w:r>
          </w:p>
        </w:tc>
      </w:tr>
      <w:tr>
        <w:trPr>
          <w:trHeight w:val="223"/>
        </w:trPr>
        <w:tc>
          <w:tcPr>
            <w:tcW w:w="390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49,632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32,650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ind w:left="760"/>
              <w:spacing w:after="0"/>
              <w:rPr>
                <w:sz w:val="20"/>
                <w:szCs w:val="20"/>
                <w:color w:val="auto"/>
              </w:rPr>
            </w:pPr>
            <w:r>
              <w:rPr>
                <w:rFonts w:ascii="Arial" w:cs="Arial" w:eastAsia="Arial" w:hAnsi="Arial"/>
                <w:sz w:val="18"/>
                <w:szCs w:val="18"/>
                <w:color w:val="auto"/>
                <w:w w:val="83"/>
              </w:rPr>
              <w:t>79,866</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57,509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40" w:type="dxa"/>
            <w:vAlign w:val="bottom"/>
            <w:gridSpan w:val="6"/>
          </w:tcPr>
          <w:p>
            <w:pPr>
              <w:ind w:left="620"/>
              <w:spacing w:after="0"/>
              <w:rPr>
                <w:sz w:val="20"/>
                <w:szCs w:val="20"/>
                <w:color w:val="auto"/>
              </w:rPr>
            </w:pPr>
            <w:r>
              <w:rPr>
                <w:rFonts w:ascii="Arial" w:cs="Arial" w:eastAsia="Arial" w:hAnsi="Arial"/>
                <w:sz w:val="18"/>
                <w:szCs w:val="18"/>
                <w:b w:val="1"/>
                <w:bCs w:val="1"/>
                <w:color w:val="auto"/>
              </w:rPr>
              <w:t>As of the period ended</w:t>
            </w:r>
          </w:p>
        </w:tc>
      </w:tr>
      <w:tr>
        <w:trPr>
          <w:trHeight w:val="223"/>
        </w:trPr>
        <w:tc>
          <w:tcPr>
            <w:tcW w:w="39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b w:val="1"/>
                <w:bCs w:val="1"/>
                <w:color w:val="auto"/>
              </w:rPr>
              <w:t>June 30,</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3980" w:type="dxa"/>
            <w:vAlign w:val="bottom"/>
          </w:tcPr>
          <w:p>
            <w:pPr>
              <w:spacing w:after="0"/>
              <w:rPr>
                <w:sz w:val="19"/>
                <w:szCs w:val="19"/>
                <w:color w:val="auto"/>
              </w:rPr>
            </w:pPr>
          </w:p>
        </w:tc>
      </w:tr>
      <w:tr>
        <w:trPr>
          <w:trHeight w:val="210"/>
        </w:trPr>
        <w:tc>
          <w:tcPr>
            <w:tcW w:w="390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980" w:type="dxa"/>
            <w:vAlign w:val="bottom"/>
            <w:tcBorders>
              <w:bottom w:val="single" w:sz="8" w:color="EEEEEE"/>
            </w:tcBorders>
          </w:tcPr>
          <w:p>
            <w:pPr>
              <w:spacing w:after="0"/>
              <w:rPr>
                <w:sz w:val="18"/>
                <w:szCs w:val="18"/>
                <w:color w:val="auto"/>
              </w:rPr>
            </w:pPr>
          </w:p>
        </w:tc>
      </w:tr>
      <w:tr>
        <w:trPr>
          <w:trHeight w:val="21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Long-lived assets: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980" w:type="dxa"/>
            <w:vAlign w:val="bottom"/>
            <w:shd w:val="clear" w:color="auto" w:fill="EEEEEE"/>
          </w:tcPr>
          <w:p>
            <w:pPr>
              <w:spacing w:after="0"/>
              <w:rPr>
                <w:sz w:val="18"/>
                <w:szCs w:val="18"/>
                <w:color w:val="auto"/>
              </w:rPr>
            </w:pPr>
          </w:p>
        </w:tc>
      </w:tr>
      <w:tr>
        <w:trPr>
          <w:trHeight w:val="216"/>
        </w:trPr>
        <w:tc>
          <w:tcPr>
            <w:tcW w:w="390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24,524</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380" w:type="dxa"/>
            <w:vAlign w:val="bottom"/>
            <w:gridSpan w:val="2"/>
          </w:tcPr>
          <w:p>
            <w:pPr>
              <w:jc w:val="right"/>
              <w:ind w:right="3980"/>
              <w:spacing w:after="0"/>
              <w:rPr>
                <w:sz w:val="20"/>
                <w:szCs w:val="20"/>
                <w:color w:val="auto"/>
              </w:rPr>
            </w:pPr>
            <w:r>
              <w:rPr>
                <w:rFonts w:ascii="Arial" w:cs="Arial" w:eastAsia="Arial" w:hAnsi="Arial"/>
                <w:sz w:val="18"/>
                <w:szCs w:val="18"/>
                <w:color w:val="auto"/>
              </w:rPr>
              <w:t>15,875</w:t>
            </w:r>
          </w:p>
        </w:tc>
      </w:tr>
      <w:tr>
        <w:trPr>
          <w:trHeight w:val="216"/>
        </w:trPr>
        <w:tc>
          <w:tcPr>
            <w:tcW w:w="39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Taiwan</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40,632</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380" w:type="dxa"/>
            <w:vAlign w:val="bottom"/>
            <w:gridSpan w:val="2"/>
            <w:shd w:val="clear" w:color="auto" w:fill="EEEEEE"/>
          </w:tcPr>
          <w:p>
            <w:pPr>
              <w:jc w:val="right"/>
              <w:ind w:right="3980"/>
              <w:spacing w:after="0"/>
              <w:rPr>
                <w:sz w:val="20"/>
                <w:szCs w:val="20"/>
                <w:color w:val="auto"/>
              </w:rPr>
            </w:pPr>
            <w:r>
              <w:rPr>
                <w:rFonts w:ascii="Arial" w:cs="Arial" w:eastAsia="Arial" w:hAnsi="Arial"/>
                <w:sz w:val="18"/>
                <w:szCs w:val="18"/>
                <w:color w:val="auto"/>
              </w:rPr>
              <w:t>35,688</w:t>
            </w:r>
          </w:p>
        </w:tc>
      </w:tr>
      <w:tr>
        <w:trPr>
          <w:trHeight w:val="230"/>
        </w:trPr>
        <w:tc>
          <w:tcPr>
            <w:tcW w:w="3900" w:type="dxa"/>
            <w:vAlign w:val="bottom"/>
          </w:tcPr>
          <w:p>
            <w:pPr>
              <w:ind w:left="300"/>
              <w:spacing w:after="0"/>
              <w:rPr>
                <w:sz w:val="20"/>
                <w:szCs w:val="20"/>
                <w:color w:val="auto"/>
              </w:rPr>
            </w:pPr>
            <w:r>
              <w:rPr>
                <w:rFonts w:ascii="Arial" w:cs="Arial" w:eastAsia="Arial" w:hAnsi="Arial"/>
                <w:sz w:val="18"/>
                <w:szCs w:val="18"/>
                <w:color w:val="auto"/>
              </w:rPr>
              <w:t>China</w:t>
            </w:r>
          </w:p>
        </w:tc>
        <w:tc>
          <w:tcPr>
            <w:tcW w:w="2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18,578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80" w:type="dxa"/>
            <w:vAlign w:val="bottom"/>
            <w:gridSpan w:val="2"/>
          </w:tcPr>
          <w:p>
            <w:pPr>
              <w:jc w:val="right"/>
              <w:ind w:right="3980"/>
              <w:spacing w:after="0"/>
              <w:rPr>
                <w:sz w:val="20"/>
                <w:szCs w:val="20"/>
                <w:color w:val="auto"/>
              </w:rPr>
            </w:pPr>
            <w:r>
              <w:rPr>
                <w:rFonts w:ascii="Arial" w:cs="Arial" w:eastAsia="Arial" w:hAnsi="Arial"/>
                <w:sz w:val="18"/>
                <w:szCs w:val="18"/>
                <w:color w:val="auto"/>
              </w:rPr>
              <w:t>18,008</w:t>
            </w:r>
          </w:p>
        </w:tc>
      </w:tr>
      <w:tr>
        <w:trPr>
          <w:trHeight w:val="223"/>
        </w:trPr>
        <w:tc>
          <w:tcPr>
            <w:tcW w:w="390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83,734</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69,571</w:t>
            </w:r>
          </w:p>
        </w:tc>
        <w:tc>
          <w:tcPr>
            <w:tcW w:w="39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On July 14, 2015, the Company entered into an Equity Distribution Agreement with Raymond James &amp; Associates, Inc. (the “sales agent”) pursuant to which the Company may issue and sell shares of the Company’s stock having an aggregate offering price of up to $40 million (the “ATM Offering”) from time to time through the sales agent. On July 16, 2015, the Company commenced sales of common stock through the ATM Offering. As of August 5, 2015 the total gross sales were $3.3 million and the remaining amount of common stock we have available under the ATM Offering to sell was $36.7 million.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30, 2015, the Company’s Taiwan branch fully repaid its note payable with a financing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condensed consolidated financial statements and the related notes thereto included elsewhere in this Quarterly Report on Form 10-Q for the period ended June 30, 2015 and the audited consolidated financial statements and notes thereto and management’s discussion and analysis of financial condition and results of operations for the fiscal year ended December 31, 2014 included in our Annual Report on Form 10-K. References to “Applied Optoelectronics” “we,” “our” and “us” are to Applied Optoelectronics, Inc. and its subsidiaries unless otherwise specified or the context otherwise requires.</w:t>
      </w:r>
    </w:p>
    <w:p>
      <w:pPr>
        <w:spacing w:after="0" w:line="15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w:t>
      </w:r>
      <w:r>
        <w:rPr>
          <w:rFonts w:ascii="Arial" w:cs="Arial" w:eastAsia="Arial" w:hAnsi="Arial"/>
          <w:sz w:val="18"/>
          <w:szCs w:val="18"/>
          <w:color w:val="auto"/>
        </w:rPr>
        <w:t>"believe," "may,"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"continue," "anticipate," "intend," "should," "could," "would," "target," "seek," "aim," "believe," "predicts," "think," "objectives," "optimistic," "new," "goal," "strategy," "potential," "is likely," "will," "expect," "plan" "project," "permit" or by other similar expressions that convey uncertainty of future events or outcomes </w:t>
      </w:r>
      <w:r>
        <w:rPr>
          <w:rFonts w:ascii="Arial" w:cs="Arial" w:eastAsia="Arial" w:hAnsi="Arial"/>
          <w:sz w:val="18"/>
          <w:szCs w:val="18"/>
          <w:i w:val="1"/>
          <w:iCs w:val="1"/>
          <w:color w:val="auto"/>
        </w:rPr>
        <w:t>are intended to identify forward-looking statements.</w:t>
      </w:r>
    </w:p>
    <w:p>
      <w:pPr>
        <w:spacing w:after="0" w:line="18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are a leading, vertically integrated provider of fiber-optic networking products, primarily for three networking end-markets: internet data center, cable television, or CATV, and fiber-to-the-home, or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three of our target markets, which increasingly demand faster connectivity and innovation.</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three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desired bandwidth.</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5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partnered with our manufacturing locations. In our U.S. facility, we manufacture laser chips (utilizing our MBE process), subassemblies and components. The subassemblies are used in the manufacture of components by our other manufacturing facilities or sold to third parties as modules. We manufacture our laser chips only within our U.S.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internet data center, FTTH, and other markets. In our China facility, we take advantage of lower labor costs and manufacture certain more labor intensive components and optical equipment systems, such as optical subassemblies for the internet data center market, CATV transmitters (at the headend) and CATV outdoor equipment (at the node). Each facility conducts testing on the components, modules or subsystems it manufactures and each facility is certified to ISO 9001:2008. Our China and Taiwan facilities are both certified to ISO14001:2004.</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ind w:right="100" w:firstLine="648"/>
        <w:spacing w:after="0" w:line="255" w:lineRule="auto"/>
        <w:rPr>
          <w:sz w:val="20"/>
          <w:szCs w:val="20"/>
          <w:color w:val="auto"/>
        </w:rPr>
      </w:pPr>
      <w:r>
        <w:rPr>
          <w:rFonts w:ascii="Arial" w:cs="Arial" w:eastAsia="Arial" w:hAnsi="Arial"/>
          <w:sz w:val="18"/>
          <w:szCs w:val="18"/>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CATV, FTTH and internet data center customers. Throughout our sales cycle, we work closely with our customers to achieve design wins that we believe provide long-lasting relationships and promotes higher customer retention.</w:t>
      </w:r>
    </w:p>
    <w:p>
      <w:pPr>
        <w:spacing w:after="0" w:line="1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have grown our revenue at a 31.7% Compound Annual Growth Rate between 2009 and 2014, including 66.3% growth year-over-year from 2013 to 2014. Our revenue growth in 2014 was driven primarily by increasing revenue from our internet data center customers. Growth in the first six months of 2015 has been driven primarily by increasing revenue from our internet data center and CATV customers.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executive offices are located at 13115 Jess Pirtle Blvd., Sugar Land, TX 77478, and our telephone number is (281) 295-1800.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 forth our consolidated results of operations for the periods presented and as a percentage of our revenue for those periods.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4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2015</w:t>
            </w: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2014</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2014</w:t>
            </w:r>
          </w:p>
        </w:tc>
      </w:tr>
      <w:tr>
        <w:trPr>
          <w:trHeight w:val="210"/>
        </w:trPr>
        <w:tc>
          <w:tcPr>
            <w:tcW w:w="42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 net</w:t>
            </w: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100.0%</w:t>
            </w: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100.0%</w:t>
            </w:r>
          </w:p>
        </w:tc>
        <w:tc>
          <w:tcPr>
            <w:tcW w:w="34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66.3%</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65.7%</w:t>
            </w:r>
          </w:p>
        </w:tc>
        <w:tc>
          <w:tcPr>
            <w:tcW w:w="34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66.5%</w:t>
            </w:r>
          </w:p>
        </w:tc>
        <w:tc>
          <w:tcPr>
            <w:tcW w:w="160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10"/>
        </w:trPr>
        <w:tc>
          <w:tcPr>
            <w:tcW w:w="42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34.3%</w:t>
            </w:r>
          </w:p>
        </w:tc>
        <w:tc>
          <w:tcPr>
            <w:tcW w:w="34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34.5%</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9.5%</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11.9%</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General and administrative</w:t>
            </w: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9.1%</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11.9%</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w:t>
            </w:r>
          </w:p>
        </w:tc>
      </w:tr>
      <w:tr>
        <w:trPr>
          <w:trHeight w:val="210"/>
        </w:trPr>
        <w:tc>
          <w:tcPr>
            <w:tcW w:w="42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340" w:type="dxa"/>
            <w:vAlign w:val="bottom"/>
            <w:tcBorders>
              <w:bottom w:val="single" w:sz="8" w:color="EEEEEE"/>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bottom w:val="single" w:sz="8" w:color="EEEEEE"/>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10"/>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1020" w:type="dxa"/>
            <w:vAlign w:val="bottom"/>
            <w:tcBorders>
              <w:bottom w:val="single" w:sz="8" w:color="auto"/>
            </w:tcBorders>
            <w:shd w:val="clear" w:color="auto" w:fill="EEEEEE"/>
          </w:tcPr>
          <w:p>
            <w:pPr>
              <w:spacing w:after="0"/>
              <w:rPr>
                <w:sz w:val="18"/>
                <w:szCs w:val="18"/>
                <w:color w:val="auto"/>
              </w:rPr>
            </w:pPr>
          </w:p>
        </w:tc>
        <w:tc>
          <w:tcPr>
            <w:tcW w:w="5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EEEEEE"/>
          </w:tcPr>
          <w:p>
            <w:pPr>
              <w:spacing w:after="0"/>
              <w:rPr>
                <w:sz w:val="18"/>
                <w:szCs w:val="18"/>
                <w:color w:val="auto"/>
              </w:rPr>
            </w:pPr>
          </w:p>
        </w:tc>
        <w:tc>
          <w:tcPr>
            <w:tcW w:w="1020" w:type="dxa"/>
            <w:vAlign w:val="bottom"/>
            <w:tcBorders>
              <w:bottom w:val="single" w:sz="8" w:color="auto"/>
            </w:tcBorders>
            <w:shd w:val="clear" w:color="auto" w:fill="EEEEEE"/>
          </w:tcPr>
          <w:p>
            <w:pPr>
              <w:spacing w:after="0"/>
              <w:rPr>
                <w:sz w:val="18"/>
                <w:szCs w:val="18"/>
                <w:color w:val="auto"/>
              </w:rPr>
            </w:pPr>
          </w:p>
        </w:tc>
        <w:tc>
          <w:tcPr>
            <w:tcW w:w="5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EEEEEE"/>
          </w:tcPr>
          <w:p>
            <w:pPr>
              <w:spacing w:after="0"/>
              <w:rPr>
                <w:sz w:val="18"/>
                <w:szCs w:val="18"/>
                <w:color w:val="auto"/>
              </w:rPr>
            </w:pPr>
          </w:p>
        </w:tc>
        <w:tc>
          <w:tcPr>
            <w:tcW w:w="1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EEEEEE"/>
          </w:tcPr>
          <w:p>
            <w:pPr>
              <w:spacing w:after="0"/>
              <w:rPr>
                <w:sz w:val="18"/>
                <w:szCs w:val="18"/>
                <w:color w:val="auto"/>
              </w:rPr>
            </w:pPr>
          </w:p>
        </w:tc>
        <w:tc>
          <w:tcPr>
            <w:tcW w:w="1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Interest income</w:t>
            </w: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0.2%</w:t>
            </w:r>
          </w:p>
        </w:tc>
        <w:tc>
          <w:tcPr>
            <w:tcW w:w="10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0.3%</w:t>
            </w:r>
          </w:p>
        </w:tc>
        <w:tc>
          <w:tcPr>
            <w:tcW w:w="1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0.2%</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0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6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52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Other expense, net</w:t>
            </w: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w:t>
            </w:r>
          </w:p>
        </w:tc>
        <w:tc>
          <w:tcPr>
            <w:tcW w:w="10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0.7%</w:t>
            </w:r>
          </w:p>
        </w:tc>
        <w:tc>
          <w:tcPr>
            <w:tcW w:w="1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Total other expense</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5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12.6%</w:t>
            </w:r>
          </w:p>
        </w:tc>
        <w:tc>
          <w:tcPr>
            <w:tcW w:w="10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6.1%</w:t>
            </w:r>
          </w:p>
        </w:tc>
        <w:tc>
          <w:tcPr>
            <w:tcW w:w="1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7.0%</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0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6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0"/>
        </w:trPr>
        <w:tc>
          <w:tcPr>
            <w:tcW w:w="42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top w:val="single" w:sz="8" w:color="EEEEEE"/>
              <w:bottom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340" w:type="dxa"/>
            <w:vAlign w:val="bottom"/>
            <w:tcBorders>
              <w:top w:val="single" w:sz="8" w:color="EEEEEE"/>
              <w:bottom w:val="single" w:sz="8" w:color="EEEEEE"/>
            </w:tcBorders>
            <w:shd w:val="clear" w:color="auto" w:fill="EEEEEE"/>
          </w:tcPr>
          <w:p>
            <w:pPr>
              <w:spacing w:after="0"/>
              <w:rPr>
                <w:sz w:val="18"/>
                <w:szCs w:val="18"/>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656"/>
        </w:trPr>
        <w:tc>
          <w:tcPr>
            <w:tcW w:w="4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CATV, FTTH and internet data center markets. We derive a significant portion of our revenue from our top ten customers, and we anticipate that we will continue to do so for the foreseeable future. We also anticipate that our revenue derived from the internet data center market will continue to increase as a percentage of our revenue as we further penetrate and extend our products into this market. The following charts provide the revenue contribution from each of the markets we served for the three and six months ended June 30, 2015 and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780" w:type="dxa"/>
            <w:vAlign w:val="bottom"/>
            <w:gridSpan w:val="4"/>
          </w:tcPr>
          <w:p>
            <w:pPr>
              <w:ind w:left="580"/>
              <w:spacing w:after="0"/>
              <w:rPr>
                <w:sz w:val="20"/>
                <w:szCs w:val="20"/>
                <w:color w:val="auto"/>
              </w:rPr>
            </w:pPr>
            <w:r>
              <w:rPr>
                <w:rFonts w:ascii="Arial" w:cs="Arial" w:eastAsia="Arial" w:hAnsi="Arial"/>
                <w:sz w:val="18"/>
                <w:szCs w:val="18"/>
                <w:b w:val="1"/>
                <w:bCs w:val="1"/>
                <w:color w:val="auto"/>
              </w:rPr>
              <w:t>Three months ended June 30,</w:t>
            </w:r>
          </w:p>
        </w:tc>
        <w:tc>
          <w:tcPr>
            <w:tcW w:w="34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4240" w:type="dxa"/>
            <w:vAlign w:val="bottom"/>
            <w:tcBorders>
              <w:bottom w:val="single" w:sz="8" w:color="EEEEEE"/>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bottom w:val="single" w:sz="8" w:color="EEEEEE"/>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EEEEEE"/>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bottom w:val="single" w:sz="8" w:color="EEEEEE"/>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10"/>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CATV</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32.6%</w:t>
            </w:r>
          </w:p>
        </w:tc>
        <w:tc>
          <w:tcPr>
            <w:tcW w:w="34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Data Center</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1600" w:type="dxa"/>
            <w:vAlign w:val="bottom"/>
          </w:tcPr>
          <w:p>
            <w:pPr>
              <w:jc w:val="right"/>
              <w:spacing w:after="0"/>
              <w:rPr>
                <w:sz w:val="20"/>
                <w:szCs w:val="20"/>
                <w:color w:val="auto"/>
              </w:rPr>
            </w:pPr>
            <w:r>
              <w:rPr>
                <w:rFonts w:ascii="Arial" w:cs="Arial" w:eastAsia="Arial" w:hAnsi="Arial"/>
                <w:sz w:val="18"/>
                <w:szCs w:val="18"/>
                <w:color w:val="auto"/>
              </w:rPr>
              <w:t>54.8%</w:t>
            </w:r>
          </w:p>
        </w:tc>
        <w:tc>
          <w:tcPr>
            <w:tcW w:w="34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57.5%</w:t>
            </w:r>
          </w:p>
        </w:tc>
        <w:tc>
          <w:tcPr>
            <w:tcW w:w="160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1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2.6%</w:t>
            </w:r>
          </w:p>
        </w:tc>
        <w:tc>
          <w:tcPr>
            <w:tcW w:w="1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9.5%</w:t>
            </w:r>
          </w:p>
        </w:tc>
        <w:tc>
          <w:tcPr>
            <w:tcW w:w="1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4240" w:type="dxa"/>
            <w:vAlign w:val="bottom"/>
            <w:tcBorders>
              <w:top w:val="single" w:sz="8" w:color="EEEEEE"/>
              <w:bottom w:val="single" w:sz="8" w:color="EEEEEE"/>
            </w:tcBorders>
            <w:shd w:val="clear" w:color="auto" w:fill="EEEEEE"/>
          </w:tcPr>
          <w:p>
            <w:pPr>
              <w:spacing w:after="0"/>
              <w:rPr>
                <w:sz w:val="18"/>
                <w:szCs w:val="18"/>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EEEEEE"/>
              <w:bottom w:val="single" w:sz="8" w:color="EEEEEE"/>
            </w:tcBorders>
            <w:shd w:val="clear" w:color="auto" w:fill="EEEEEE"/>
          </w:tcPr>
          <w:p>
            <w:pPr>
              <w:spacing w:after="0"/>
              <w:rPr>
                <w:sz w:val="18"/>
                <w:szCs w:val="18"/>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EEEEEE"/>
              <w:bottom w:val="single" w:sz="8" w:color="EEEEEE"/>
            </w:tcBorders>
            <w:shd w:val="clear" w:color="auto" w:fill="EEEEEE"/>
          </w:tcPr>
          <w:p>
            <w:pPr>
              <w:spacing w:after="0"/>
              <w:rPr>
                <w:sz w:val="18"/>
                <w:szCs w:val="18"/>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2014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6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6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0"/>
        </w:trPr>
        <w:tc>
          <w:tcPr>
            <w:tcW w:w="24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CATV</w:t>
            </w: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16,428</w:t>
            </w:r>
          </w:p>
        </w:tc>
        <w:tc>
          <w:tcPr>
            <w:tcW w:w="2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10,646</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5,782</w:t>
            </w:r>
          </w:p>
        </w:tc>
        <w:tc>
          <w:tcPr>
            <w:tcW w:w="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6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28,442</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20,394</w:t>
            </w: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8,048</w:t>
            </w:r>
          </w:p>
        </w:tc>
        <w:tc>
          <w:tcPr>
            <w:tcW w:w="20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6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Data Center</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29,610</w:t>
            </w: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17,899</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11,711</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45,926</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29,474</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16,452</w:t>
            </w: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r>
      <w:tr>
        <w:trPr>
          <w:trHeight w:val="216"/>
        </w:trPr>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1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1,287</w:t>
            </w:r>
          </w:p>
        </w:tc>
        <w:tc>
          <w:tcPr>
            <w:tcW w:w="2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3,096</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(1,809)</w:t>
            </w: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1,409</w:t>
            </w:r>
          </w:p>
        </w:tc>
        <w:tc>
          <w:tcPr>
            <w:tcW w:w="2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5,312</w:t>
            </w:r>
          </w:p>
        </w:tc>
        <w:tc>
          <w:tcPr>
            <w:tcW w:w="1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(3,903)</w:t>
            </w:r>
          </w:p>
        </w:tc>
        <w:tc>
          <w:tcPr>
            <w:tcW w:w="2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(73.5%)</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2,307</w:t>
            </w:r>
          </w:p>
        </w:tc>
        <w:tc>
          <w:tcPr>
            <w:tcW w:w="2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128.6%</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4,089</w:t>
            </w: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1,760</w:t>
            </w:r>
          </w:p>
        </w:tc>
        <w:tc>
          <w:tcPr>
            <w:tcW w:w="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r>
      <w:tr>
        <w:trPr>
          <w:trHeight w:val="223"/>
        </w:trPr>
        <w:tc>
          <w:tcPr>
            <w:tcW w:w="242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49,632</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32,650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16,982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79,866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57,509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22,357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Revenues in the internet data center market were driven primarily by increasing demand for our 40 gigabits per second transceivers as our customers continued to upgrade their technology infrastructure. The decrease in revenue in our FTTH market is due to decreased demand from our major FTTH customer. The increase in revenues in the CATV market for the year was a result of revenue derived from newly-designed products that have begun to be sold in higher quantities by our 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2015, our top ten customers represented 90.5% and 89.8% of our revenue,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June 30,</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Amount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7"/>
              </w:rPr>
              <w:t>Amount</w:t>
            </w: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Revenue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7"/>
              </w:rPr>
              <w:t>Amount</w:t>
            </w: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5"/>
          </w:tcPr>
          <w:p>
            <w:pPr>
              <w:ind w:left="20"/>
              <w:spacing w:after="0"/>
              <w:rPr>
                <w:sz w:val="20"/>
                <w:szCs w:val="20"/>
                <w:color w:val="auto"/>
              </w:rPr>
            </w:pPr>
            <w:r>
              <w:rPr>
                <w:rFonts w:ascii="Arial" w:cs="Arial" w:eastAsia="Arial" w:hAnsi="Arial"/>
                <w:sz w:val="18"/>
                <w:szCs w:val="18"/>
                <w:b w:val="1"/>
                <w:bCs w:val="1"/>
                <w:color w:val="auto"/>
                <w:w w:val="87"/>
              </w:rPr>
              <w:t>(in thousands, except percentages)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32,901</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66.3%</w:t>
            </w:r>
          </w:p>
        </w:tc>
        <w:tc>
          <w:tcPr>
            <w:tcW w:w="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21,462</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65.7%</w:t>
            </w:r>
          </w:p>
        </w:tc>
        <w:tc>
          <w:tcPr>
            <w:tcW w:w="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11,439</w:t>
            </w: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53.3%</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Gross profit/margin</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16,731</w:t>
            </w:r>
          </w:p>
        </w:tc>
        <w:tc>
          <w:tcPr>
            <w:tcW w:w="960" w:type="dxa"/>
            <w:vAlign w:val="bottom"/>
          </w:tcPr>
          <w:p>
            <w:pPr>
              <w:jc w:val="right"/>
              <w:spacing w:after="0"/>
              <w:rPr>
                <w:sz w:val="20"/>
                <w:szCs w:val="20"/>
                <w:color w:val="auto"/>
              </w:rPr>
            </w:pPr>
            <w:r>
              <w:rPr>
                <w:rFonts w:ascii="Arial" w:cs="Arial" w:eastAsia="Arial" w:hAnsi="Arial"/>
                <w:sz w:val="18"/>
                <w:szCs w:val="18"/>
                <w:color w:val="auto"/>
              </w:rPr>
              <w:t>33.7%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11,188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5,543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r>
      <w:tr>
        <w:trPr>
          <w:trHeight w:val="458"/>
        </w:trPr>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88"/>
              </w:rPr>
              <w:t>Six months ended June 30,</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Amount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7"/>
              </w:rPr>
              <w:t>Amount</w:t>
            </w: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Revenue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7"/>
              </w:rPr>
              <w:t>Amount</w:t>
            </w: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5"/>
          </w:tcPr>
          <w:p>
            <w:pPr>
              <w:ind w:left="20"/>
              <w:spacing w:after="0"/>
              <w:rPr>
                <w:sz w:val="20"/>
                <w:szCs w:val="20"/>
                <w:color w:val="auto"/>
              </w:rPr>
            </w:pPr>
            <w:r>
              <w:rPr>
                <w:rFonts w:ascii="Arial" w:cs="Arial" w:eastAsia="Arial" w:hAnsi="Arial"/>
                <w:sz w:val="18"/>
                <w:szCs w:val="18"/>
                <w:b w:val="1"/>
                <w:bCs w:val="1"/>
                <w:color w:val="auto"/>
                <w:w w:val="87"/>
              </w:rPr>
              <w:t>(in thousands, except percentages)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53,084</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66.5%</w:t>
            </w:r>
          </w:p>
        </w:tc>
        <w:tc>
          <w:tcPr>
            <w:tcW w:w="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37,668</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65.5%</w:t>
            </w:r>
          </w:p>
        </w:tc>
        <w:tc>
          <w:tcPr>
            <w:tcW w:w="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15,416</w:t>
            </w: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40.9%</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Gross profit/margin</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26,782</w:t>
            </w: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19,841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6,941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bl>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Cost of goods sold increased by $11.4 million, or 53.3%, from the three months ended June 30, 2014 to 2015, primarily due to a 52.0% increase in sales over the prior year. Cost of goods sold increased by $15.4 million, or 40.9%, from the six months ended June 30, 2014 to 2015, primarily due to a 38.9% increase in sales over the prior year. Within our markets, we sell similar products in different geographic regions at different prices, resulting in different gross margins among our products. The decrease in gross margin for both the three and six months ended June 30, 2015 compared to the same periods ended June 30, 2014 were primarily the result of a product mix in our internet data center and CATV products.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operating expenses</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8"/>
                <w:szCs w:val="18"/>
                <w:b w:val="1"/>
                <w:bCs w:val="1"/>
                <w:color w:val="auto"/>
                <w:w w:val="88"/>
              </w:rPr>
              <w:t>Three months ended 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9"/>
              </w:rPr>
              <w:t>Amount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b w:val="1"/>
                <w:bCs w:val="1"/>
                <w:color w:val="auto"/>
                <w:w w:val="97"/>
              </w:rPr>
              <w:t>Amount</w:t>
            </w: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Revenue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80" w:type="dxa"/>
            <w:vAlign w:val="bottom"/>
            <w:gridSpan w:val="7"/>
          </w:tcPr>
          <w:p>
            <w:pPr>
              <w:ind w:left="20"/>
              <w:spacing w:after="0" w:line="195" w:lineRule="exact"/>
              <w:rPr>
                <w:sz w:val="20"/>
                <w:szCs w:val="20"/>
                <w:color w:val="auto"/>
              </w:rPr>
            </w:pPr>
            <w:r>
              <w:rPr>
                <w:rFonts w:ascii="Arial" w:cs="Arial" w:eastAsia="Arial" w:hAnsi="Arial"/>
                <w:sz w:val="18"/>
                <w:szCs w:val="18"/>
                <w:b w:val="1"/>
                <w:bCs w:val="1"/>
                <w:color w:val="auto"/>
                <w:w w:val="87"/>
              </w:rPr>
              <w:t>(in thousands, except percentages)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4,009</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692</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1,607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4,534</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3,952</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10,842</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w w:val="88"/>
              </w:rPr>
              <w:t>Six months ended June 30,</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9"/>
              </w:rPr>
              <w:t>Amount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b w:val="1"/>
                <w:bCs w:val="1"/>
                <w:color w:val="auto"/>
                <w:w w:val="97"/>
              </w:rPr>
              <w:t>Amount</w:t>
            </w: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Revenue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80" w:type="dxa"/>
            <w:vAlign w:val="bottom"/>
            <w:gridSpan w:val="7"/>
          </w:tcPr>
          <w:p>
            <w:pPr>
              <w:ind w:left="20"/>
              <w:spacing w:after="0" w:line="195" w:lineRule="exact"/>
              <w:rPr>
                <w:sz w:val="20"/>
                <w:szCs w:val="20"/>
                <w:color w:val="auto"/>
              </w:rPr>
            </w:pPr>
            <w:r>
              <w:rPr>
                <w:rFonts w:ascii="Arial" w:cs="Arial" w:eastAsia="Arial" w:hAnsi="Arial"/>
                <w:sz w:val="18"/>
                <w:szCs w:val="18"/>
                <w:b w:val="1"/>
                <w:bCs w:val="1"/>
                <w:color w:val="auto"/>
                <w:w w:val="87"/>
              </w:rPr>
              <w:t>(in thousands, except percentages)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9,506</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7,555</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1,951</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3,166</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9,537</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7,506</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2,031</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22,209</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-2083435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-1809115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-599440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-325120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3300" w:space="720"/>
            <w:col w:w="7400"/>
          </w:cols>
          <w:pgMar w:left="240" w:top="665" w:right="239" w:bottom="1035" w:gutter="0" w:footer="0" w:header="0"/>
        </w:sectPr>
      </w:pPr>
    </w:p>
    <w:p>
      <w:pPr>
        <w:spacing w:after="0" w:line="6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Research and development expense increased by $0.7 million, or 17.3%, from the three months ended June 30, 2014 compared to the three months ended June 30, 2015. Research and development expense increased by $2.0 million, or 25.8%, from the six months ended June 30, 2014 compared to the six months ended June 30, 2015. This was primarily due to increases in personnel costs, rent and utilities, R&amp;D work orders and project costs related to 100G data center products, DOCSIS 3.1-capable CATV products, and other new product development, and increase in depreciation expense resulting from additional R&amp;D equipment investments. The percentage of research and development expenses over sales decreased from 12.3% to 9.5%, from the three months ended June 30, 2014 compared to the three months ended June 30, 2015. The percentage of research and development expenses over sales decreased from 13.1% to 11.9% from the six months ended June 30, 2014 compared to the six months ended June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Sales and marketing expense increased by $0.1 million, or 7.3%, from the three months ended June 30, 2014 compared to the three months ended June 30, 2015. Sales and marketing expense increased by $0.3 million, or 11.9%, from the six months ended June 30, 2014 compared to the six months ended June 30, 2015. This was due to an increase in expenses for a new sales incentive program which was implemented in May, 2014, and an increase in sales commissions directly related to our revenue growth. The percentage of sales and marketing expenses over sales decreased from 4.6% to 3.2%, from the three months ended June 30, 2014 compared to the three months ended June 30, 2015. The percentage of sales and marketing expenses over sales decreased from 4.9% to 4.0% from the six months ended June 30, 2014 compared to the six months ended June 30, 2015.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General and administrative expense increased by $0.6 million, or 14.7%, from the three months ended June 30, 2014 compared to the three months ended June 30, 2015. General and administrative expense increased by $2.0 million, or 27.1%, from the six months ended June 30, 2014 compared to the six months ended June 30, 2015. This was primarily due to an increase in payroll and benefits, share-based compensation expense and professional fees as well as non-recurring expenses related to the relocation of our Taiwan plant. The percentage of general and administrative expenses over sales decreased from 12.1% to 9.1%, from the three months ended June 30, 2014 compared to the three months ended June 30, 2015. The percentage of sales general and administrative expenses over sales decreased from 13.1% to 11.9% from the six months ended June 30, 2014 compared to the six months ended June 30,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8"/>
                <w:szCs w:val="18"/>
                <w:b w:val="1"/>
                <w:bCs w:val="1"/>
                <w:color w:val="auto"/>
                <w:w w:val="88"/>
              </w:rPr>
              <w:t>Three months ended June 30,</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 of</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w w:val="99"/>
              </w:rPr>
              <w:t>Amount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Revenue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b w:val="1"/>
                <w:bCs w:val="1"/>
                <w:color w:val="auto"/>
                <w:w w:val="97"/>
              </w:rPr>
              <w:t>Amount</w:t>
            </w:r>
          </w:p>
        </w:tc>
        <w:tc>
          <w:tcPr>
            <w:tcW w:w="10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3"/>
              </w:rPr>
              <w:t>Revenue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80" w:type="dxa"/>
            <w:vAlign w:val="bottom"/>
            <w:gridSpan w:val="7"/>
          </w:tcPr>
          <w:p>
            <w:pPr>
              <w:jc w:val="right"/>
              <w:ind w:right="40"/>
              <w:spacing w:after="0"/>
              <w:rPr>
                <w:sz w:val="20"/>
                <w:szCs w:val="20"/>
                <w:color w:val="auto"/>
              </w:rPr>
            </w:pPr>
            <w:r>
              <w:rPr>
                <w:rFonts w:ascii="Arial" w:cs="Arial" w:eastAsia="Arial" w:hAnsi="Arial"/>
                <w:sz w:val="18"/>
                <w:szCs w:val="18"/>
                <w:b w:val="1"/>
                <w:bCs w:val="1"/>
                <w:color w:val="auto"/>
                <w:w w:val="86"/>
              </w:rPr>
              <w:t>(in thousands, except percentages)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0.3%</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r>
      <w:tr>
        <w:trPr>
          <w:trHeight w:val="230"/>
        </w:trPr>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EEEEEE"/>
          </w:tcPr>
          <w:p>
            <w:pPr>
              <w:spacing w:after="0"/>
              <w:rPr>
                <w:sz w:val="19"/>
                <w:szCs w:val="19"/>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327</w:t>
            </w:r>
          </w:p>
        </w:tc>
        <w:tc>
          <w:tcPr>
            <w:tcW w:w="30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143.4%</w:t>
            </w:r>
          </w:p>
        </w:tc>
      </w:tr>
      <w:tr>
        <w:trPr>
          <w:trHeight w:val="223"/>
        </w:trPr>
        <w:tc>
          <w:tcPr>
            <w:tcW w:w="3320" w:type="dxa"/>
            <w:vAlign w:val="bottom"/>
          </w:tcPr>
          <w:p>
            <w:pPr>
              <w:ind w:left="180"/>
              <w:spacing w:after="0"/>
              <w:rPr>
                <w:sz w:val="20"/>
                <w:szCs w:val="20"/>
                <w:color w:val="auto"/>
              </w:rPr>
            </w:pPr>
            <w:r>
              <w:rPr>
                <w:rFonts w:ascii="Arial" w:cs="Arial" w:eastAsia="Arial" w:hAnsi="Arial"/>
                <w:sz w:val="18"/>
                <w:szCs w:val="18"/>
                <w:color w:val="auto"/>
              </w:rPr>
              <w:t>Total Other income (expense), net</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3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035" w:gutter="0" w:footer="0" w:header="0"/>
          <w:type w:val="continuous"/>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w w:val="88"/>
              </w:rPr>
              <w:t>Six months ended 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3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 of</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8"/>
                <w:szCs w:val="18"/>
                <w:b w:val="1"/>
                <w:bCs w:val="1"/>
                <w:color w:val="auto"/>
                <w:w w:val="99"/>
              </w:rPr>
              <w:t>Amount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b w:val="1"/>
                <w:bCs w:val="1"/>
                <w:color w:val="auto"/>
                <w:w w:val="97"/>
              </w:rPr>
              <w:t>Amount</w:t>
            </w:r>
          </w:p>
        </w:tc>
        <w:tc>
          <w:tcPr>
            <w:tcW w:w="10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3"/>
              </w:rPr>
              <w:t>Revenue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7"/>
          </w:tcPr>
          <w:p>
            <w:pPr>
              <w:jc w:val="right"/>
              <w:ind w:right="40"/>
              <w:spacing w:after="0"/>
              <w:rPr>
                <w:sz w:val="20"/>
                <w:szCs w:val="20"/>
                <w:color w:val="auto"/>
              </w:rPr>
            </w:pPr>
            <w:r>
              <w:rPr>
                <w:rFonts w:ascii="Arial" w:cs="Arial" w:eastAsia="Arial" w:hAnsi="Arial"/>
                <w:sz w:val="18"/>
                <w:szCs w:val="18"/>
                <w:b w:val="1"/>
                <w:bCs w:val="1"/>
                <w:color w:val="auto"/>
                <w:w w:val="86"/>
              </w:rPr>
              <w:t>(in thousands, except percentages)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0.3%</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(16.8%)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91.4%</w:t>
            </w:r>
          </w:p>
        </w:tc>
        <w:tc>
          <w:tcPr>
            <w:tcW w:w="80" w:type="dxa"/>
            <w:vAlign w:val="bottom"/>
          </w:tcPr>
          <w:p>
            <w:pPr>
              <w:spacing w:after="0"/>
              <w:rPr>
                <w:sz w:val="18"/>
                <w:szCs w:val="18"/>
                <w:color w:val="auto"/>
              </w:rPr>
            </w:pPr>
          </w:p>
        </w:tc>
      </w:tr>
      <w:tr>
        <w:trPr>
          <w:trHeight w:val="230"/>
        </w:trPr>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Other income (Net of expense)</w:t>
            </w:r>
          </w:p>
        </w:tc>
        <w:tc>
          <w:tcPr>
            <w:tcW w:w="6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1,247</w:t>
            </w:r>
          </w:p>
        </w:tc>
        <w:tc>
          <w:tcPr>
            <w:tcW w:w="8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0.3%</w:t>
            </w:r>
          </w:p>
        </w:tc>
        <w:tc>
          <w:tcPr>
            <w:tcW w:w="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1,046</w:t>
            </w:r>
          </w:p>
        </w:tc>
        <w:tc>
          <w:tcPr>
            <w:tcW w:w="30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520.4%</w:t>
            </w:r>
          </w:p>
        </w:tc>
        <w:tc>
          <w:tcPr>
            <w:tcW w:w="80" w:type="dxa"/>
            <w:vAlign w:val="bottom"/>
            <w:shd w:val="clear" w:color="auto" w:fill="EEEEEE"/>
          </w:tcPr>
          <w:p>
            <w:pPr>
              <w:spacing w:after="0"/>
              <w:rPr>
                <w:sz w:val="19"/>
                <w:szCs w:val="19"/>
                <w:color w:val="auto"/>
              </w:rPr>
            </w:pPr>
          </w:p>
        </w:tc>
      </w:tr>
      <w:tr>
        <w:trPr>
          <w:trHeight w:val="223"/>
        </w:trPr>
        <w:tc>
          <w:tcPr>
            <w:tcW w:w="3420" w:type="dxa"/>
            <w:vAlign w:val="bottom"/>
          </w:tcPr>
          <w:p>
            <w:pPr>
              <w:ind w:left="180"/>
              <w:spacing w:after="0"/>
              <w:rPr>
                <w:sz w:val="20"/>
                <w:szCs w:val="20"/>
                <w:color w:val="auto"/>
              </w:rPr>
            </w:pPr>
            <w:r>
              <w:rPr>
                <w:rFonts w:ascii="Arial" w:cs="Arial" w:eastAsia="Arial" w:hAnsi="Arial"/>
                <w:sz w:val="18"/>
                <w:szCs w:val="18"/>
                <w:color w:val="auto"/>
              </w:rPr>
              <w:t>Total Other income (Net of expense)</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decreased over the same prior year periods due to lower cash and investment balances.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Interest expense increased overall for the periods due to the benefit of lower interest rates offset by new borrowing activities during the three and six months ended June 30, 2015.</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Other income increased by $0.3 million for the three months ended June 30, 2015 compared to the same period of the prior year due to $0.7 million unrealized foreign exchange gain resulting from the fluctuation of Asia currencies against the U.S. dollar offset by $0.2 million realized exchange loss and $0.2 million non-recurring plant restoration expenses associated with Taiwan plant relocation.</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Other income increased by $1.0 million for the six months ended June 30, 2015 compared to the same period in 2014 due to an increase of $0.9 million in unrealized foreign exchange gain resulting from the fluctuation of Asia currencies against the U.S. dollar, $0.1 million from insurance claims, $0.1 million from realized exchange gain and offset by a decrease of $0.2 million in non-recurring plant restoration expenses. We qualify as a high-tech enterprise in China, as determined by a Chinese government, and are paid subsidies from time to time by the Chinese government to foster local high-tech manufacturing. We received $0.1 million more subsidy in the six months ended June 30, 2015 compared to the same period in 2014.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i w:val="1"/>
                <w:iCs w:val="1"/>
                <w:color w:val="auto"/>
              </w:rPr>
              <w:t>Provision for income taxes</w:t>
            </w: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9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Three months ended June 30,</w:t>
            </w:r>
          </w:p>
        </w:tc>
        <w:tc>
          <w:tcPr>
            <w:tcW w:w="1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2014</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(in thousands, except percentages)</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(135)</w:t>
            </w:r>
          </w:p>
        </w:tc>
        <w:tc>
          <w:tcPr>
            <w:tcW w:w="4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2880" w:type="dxa"/>
            <w:vAlign w:val="bottom"/>
            <w:shd w:val="clear" w:color="auto" w:fill="EEEEEE"/>
          </w:tcPr>
          <w:p>
            <w:pPr>
              <w:jc w:val="right"/>
              <w:ind w:right="1390"/>
              <w:spacing w:after="0"/>
              <w:rPr>
                <w:sz w:val="20"/>
                <w:szCs w:val="20"/>
                <w:color w:val="auto"/>
              </w:rPr>
            </w:pPr>
            <w:r>
              <w:rPr>
                <w:rFonts w:ascii="Arial" w:cs="Arial" w:eastAsia="Arial" w:hAnsi="Arial"/>
                <w:sz w:val="18"/>
                <w:szCs w:val="18"/>
                <w:color w:val="auto"/>
              </w:rPr>
              <w:t>(85)</w:t>
            </w:r>
          </w:p>
        </w:tc>
        <w:tc>
          <w:tcPr>
            <w:tcW w:w="1300" w:type="dxa"/>
            <w:vAlign w:val="bottom"/>
            <w:shd w:val="clear" w:color="auto" w:fill="EEEEEE"/>
          </w:tcPr>
          <w:p>
            <w:pPr>
              <w:jc w:val="right"/>
              <w:ind w:right="750"/>
              <w:spacing w:after="0"/>
              <w:rPr>
                <w:sz w:val="20"/>
                <w:szCs w:val="20"/>
                <w:color w:val="auto"/>
              </w:rPr>
            </w:pPr>
            <w:r>
              <w:rPr>
                <w:rFonts w:ascii="Arial" w:cs="Arial" w:eastAsia="Arial" w:hAnsi="Arial"/>
                <w:sz w:val="18"/>
                <w:szCs w:val="18"/>
                <w:color w:val="auto"/>
              </w:rPr>
              <w:t>(50)</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37.0%</w:t>
            </w:r>
          </w:p>
        </w:tc>
      </w:tr>
      <w:tr>
        <w:trPr>
          <w:trHeight w:val="473"/>
        </w:trPr>
        <w:tc>
          <w:tcPr>
            <w:tcW w:w="39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Six months ended June 30,</w:t>
            </w:r>
          </w:p>
        </w:tc>
        <w:tc>
          <w:tcPr>
            <w:tcW w:w="1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2014</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(in thousands, except percentages)</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(135)</w:t>
            </w:r>
          </w:p>
        </w:tc>
        <w:tc>
          <w:tcPr>
            <w:tcW w:w="4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2880" w:type="dxa"/>
            <w:vAlign w:val="bottom"/>
            <w:shd w:val="clear" w:color="auto" w:fill="EEEEEE"/>
          </w:tcPr>
          <w:p>
            <w:pPr>
              <w:jc w:val="right"/>
              <w:ind w:right="14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750"/>
              <w:spacing w:after="0"/>
              <w:rPr>
                <w:sz w:val="20"/>
                <w:szCs w:val="20"/>
                <w:color w:val="auto"/>
              </w:rPr>
            </w:pPr>
            <w:r>
              <w:rPr>
                <w:rFonts w:ascii="Arial" w:cs="Arial" w:eastAsia="Arial" w:hAnsi="Arial"/>
                <w:sz w:val="18"/>
                <w:szCs w:val="18"/>
                <w:color w:val="auto"/>
              </w:rPr>
              <w:t>(135)</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income tax expense for the three and six months ended June 30, 2014 consists of U.S. alternative minimum tax recorded during the periods. Due to historic losses in the U.S., our net deferred tax assets are fully offset by a deferred tax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From inception until our initial public offering, we financed our operations through private sales of equity securities, cash generated from operations and from various lending arrangements. In 2015, we entered into credit agreements with East West Bank and Comerica Bank totaling $62.0 million to finance our working capital, campus expansion and equipment investments. In addition, we also entered various credit agreements with several Taiwan banks through our Taiwan branch totaling $24.0 million. As of June 30, 2015, we had our unused capacity from all of our agreements of $41.1 million. As of June 30, 2015, our cash, cash equivalents, restricted cash and short-term investments totaled $44.3 million. Cash and cash equivalents are held for working capital purposes and are invested primarily in money market or time deposit funds. We do not enter into investments for trading or speculative purposes.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4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2015</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provided by (used in) operating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6"/>
              </w:rPr>
              <w:t>(10,586)</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ind w:right="8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(23,171)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(17,108)</w:t>
            </w: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30,880</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29,021</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23"/>
        </w:trPr>
        <w:tc>
          <w:tcPr>
            <w:tcW w:w="20" w:type="dxa"/>
            <w:vAlign w:val="bottom"/>
          </w:tcPr>
          <w:p>
            <w:pPr>
              <w:spacing w:after="0"/>
              <w:rPr>
                <w:sz w:val="19"/>
                <w:szCs w:val="19"/>
                <w:color w:val="auto"/>
              </w:rPr>
            </w:pPr>
          </w:p>
        </w:tc>
        <w:tc>
          <w:tcPr>
            <w:tcW w:w="46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(3,763</w:t>
            </w:r>
          </w:p>
        </w:tc>
        <w:tc>
          <w:tcPr>
            <w:tcW w:w="180" w:type="dxa"/>
            <w:vAlign w:val="bottom"/>
            <w:tcBorders>
              <w:top w:val="single" w:sz="8" w:color="EEEEEE"/>
              <w:bottom w:val="single" w:sz="8" w:color="EEEEEE"/>
            </w:tcBorders>
            <w:shd w:val="clear" w:color="auto" w:fill="EEEEEE"/>
          </w:tcPr>
          <w:p>
            <w:pPr>
              <w:jc w:val="right"/>
              <w:ind w:right="10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12,073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the six months ended June 30, 2015, net cash used in operating activities was $10.6 million. During the six months ended June 30, 2015, we recorded net income of $5.4 million. The net income included non-cash charges, including depreciation and amortization of $4.3 million, share-based compensation and warrant expense of $1.0 million and non-cash increases to our inventory reserve account of $1.3 million. Cash used in operating activities primarily related to an increase in inventory related to sales orders, an increase in our accounts receivable from the sale of our products, offset by cash provided by an increase in accounts payable to our vendors.</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For the six months ended June 30, 2014, net cash used in operating activities was $0.2 million. During the six months ended June 30, 2014, we recorded net income of $2.0 million. The net income included non-cash charges, including depreciation and amortization of $2.7 million, share-based compensation and warrant expense of $1.0 million and non-cash increases to our inventory reserve account of $0.8 million. Cash used in operating activities primarily related to an increase in accounts receivable from the sale of our products and an increase in inventory related to sales orders, offset by cash provided by an increase in accounts payable to our vendors and an increase in accrued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For the six months ended June 30, 2015, net cash used in investing activities was $23.2 million, $17.4 million for the purchase of additional machinery and equipment and investment in construction of our U.S. plant and $5.1 million used to increase restricted cash related to an escrow account required for construction.</w:t>
      </w:r>
    </w:p>
    <w:p>
      <w:pPr>
        <w:spacing w:after="0" w:line="181"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For the six months ended June 30, 2014, net cash used in investing activities was $17.1 million for the purchase of additional machinery and equipment and the payment for intellectual property licenses to support new product development efforts and manufacturing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financing activities consisted primarily of proceeds from the issuance of common stock and activity associated with our various lending arrangements.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the six months ended June 30, 2015, our financing activities provided $30.1 million in cash. We received $31.6 million in net borrowings associated with our bank loans, $1.4 million in net proceeds from acceptance payable, offset by increased restricted cash of $2.0 million related to our bank loan requirements.</w:t>
      </w:r>
    </w:p>
    <w:p>
      <w:pPr>
        <w:spacing w:after="0" w:line="18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For the six months ended June 30, 2014, our financing activities provided $29.0 million in cash. We received $45.6 million in net proceeds from a secondary offering of common stock. This increase was offset by the repayment of $16.5 million in net borrowings associated with our bank loans.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have lending arrangements with several financial institutions, including a revolving line of credit and a term loan with East West Bank and Comerica Bank in the U.S., lines of credit and financing agreements for our Taiwan branch and several lines of credit arrangements for our China subsidiary. As of June 30, 2015, we had $41.1 million of unused borrowing capacity.</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22" w:name="page23"/>
    <w:bookmarkEnd w:id="22"/>
    <w:p>
      <w:pPr>
        <w:ind w:right="40" w:firstLine="648"/>
        <w:spacing w:after="0" w:line="302" w:lineRule="auto"/>
        <w:rPr>
          <w:sz w:val="20"/>
          <w:szCs w:val="20"/>
          <w:color w:val="auto"/>
        </w:rPr>
      </w:pPr>
      <w:r>
        <w:rPr>
          <w:rFonts w:ascii="Arial" w:cs="Arial" w:eastAsia="Arial" w:hAnsi="Arial"/>
          <w:sz w:val="16"/>
          <w:szCs w:val="16"/>
          <w:color w:val="auto"/>
        </w:rPr>
        <w:t>On June 30, 2015, we entered into with East West Bank and Comerica Bank a credit agreement, a second lien deed of trust, multiple security agreements and promissory notes evidencing two credit facilities and a term loan. The credit agreement included a $25.0 million revolving line of credit which matures on June 30, 2018 and a $10 million term loan maturing on June 30, 2020. The interest rate on these loans is the LIBOR Borrowing Rate plus 2.75% or 3.0%. As of June 30, 2015, $25.0 million was outstanding under the revolving line of credit and $2.0 million was outstanding under the term loans.</w:t>
      </w:r>
    </w:p>
    <w:p>
      <w:pPr>
        <w:spacing w:after="0" w:line="1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Also with East West Bank was a term loan of $5 million with monthly payments of principal and interest that matures on July 31, 2019. As of June 30, 2015, the outstanding balance of such term loan was $4.6 million.</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January 26, 2015, we entered into a construction loan agreement with East West Bank for up to $22.0 million dollars to finance the construction of our campus expansion plan in Sugar Land, Texas. Upon signing the agreement, we deposited $11.0 million into a restricted bank account for owner’s contribution of construction costs. The loan will have a fifteen month draw down period with monthly interest payments commencing on February 26, 2015 and ending April 26, 2016. Thereafter, the entire outstanding principal balance shall be converted to a sixty-nine month term loan with principal and interest payments due monthly amortized over three hundred months. The first principal and interest payment is due on May 26, 2016 and will continue the same day of each month thereafter. The final principal and interest payment is due on January 26, 2022 and will include all unpaid principal and all accrued and unpaid interest. We may pay without penalty all or a portion of the amount owed earlier than due. Under the loan agreement, the loan bears interest, at an annual rate based on the one-month LIBOR Borrowing Rate plus 2.75%. As of June 30, there were no amounts outstanding under this loan agreement and there was a balance of $5.1 million in the restricted bank account..</w:t>
      </w:r>
    </w:p>
    <w:p>
      <w:pPr>
        <w:spacing w:after="0" w:line="182"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Our loan and security agreements with East West Bank and Comerica Bank require us to maintain certain financial covenants, including a minimum current ratio and minimum annual EBITDA. As of June 30, 2015, we were in compliance with all covenants contained in these agreements.</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January 6, 2015, our Taiwan branch entered into a Credit Facility with CTBC Bank Co. Ltd. in Taipei, Taiwan for 90.0 million New Taiwan dollar ($3.0 million USD), one year revolving credit facility. Our obligations under the Credit Facility are unsecured. Borrowings under the Credit Facility will bear interest at a rate based on the Bank’s corporate interest rate index plus 1.5%, adjusted monthly. As of the execution of the Credit Facility the Bank’s corporate interest rate index is 0.91%. As of June 30, 2015, $2.3 million was outstanding under this credit facility.</w:t>
      </w:r>
    </w:p>
    <w:p>
      <w:pPr>
        <w:spacing w:after="0" w:line="17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On March 9, 2015, our Taiwan branch increased its $4.0 million, to a $7.0 million revolving credit facility with E. Sun Commercial Bank. Our obligations under the credit facility are secured by our $4.0 million cash deposit in a one-year CD with such bank and mature on May 27, 2016. The $4.0 million revolving line of credit with CD security bears interest at a rate equal to Taiwan Deposit Index Rate plus 0.38% for New Taiwan Dollar borrowings and a 0.1% service fee for U.S. dollar borrowings. The additional $3.0 million credit facility bears interest at a rate equal to LIBOR plus 1.7% divided by 0.946 and a 0.5% service fee for U.S. dollar borrowings. As of June 30, 2015, $5.9 million was outstanding under this credit facility.</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March 25, 2015, our Taiwan branch renewed its $4.0 million, one year revolving credit facility agreement, originally dated December 31, 2013, with Mega International Commercial Bank. Our obligations under the credit facility are secured by our $4.0 million cash deposit in a CD with such bank. Borrowings under this credit facility will bear interest at a rate not less than the LIBOR borrowing rate plus 1.0%, divided by 0.946 for U.S. dollar borrowings, New Taiwan Dollar borrowings interest will bear at a rate equal to the Bank’s base lending rate plus 0.76%. The current effective interest rate is 1.77%. As of June 30, 2015, $3.6 million was outstanding under this credit facility.</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April 1, 2015, our Taiwan branch entered into a comprehensive credit line agreement with the Taipei branch of China Construction Bank, providing a revolving credit line of $3.0 million, maturing on April 1, 2016. Borrowings under the credit line agreement are secured by a standby letter of credit issued by the China branch of the bank under existing agreements between the bank and our China subsidiary. Borrowings under the credit line agreement reduce the amounts available under of the existing credit line between the bank and our China subsidiary and cannot exceed 97% of the amount of the standby letter of credit issued by the China branch of the bank. Borrowings under the credit line agreement will bear interest at a rate not less than LIBOR plus 1.5% for US dollar borrowings and at a rate of not less than Taiwan Interbank Offered Rate plus 0.9% for New Taiwan dollar borrowings. As of June 30, 2015, $2.9 million was outstanding under this credit facility.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Taiwan branch had an outstanding note payable balance of $0.1 million with a financing company that matures on July 30, 2015.</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On June 30, 2015, our Taiwan branch entered into a purchase and sale contract and a finance lease agreement together with the sale contract with Chailease Finance Co, Ltd. in connection with certain equipment, structured as a sale lease-back transaction. Pursuant to the sale contract, we sold certain equipment to Chailease and simultaneously leased the equipment back from Chailease pursuant to the finance lease agreement. The finance lease agreement has a three year term, with monthly lease payments, maturing on May 27 and June 30, 2018, respectively. The title to the equipment will be transferred to us upon the expiration of the finance lease agreement. As of June 30, 2015, $6.2 million was outstanding under this finance lease agreement.</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3" w:name="page24"/>
    <w:bookmarkEnd w:id="23"/>
    <w:p>
      <w:pPr>
        <w:ind w:right="20" w:firstLine="648"/>
        <w:spacing w:after="0" w:line="297" w:lineRule="auto"/>
        <w:rPr>
          <w:sz w:val="20"/>
          <w:szCs w:val="20"/>
          <w:color w:val="auto"/>
        </w:rPr>
      </w:pPr>
      <w:r>
        <w:rPr>
          <w:rFonts w:ascii="Arial" w:cs="Arial" w:eastAsia="Arial" w:hAnsi="Arial"/>
          <w:sz w:val="16"/>
          <w:szCs w:val="16"/>
          <w:color w:val="auto"/>
        </w:rPr>
        <w:t>As of June 30, 2015, our China subsidiary had credit facilities with China Construction Bank totaling $12.1 million, which can be drawn in U.S. currency, RMB currency or issuing bank acceptance notes to vendors with different interest rates. As of June 30, 2015, we had a U.S. currency based loan of $4.0 million outstanding under various notes with three-month terms, maturing from July 2015 to September 2015 with effective interest rate of 3.15%. There was $3.9 million outstanding RMB currency cash loan as of June 30, 2015, with a maturity date of April 26, 2016. The effective interest rate for the RMB currency loan was 5.79%. The outstanding balance of bank acceptance notes issued to vendors was $2.7 million with zero interest rate as of June 30, 2015.</w:t>
      </w:r>
    </w:p>
    <w:p>
      <w:pPr>
        <w:spacing w:after="0" w:line="15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nine months, and such notes receivable may be redeemed with the issuing bank prior to maturity at a discount. Historically, we have collected on the notes receivable in full at the time of maturity.</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believe that our existing cash and cash equivalents, and cash flows from our operating activities,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The sale of additional equity or debt security could result in additional dilution to our stockholders, and its terms and prices may not be acceptable to us. If we are unable to raise additional capital when desired, our business, operating results and financial condition would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On June 3, 2015, we filed a Securities Registration Statement on Form S-3 with the Securities and Exchange Commission effective June 23, 2015, providing for the public offer and sale of certain securities of the Company from time to time up to an aggregate amount of $140 million.</w:t>
      </w:r>
    </w:p>
    <w:p>
      <w:pPr>
        <w:spacing w:after="0" w:line="14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July 14, 2015, we entered into an Equity Distribution Agreement (the “Distribution Agreement”) with Raymond James &amp; Associates, Inc. (the “Sales Agent”) pursuant to which we may issue and sell shares of the Company’s common stock, par value $0.001 per share (the “Shares”), having an aggregate offering price of up to $40 million (the “ATM Offering”) from time to time through the Sales Agent. Upon delivery of a placement notice and subject to the terms and conditions of the Distribution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Distribution Agreement, the Sales Agent will use its commercially reasonable efforts to sell Shares on the Company’s behalf up to the designated amount specified in the placement notice. We have no obligation to sell any Shares under the Agreement and may at any time suspend offers and sales of the Shares under the Distribution Agreement.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right="60" w:firstLine="648"/>
        <w:spacing w:after="0" w:line="271" w:lineRule="auto"/>
        <w:rPr>
          <w:sz w:val="20"/>
          <w:szCs w:val="20"/>
          <w:color w:val="auto"/>
        </w:rPr>
      </w:pPr>
      <w:r>
        <w:rPr>
          <w:rFonts w:ascii="Arial" w:cs="Arial" w:eastAsia="Arial" w:hAnsi="Arial"/>
          <w:sz w:val="17"/>
          <w:szCs w:val="17"/>
          <w:color w:val="auto"/>
        </w:rPr>
        <w:t>The Agreement provides that the Sales Agent will be entitled to compensation of up to 2.5% of the gross sales price of the Shares sold through the Sales Agent from time to time. We have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we fail to sell a minimum amount of the Shares as set forth in the Agreement, then the Company has agreed to reimburse the Sales Agent for reasonable out-of-pocket expenses, including the reasonable fees and disbursements of counsel incurred by the Sales Agent, up to a maximum of $50,000 in the aggregate. We agreed to indemnify the Sales Agent against certain liabilities, including liabilities under the Securities Act, or to contribute to payments that the Sales Agent may be required to make because of any of those liabilities.</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July 2015, we commenced sales of common stock through the ATM Offering. The details of the shares of common stock sold through the ATM Offering through August 5, 2015 are as follows (dollars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w:t>
            </w:r>
          </w:p>
        </w:tc>
      </w:tr>
      <w:tr>
        <w:trPr>
          <w:trHeight w:val="216"/>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Average Per</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Distribution</w:t>
            </w: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Distribution Agent</w:t>
            </w:r>
          </w:p>
        </w:tc>
        <w:tc>
          <w:tcPr>
            <w:tcW w:w="1960" w:type="dxa"/>
            <w:vAlign w:val="bottom"/>
            <w:gridSpan w:val="2"/>
          </w:tcPr>
          <w:p>
            <w:pPr>
              <w:ind w:left="540"/>
              <w:spacing w:after="0"/>
              <w:rPr>
                <w:sz w:val="20"/>
                <w:szCs w:val="20"/>
                <w:color w:val="auto"/>
              </w:rPr>
            </w:pPr>
            <w:r>
              <w:rPr>
                <w:rFonts w:ascii="Arial" w:cs="Arial" w:eastAsia="Arial" w:hAnsi="Arial"/>
                <w:sz w:val="18"/>
                <w:szCs w:val="18"/>
                <w:b w:val="1"/>
                <w:bCs w:val="1"/>
                <w:color w:val="auto"/>
              </w:rPr>
              <w:t>Month</w:t>
            </w:r>
          </w:p>
        </w:tc>
        <w:tc>
          <w:tcPr>
            <w:tcW w:w="10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Share Price</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Shares Sold</w:t>
            </w: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Net Proceeds</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Agent</w:t>
            </w:r>
          </w:p>
        </w:tc>
      </w:tr>
      <w:tr>
        <w:trPr>
          <w:trHeight w:val="210"/>
        </w:trPr>
        <w:tc>
          <w:tcPr>
            <w:tcW w:w="35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Raymond James &amp; Associates, Inc.</w:t>
            </w:r>
          </w:p>
        </w:tc>
        <w:tc>
          <w:tcPr>
            <w:tcW w:w="24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ind w:left="900"/>
              <w:spacing w:after="0"/>
              <w:rPr>
                <w:sz w:val="20"/>
                <w:szCs w:val="20"/>
                <w:color w:val="auto"/>
              </w:rPr>
            </w:pPr>
            <w:r>
              <w:rPr>
                <w:rFonts w:ascii="Arial" w:cs="Arial" w:eastAsia="Arial" w:hAnsi="Arial"/>
                <w:sz w:val="18"/>
                <w:szCs w:val="18"/>
                <w:color w:val="auto"/>
                <w:w w:val="88"/>
              </w:rPr>
              <w:t>July 2015</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19.33</w:t>
            </w:r>
          </w:p>
        </w:tc>
        <w:tc>
          <w:tcPr>
            <w:tcW w:w="3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jc w:val="right"/>
              <w:ind w:right="23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3,220</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EEEEEE"/>
            </w:tcBorders>
            <w:shd w:val="clear" w:color="auto" w:fill="EEEEEE"/>
          </w:tcPr>
          <w:p>
            <w:pPr>
              <w:spacing w:after="0"/>
              <w:rPr>
                <w:sz w:val="18"/>
                <w:szCs w:val="18"/>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August 5, 2015, the total gross sales were $3.3 million and the remaining amount of common stock we have available under the ATM Offering to sell was $36.7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June 30, 2015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89"/>
              </w:rPr>
              <w:t>Payments due by period</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3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1-3 Years</w:t>
            </w:r>
          </w:p>
        </w:tc>
        <w:tc>
          <w:tcPr>
            <w:tcW w:w="32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3-5 Years</w:t>
            </w: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220" w:type="dxa"/>
            <w:vAlign w:val="bottom"/>
            <w:shd w:val="clear" w:color="auto" w:fill="EEEEEE"/>
          </w:tcPr>
          <w:p>
            <w:pPr>
              <w:spacing w:after="0" w:line="291" w:lineRule="exact"/>
              <w:rPr>
                <w:sz w:val="20"/>
                <w:szCs w:val="20"/>
                <w:color w:val="auto"/>
              </w:rPr>
            </w:pPr>
            <w:r>
              <w:rPr>
                <w:rFonts w:ascii="Arial" w:cs="Arial" w:eastAsia="Arial" w:hAnsi="Arial"/>
                <w:sz w:val="18"/>
                <w:szCs w:val="18"/>
                <w:color w:val="auto"/>
              </w:rPr>
              <w:t>Long-term debt</w:t>
            </w:r>
            <w:r>
              <w:rPr>
                <w:rFonts w:ascii="Arial" w:cs="Arial" w:eastAsia="Arial" w:hAnsi="Arial"/>
                <w:sz w:val="30"/>
                <w:szCs w:val="30"/>
                <w:color w:val="auto"/>
                <w:vertAlign w:val="superscript"/>
              </w:rPr>
              <w:t>(1)</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60,586</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30,990</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27,370</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2,226</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4240" w:type="dxa"/>
            <w:vAlign w:val="bottom"/>
            <w:gridSpan w:val="2"/>
          </w:tcPr>
          <w:p>
            <w:pPr>
              <w:spacing w:after="0" w:line="311" w:lineRule="exact"/>
              <w:rPr>
                <w:sz w:val="20"/>
                <w:szCs w:val="20"/>
                <w:color w:val="auto"/>
              </w:rPr>
            </w:pPr>
            <w:r>
              <w:rPr>
                <w:rFonts w:ascii="Arial" w:cs="Arial" w:eastAsia="Arial" w:hAnsi="Arial"/>
                <w:sz w:val="18"/>
                <w:szCs w:val="18"/>
                <w:color w:val="auto"/>
              </w:rPr>
              <w:t>Bank acceptance payable</w:t>
            </w:r>
            <w:r>
              <w:rPr>
                <w:rFonts w:ascii="Arial" w:cs="Arial" w:eastAsia="Arial" w:hAnsi="Arial"/>
                <w:sz w:val="30"/>
                <w:szCs w:val="30"/>
                <w:color w:val="auto"/>
                <w:vertAlign w:val="superscript"/>
              </w:rPr>
              <w:t>(1)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2,660</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20" w:type="dxa"/>
            <w:vAlign w:val="bottom"/>
            <w:shd w:val="clear" w:color="auto" w:fill="EEEEEE"/>
          </w:tcPr>
          <w:p>
            <w:pPr>
              <w:spacing w:after="0" w:line="324" w:lineRule="exact"/>
              <w:rPr>
                <w:sz w:val="20"/>
                <w:szCs w:val="20"/>
                <w:color w:val="auto"/>
              </w:rPr>
            </w:pPr>
            <w:r>
              <w:rPr>
                <w:rFonts w:ascii="Arial" w:cs="Arial" w:eastAsia="Arial" w:hAnsi="Arial"/>
                <w:sz w:val="18"/>
                <w:szCs w:val="18"/>
                <w:color w:val="auto"/>
              </w:rPr>
              <w:t>Operating leases</w:t>
            </w:r>
            <w:r>
              <w:rPr>
                <w:rFonts w:ascii="Arial" w:cs="Arial" w:eastAsia="Arial" w:hAnsi="Arial"/>
                <w:sz w:val="30"/>
                <w:szCs w:val="30"/>
                <w:color w:val="auto"/>
                <w:vertAlign w:val="superscript"/>
              </w:rPr>
              <w:t>(2)</w:t>
            </w:r>
          </w:p>
        </w:tc>
        <w:tc>
          <w:tcPr>
            <w:tcW w:w="240" w:type="dxa"/>
            <w:vAlign w:val="bottom"/>
            <w:shd w:val="clear" w:color="auto" w:fill="EEEEEE"/>
          </w:tcPr>
          <w:p>
            <w:pPr>
              <w:spacing w:after="0"/>
              <w:rPr>
                <w:sz w:val="24"/>
                <w:szCs w:val="24"/>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14,514</w:t>
            </w:r>
          </w:p>
        </w:tc>
        <w:tc>
          <w:tcPr>
            <w:tcW w:w="120" w:type="dxa"/>
            <w:vAlign w:val="bottom"/>
            <w:shd w:val="clear" w:color="auto" w:fill="EEEEEE"/>
          </w:tcPr>
          <w:p>
            <w:pPr>
              <w:spacing w:after="0"/>
              <w:rPr>
                <w:sz w:val="24"/>
                <w:szCs w:val="24"/>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1,156</w:t>
            </w:r>
          </w:p>
        </w:tc>
        <w:tc>
          <w:tcPr>
            <w:tcW w:w="360" w:type="dxa"/>
            <w:vAlign w:val="bottom"/>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2,662</w:t>
            </w:r>
          </w:p>
        </w:tc>
        <w:tc>
          <w:tcPr>
            <w:tcW w:w="160" w:type="dxa"/>
            <w:vAlign w:val="bottom"/>
            <w:shd w:val="clear" w:color="auto" w:fill="EEEEEE"/>
          </w:tcPr>
          <w:p>
            <w:pPr>
              <w:spacing w:after="0"/>
              <w:rPr>
                <w:sz w:val="24"/>
                <w:szCs w:val="24"/>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2,033</w:t>
            </w:r>
          </w:p>
        </w:tc>
        <w:tc>
          <w:tcPr>
            <w:tcW w:w="160" w:type="dxa"/>
            <w:vAlign w:val="bottom"/>
            <w:shd w:val="clear" w:color="auto" w:fill="EEEEEE"/>
          </w:tcPr>
          <w:p>
            <w:pPr>
              <w:spacing w:after="0"/>
              <w:rPr>
                <w:sz w:val="24"/>
                <w:szCs w:val="24"/>
                <w:color w:val="auto"/>
              </w:rPr>
            </w:pPr>
          </w:p>
        </w:tc>
        <w:tc>
          <w:tcPr>
            <w:tcW w:w="80" w:type="dxa"/>
            <w:vAlign w:val="bottom"/>
            <w:shd w:val="clear" w:color="auto" w:fill="EEEEEE"/>
          </w:tcPr>
          <w:p>
            <w:pPr>
              <w:spacing w:after="0"/>
              <w:rPr>
                <w:sz w:val="24"/>
                <w:szCs w:val="24"/>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Total commitments</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77,760</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34,806</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30,032</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4,259</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18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term loans and bank acceptance notes. The amount presented in the table represents the principal portion of the obligations.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various non-cancellable operating lease agreements for our offices in Taiwan and the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2015, we did not, and we do not currently,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our annual report on Form 10-K for the year ended December 31, 2014, we identified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Jumpstart Our Business Startups Act of 2012, or JOBS Act, contains provisions that, among other things, reduce certain reporting requirements for qualifying public companies. As defined in the JOBS Act, a public company whose initial public offering of common equity securities occurred after December 8, 2011 and whose annual gross revenues are less than $1.0 billion will, in general, qualify as an “emerging growth company” until the earliest of:</w:t>
      </w:r>
    </w:p>
    <w:p>
      <w:pPr>
        <w:spacing w:after="0" w:line="14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 billion or more;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 billion in non-convertible debt; and</w:t>
      </w:r>
    </w:p>
    <w:p>
      <w:pPr>
        <w:spacing w:after="0" w:line="225" w:lineRule="exact"/>
        <w:rPr>
          <w:rFonts w:ascii="Arial" w:cs="Arial" w:eastAsia="Arial" w:hAnsi="Arial"/>
          <w:sz w:val="18"/>
          <w:szCs w:val="18"/>
          <w:color w:val="auto"/>
        </w:rPr>
      </w:pPr>
    </w:p>
    <w:p>
      <w:pPr>
        <w:ind w:left="980" w:right="280" w:hanging="324"/>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date on which it is deemed to be a “large accelerated filer,” which will occur at such time as the company (a) has an aggregate worldwide market value of common equity securities held by non-affiliates of $700 million or more as of the last business day of its most recently completed second fiscal quarter, (b) has been required to file annual and quarterly reports under the Exchange Act for a period of at least 12 months and (c) has filed at least one annual report pursuant to the Securities Act of 1934, as amended.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this definition, we are an “emerging growth company” and could remain one until as late as December 31, 2018.</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an “emerging growth company” we have chosen to rely on such exemptions and are therefore not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or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Market risk represents the risk of loss that may impact our financial statements through adverse changes in interest rates, foreign exchange rates and inflation. Our market risk exposure results primarily from fluctuations in foreign exchange rates. We manage our exposure to these market risks through our regular operating and financing activities. We have not historically attempted to reduce our market risks through hedging instruments; we may, however, do so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exposed to market risk due to the possibility of changing interest rates associated with certain debt instruments. As of June 30, 2015, our U.S. debt bears a variable rate of interest that is based on LIBOR. The debt subject to variable rates is subject to fluctuation in the LIBOR. As of June 30, 2015, the interest on our China debt varied based on when each term loan is drawn. Once drawn the interest remains fixed for the term of that draw. As of June 30, 2015, we had not hedged our interest rate risk.</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With respect to our interest expense for the three months ended June 30, 2015, an increase of 1.0% in each of our interest rates would have resulted in an increase of $0.6 million in our interest expense for such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operate on an international basis with a portion of our revenue and expenses being incurred in currencies other than the U.S. dollar. Fluctuations in the value of these foreign currencies in which we conduct our business relative to the U.S. dollar affects our results and will cause U.S. dollar translation of such currencies to vary from one period to another. We cannot predict the effect of exchange rate fluctuations upon our future operating results. The effect on our results of operations from currency fluctuations is reduced, because we have revenue and expenses in each of these foreign currencies. We maintain certain assets, including certain bank accounts, accounts receivables, land and building, in RMB and the NT dollar, which are sensitive to foreign currency exchange rate fluctuations. Certain of our current and long-term liabilities are denominated in these currencies. Additionally, the value of the RMB against the U.S. dollar and other currencies fluctuates and is affected by, among other things, changes in political and economic conditions in China. Under China’s current exchange rate regime, the RMB may appreciate or depreciate significantly in value against the U.S. dollar in the medium to long term.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ind w:right="140" w:firstLine="648"/>
        <w:spacing w:after="0" w:line="289" w:lineRule="auto"/>
        <w:rPr>
          <w:sz w:val="20"/>
          <w:szCs w:val="20"/>
          <w:color w:val="auto"/>
        </w:rPr>
      </w:pPr>
      <w:r>
        <w:rPr>
          <w:rFonts w:ascii="Arial" w:cs="Arial" w:eastAsia="Arial" w:hAnsi="Arial"/>
          <w:sz w:val="16"/>
          <w:szCs w:val="16"/>
          <w:color w:val="auto"/>
        </w:rPr>
        <w:t>We use the U.S. dollar as our functional and reporting currency for our financial statements. All transactions in currencies other than the U.S. dollar during the year are re-measured at the exchange rates prevailing on the respective relevant dates of such transactions. Monetary assets and liabilities existing at the balance sheet date denominated in currencies other than the U.S. dollar are re-measured at the exchange rates prevailing on such date. Exchange differences are recorded in our consolidated income statement. The financial records of our China subsidiary and our Taiwan branch are maintained in their respective local currencies, the RMB and the NT dollar, which are the functional currencies for our China subsidiary and our Taiwan branch, respectively. Assets and liabilities are translated at the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(deficit) and comprehensive income. Transaction gains and losses are recognized in our statements of operations in other income (expense).</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months ended June 30, 2015, 4.0% of our revenue was denominated in RMB and less than 1% of revenue was denominated in NT dollars. In the three months ended June 30, 2015, 17.1% of our operating expenses were denominated in RMB and 32.1% of our operating expenses were denominated in NT dollars. Accordingly, fluctuations in exchange rates directly affect our cost of goods sold and net income, and have a significant impact on our operating margins. If exchange rates for RMB and NT dollars for U.S. dollars were 1% higher during the three months ended June 30, 2015, our operating expenses would have been higher by $0.1 million.</w:t>
      </w:r>
    </w:p>
    <w:p>
      <w:pPr>
        <w:spacing w:after="0" w:line="18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As of June 30, 2015, we held the U.S. dollar equivalent of approximately $10.8 million in RMB and $3.2 million in NT dollars, including cash and cash equivalents. With respect to our cash and cash equivalents as of June 30, 2015, a 1.0% change in the exchange rates between the RMB and the U.S. dollar or the NT dollar and the U.S. dollar would result in an immaterial change in our total cash and cash equivalents.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June 30, 2015, we recognized a $0.7 million foreign currency transaction gain.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sales or operating results or on the prices of raw materials. However, an increase in the rate of inflation in the future may have an adverse effect on our levels of gross profit if material prices rise and if sales prices for our products do not proportionately increase. Changes in the proportion of our operations in China or Taiwan may result in the rate of inflation having a more significant impact on our operating results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8"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2015,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we were not involved in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this Quarterly Report on Form 10-Q, including our condensed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generate much of our revenue from a limited number of customers. In the six months ended June 30, 2015 and years ended December 31, 2014, 2013 and 2012, our top ten customers represented 89.8%, 87.2%, 76.9%, and 77.6% of our revenue, respectively. In 2014, Amazon represented 45.8% of our revenue, Cisco Systems, Inc. represented 8.9% of our revenue and a leading internet service provider represented 6.7% of our total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Prior to the sale of new products, our customers typically require us to obtain their approval and qualify our products for use in their applications. Additionally, new customers often audit our manufacturing facilities and perform other evaluations during this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ind w:right="380" w:firstLine="648"/>
        <w:spacing w:after="0" w:line="264"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right="20"/>
        <w:spacing w:after="0" w:line="277" w:lineRule="auto"/>
        <w:rPr>
          <w:sz w:val="20"/>
          <w:szCs w:val="20"/>
          <w:color w:val="auto"/>
        </w:rPr>
      </w:pPr>
      <w:r>
        <w:rPr>
          <w:rFonts w:ascii="Arial" w:cs="Arial" w:eastAsia="Arial" w:hAnsi="Arial"/>
          <w:sz w:val="18"/>
          <w:szCs w:val="18"/>
          <w:b w:val="1"/>
          <w:bCs w:val="1"/>
          <w:i w:val="1"/>
          <w:iCs w:val="1"/>
          <w:color w:val="auto"/>
        </w:rPr>
        <w:t>The market for fiber-optic products in the internet data center market is relatively new and our business could be harmed if this market does not continue to develop as we expect</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the internet data center market, we are relying on the emergence of new internet data center providers and their adoption of open internet data center architectures that use a mix of systems and components from a variety of vendors, including non-traditional equipment vendors. Internet data center operators may instead elect to use traditional equipment vendors, which often require internet data center operators to purchase the optical modules for their systems from such larger vendors. Also, internet data centers may not expand as much or as quickly as expected and any slowdown in expansion could adversely impact our business and growth prospects. If our expectations for the growth of the internet data center market are not realized, our financial condition or results of operations will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CATV market does not continue to develop as we expect, or if there is any downturn in this market, our business would be adversely affected.</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Historically, we have generated much of our revenue from the CATV market. In 2014, 2013 and 2012, the CATV market represented 36.3%, 60.4% and 78.6%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CATV network operators may reduce or forego equipment purchases in anticipation of the availability of next generation DOCSIS 3.1 solutions that are expected to be available soon, which may adversely affect our sales.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operating history in the FTTH market, and our business could be harmed if this market does not develop as we expect.</w:t>
      </w:r>
    </w:p>
    <w:p>
      <w:pPr>
        <w:spacing w:after="0" w:line="23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For 2014, we generated 10.4% of our revenue from the FTTH market. We have only recently begun offering products to the FTTH market, and our business in this market has been largely dependent on a single customer who has not recently placed any orders for FTTH products from us. Our business in this market is dependent on the deployment of our optical components, modules and subassemblies. In this market, we are relying on increasing demand for bandwidth-intensive services and telecommunications service providers’ acceptance and deployment of WDM-PON as a technology supporting 1 gigabit per second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rather than Metal Organic Chemical Vapor Deposition, or MOCVD, the technique most commonly used in optical manufacturing by communications optics vendors, and our Molecular Beam Epitaxy, or MBE, fabrication process relies on custom-manufactured equipment. If our MBE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1,206 of our employees as of December 31, 2014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have a substantial accumulated deficit.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a history of losses and have a substantial accumulated deficit. In the years ended December 31, 2013 and 2012, we experienced net losses of $1.4 million and $0.9 million, respectively. In the six months ended June 30, 2015 and year ended December 31, 2014, we experienced profits of $6.1 and $4.3 million, respectively. As of June 30, 2015 and December 31, 2014 and 2013, our accumulated deficit was $73.6 million, $79.0 million and $83.3 million, respectively. These losses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we have incurred significant additional time demands and legal, accounting and other expenses since we became a public company in September 2013. Our management and other personnel devote a substantial amount of time to complying with the applicable rules and requirements of being a public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quarter-to-quarter due to a number of factors, which may lead to volatility in our stock price.</w:t>
      </w:r>
    </w:p>
    <w:p>
      <w:pPr>
        <w:spacing w:after="0" w:line="23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0" w:lineRule="exact"/>
        <w:rPr>
          <w:rFonts w:ascii="Arial" w:cs="Arial" w:eastAsia="Arial" w:hAnsi="Arial"/>
          <w:sz w:val="17"/>
          <w:szCs w:val="17"/>
          <w:color w:val="auto"/>
        </w:rPr>
      </w:pPr>
    </w:p>
    <w:p>
      <w:pPr>
        <w:ind w:left="980" w:right="7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Chief Strategy Officer, Senior Vice President of Network Equipment Module Business Unit,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suppliers and any supply interruption could have an adverse effect on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2" w:name="page33"/>
    <w:bookmarkEnd w:id="32"/>
    <w:p>
      <w:pPr>
        <w:ind w:right="20" w:firstLine="648"/>
        <w:spacing w:after="0" w:line="297"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outside contract manufacturers for a portion of the manufacturing process for some of our products.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 were unable or unwilling to manufacture such produce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2014, 2013 and 2012, 29.5%, 41.0% and 55.7%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8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ind w:left="980" w:right="12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3" w:name="page34"/>
    <w:bookmarkEnd w:id="33"/>
    <w:p>
      <w:pPr>
        <w:ind w:right="60"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growth effectively may adversely affect our financial condition and results of operations.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and Taipei, Taiwan.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lending arrangements with several financial institutions, including loan agreements with East West Bank and Comerica Bank in the U.S., and our Taiwan branch and China subsidiary have several lines of credit arrangements. Our loan agreements governing our short- and long-term debt obligations contain certain financial and operating covenants that limit our management’s discretion with respect to certain business matters. Among other things, these covenants require us to maintain certain financial ratios and restrict our ability to incur additional debt in the U.S., create liens or other encumbrances, change the nature of our business, pay dividends, make intra-company loans,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U.S. loan agreements with East West Bank and Comerica Bank are secured by substantially all of our U.S. assets.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1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integrating the business relationships with suppliers and customers of the acquired business with our existing business relationships;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5" w:name="page36"/>
    <w:bookmarkEnd w:id="35"/>
    <w:p>
      <w:pPr>
        <w:ind w:right="20" w:firstLine="648"/>
        <w:spacing w:after="0" w:line="302" w:lineRule="auto"/>
        <w:rPr>
          <w:sz w:val="20"/>
          <w:szCs w:val="20"/>
          <w:color w:val="auto"/>
        </w:rPr>
      </w:pPr>
      <w:r>
        <w:rPr>
          <w:rFonts w:ascii="Arial" w:cs="Arial" w:eastAsia="Arial" w:hAnsi="Arial"/>
          <w:sz w:val="16"/>
          <w:szCs w:val="16"/>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180" w:firstLine="648"/>
        <w:spacing w:after="0" w:line="269" w:lineRule="auto"/>
        <w:rPr>
          <w:sz w:val="20"/>
          <w:szCs w:val="20"/>
          <w:color w:val="auto"/>
        </w:rPr>
      </w:pPr>
      <w:r>
        <w:rPr>
          <w:rFonts w:ascii="Arial" w:cs="Arial" w:eastAsia="Arial" w:hAnsi="Arial"/>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disruptions in the domestic water supply, and our manufacturing facilities in Ningbo, China, and Taipei, Taiwan, have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right="100"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 from a third party claiming infringement a license to the relevant technology, which may not be available on reasonable terms, or at all;</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We have not performed an evaluation of our internal control over financial reporting, such as would be required by Section 404 of the Sarbanes-Oxley Act, nor have we engaged our independent registered public accounting firm to perform an audit of our internal control over financial reporting.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7" w:name="page38"/>
    <w:bookmarkEnd w:id="37"/>
    <w:p>
      <w:pPr>
        <w:ind w:firstLine="648"/>
        <w:spacing w:after="0" w:line="291"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of December 31, 2014, we had U.S. accumulated net operating losses, or NOLs, of approximately $56.5 million for U.S. federal income tax purposes. Under Section 382 of the Internal Revenue Code of 1986, as amended, if a corporation undergoes an “ownership change,” the corporation’s ability to use its pre-change NOLs, R&amp;D credits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is limited in dollar amount. As of December 31, 2014, of the total accumulated NOL, only $31.5 million is available for utilization in future periods to offset federal taxable income. Each year after 2014, an additional $0.3 million is added to the total available NOL, until a maximum of $34.9 million is reached.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are subject to income taxes in the U.S. and other foreign jurisdictions, including Taiwan and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risks and increased expenses and business risk as a result of Restriction on Hazardous Substances, or RoHS directives.</w:t>
      </w:r>
    </w:p>
    <w:p>
      <w:pPr>
        <w:spacing w:after="0" w:line="23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4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may determine, as part of our compliance efforts, that certain products or components we obtain from our suppliers contain conflict minerals. If we are unable to conclude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termination and expiration or unavailability of our preferential tax treatments in China may have a material adverse effect on our operating results.</w:t>
      </w:r>
    </w:p>
    <w:p>
      <w:pPr>
        <w:spacing w:after="0" w:line="26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has applied to calendar years 2012 through 2014, and we have received approval from the Chinese government to extend this preferential rate for 2015 through 2017. Any future increase in the enterprise income tax rate applicable to us or the expiration or other limitation of preferential tax rates available to us could increase our tax liabilities and reduce our net income.</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China regulation of loans and direct investment by offshore holding companies to China entities may delay or prevent us from making loans or additional capital contributions to our China subsidiary.</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new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70"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new board committees and adopted new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w:t>
      </w:r>
    </w:p>
    <w:p>
      <w:pPr>
        <w:spacing w:after="0" w:line="1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In addition, the terms of our loan and security agreement with East West Bank restrict our ability to pay dividends.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9" w:lineRule="exact"/>
        <w:rPr>
          <w:rFonts w:ascii="Arial" w:cs="Arial" w:eastAsia="Arial" w:hAnsi="Arial"/>
          <w:sz w:val="18"/>
          <w:szCs w:val="18"/>
          <w:color w:val="auto"/>
        </w:rPr>
      </w:pPr>
    </w:p>
    <w:p>
      <w:pPr>
        <w:ind w:left="980" w:right="280" w:hanging="324"/>
        <w:spacing w:after="0" w:line="26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issued under such plans.</w:t>
      </w:r>
    </w:p>
    <w:p>
      <w:pPr>
        <w:spacing w:after="0" w:line="18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governs us.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 See “Description of Capital Stock—Preferred stock” and “Description of Capital Stock— Anti-takeover effects of Delaware law.”</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We are an emerging growth company within the meaning of the rules under the Securities Act. We have in this Quarterly Report on Form 10-Q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on page 45.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5200" w:type="dxa"/>
            <w:vAlign w:val="bottom"/>
            <w:gridSpan w:val="3"/>
          </w:tcPr>
          <w:p>
            <w:pPr>
              <w:ind w:left="2080"/>
              <w:spacing w:after="0"/>
              <w:rPr>
                <w:sz w:val="20"/>
                <w:szCs w:val="20"/>
                <w:color w:val="auto"/>
              </w:rPr>
            </w:pPr>
            <w:r>
              <w:rPr>
                <w:rFonts w:ascii="Arial" w:cs="Arial" w:eastAsia="Arial" w:hAnsi="Arial"/>
                <w:sz w:val="18"/>
                <w:szCs w:val="18"/>
                <w:b w:val="1"/>
                <w:bCs w:val="1"/>
                <w:color w:val="auto"/>
              </w:rPr>
              <w:t>APPLIED OPTOELECTRONICS, INC.</w:t>
            </w:r>
          </w:p>
        </w:tc>
      </w:tr>
      <w:tr>
        <w:trPr>
          <w:trHeight w:val="608"/>
        </w:trPr>
        <w:tc>
          <w:tcPr>
            <w:tcW w:w="3640" w:type="dxa"/>
            <w:vAlign w:val="bottom"/>
          </w:tcPr>
          <w:p>
            <w:pPr>
              <w:spacing w:after="0"/>
              <w:rPr>
                <w:sz w:val="20"/>
                <w:szCs w:val="20"/>
                <w:color w:val="auto"/>
              </w:rPr>
            </w:pPr>
            <w:r>
              <w:rPr>
                <w:rFonts w:ascii="Arial" w:cs="Arial" w:eastAsia="Arial" w:hAnsi="Arial"/>
                <w:sz w:val="18"/>
                <w:szCs w:val="18"/>
                <w:color w:val="auto"/>
              </w:rPr>
              <w:t>Date: August 7, 2015</w:t>
            </w:r>
          </w:p>
        </w:tc>
        <w:tc>
          <w:tcPr>
            <w:tcW w:w="5200" w:type="dxa"/>
            <w:vAlign w:val="bottom"/>
            <w:gridSpan w:val="3"/>
          </w:tcPr>
          <w:p>
            <w:pPr>
              <w:ind w:left="2080"/>
              <w:spacing w:after="0"/>
              <w:rPr>
                <w:sz w:val="20"/>
                <w:szCs w:val="20"/>
                <w:color w:val="auto"/>
              </w:rPr>
            </w:pPr>
            <w:r>
              <w:rPr>
                <w:rFonts w:ascii="Arial" w:cs="Arial" w:eastAsia="Arial" w:hAnsi="Arial"/>
                <w:sz w:val="18"/>
                <w:szCs w:val="18"/>
                <w:color w:val="auto"/>
              </w:rPr>
              <w:t>By:    /s/ STEFAN J. MURRY</w:t>
            </w:r>
          </w:p>
        </w:tc>
      </w:tr>
      <w:tr>
        <w:trPr>
          <w:trHeight w:val="222"/>
        </w:trPr>
        <w:tc>
          <w:tcPr>
            <w:tcW w:w="36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c>
          <w:tcPr>
            <w:tcW w:w="820" w:type="dxa"/>
            <w:vAlign w:val="bottom"/>
          </w:tcPr>
          <w:p>
            <w:pPr>
              <w:spacing w:after="0"/>
              <w:rPr>
                <w:sz w:val="19"/>
                <w:szCs w:val="19"/>
                <w:color w:val="auto"/>
              </w:rPr>
            </w:pPr>
          </w:p>
        </w:tc>
      </w:tr>
      <w:tr>
        <w:trPr>
          <w:trHeight w:val="216"/>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8" w:right="3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140" w:type="dxa"/>
            <w:vAlign w:val="bottom"/>
          </w:tcPr>
          <w:p>
            <w:pPr>
              <w:ind w:left="274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Amended and Restated Certificate of Incorporation, as currently in effect (filed as Exhibit 3.1 to the Registrant’s Quarterly Report on Form</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10-Q filed with the Securities and Exchange Commission on November 14, 2013).</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Amended and Restated Bylaws, as currently in effect (filed as Exhibit 3.2 to the Registrant’s Quarterly Report on Form 10-Q filed with the</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Securities and Exchange Commission on November 14, 2013).</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Translation of Comprehensive Credit Line Contract and General Agreement, dated April 1, 2015, between Applied Optoelectronics, Inc.,</w:t>
            </w:r>
          </w:p>
        </w:tc>
      </w:tr>
      <w:tr>
        <w:trPr>
          <w:trHeight w:val="216"/>
        </w:trPr>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Taiwan Branch, and China Construction Bank, Taipei Branch (filed as Exhibit 10.1 to the Registrant’s Current Report on Form 8-K filed</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with the Securities and Exchange Commission on April 7,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5"/>
              </w:rPr>
              <w:t>Translation of Approval Notice of China Construction Bank, Taipei Branch (filed as Exhibit 10.2 to the Registrant’s Current Report on</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8-K filed with the Securities and Exchange Commission on April 7,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Translation of Purchase and Sale Contract between Applied Optoelectronics, Inc., Taiwan Branch, and Chailease Finance Co., Ltd. (filed</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as Exhibit 10.1 to the Registrant’s Current Report on Form 8-K filed with the Securities and Exchange Commission on June 2,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Translation of Finance Lease Agreement between Applied Optoelectronics, Inc., Taiwan Branch, and Chailease Finance Co., Ltd. (filed as</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7"/>
              </w:rPr>
              <w:t>Exhibit 10.2 to the Registrant’s Current Report on Form 8-K filed with the Securities and Exchange Commission on June 2,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Fourth Amendment to Office Lease Agreement between Applied Optoelectronics, Inc. and 12808 Airport, LLC dated June 17, 2015 (filed</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as Exhibit 10.1 to the Registrant’s Current Report on Form 8-K filed with the Securities and Exchange Commission on June 23,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Credit Agreement, dated June 30, 2015, between Applied Optoelectronics, Inc., East West Bank and Comerica Bank (filed as Exhibit 10.1</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to the Registrant’s Current Report on Form 8-K filed with the Securities and Exchange Commission on July 7,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Security Agreement, dated June 30, 2015, between Applied Optoelectronics, Inc., East West Bank and Comerica Bank (filed as Exhibit</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10.2 to the Registrant’s Current Report on Form 8-K filed with the Securities and Exchange Commission on July 7,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Patent Security Agreement, dated June 30, 2015, between Applied Optoelectronics, Inc., East West Bank and Comerica Bank (filed as</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7"/>
              </w:rPr>
              <w:t>Exhibit 10.3 to the Registrant’s Current Report on Form 8-K filed with the Securities and Exchange Commission on July 7,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Trademark Security Agreement, dated June 30, 2015, between Applied Optoelectronics, Inc., East West Bank and Comerica Bank (filed as</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7"/>
              </w:rPr>
              <w:t>Exhibit 10.4 to the Registrant’s Current Report on Form 8-K filed with the Securities and Exchange Commission on July 7,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East West Bank Promissory Note, dated June 30, 2015, between Applied Optoelectronics, Inc. and East West Bank (filed as Exhibit 10.5 to</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the Registrant’s Current Report on Form 8-K filed with the Securities and Exchange Commission on July 7, 2015).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Comerica Bank Promissory Note, dated June 30, 2015, between Applied Optoelectronics, Inc. and Comerica Bank (filed as Exhibit 10.6 to</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the Registrant’s Current Report on Form 8-K filed with the Securities and Exchange Commission on July 7, 2015).</w:t>
            </w:r>
          </w:p>
        </w:tc>
      </w:tr>
      <w:tr>
        <w:trPr>
          <w:trHeight w:val="458"/>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2</w:t>
            </w:r>
            <w:r>
              <w:rPr>
                <w:rFonts w:ascii="Arial" w:cs="Arial" w:eastAsia="Arial" w:hAnsi="Arial"/>
                <w:sz w:val="30"/>
                <w:szCs w:val="30"/>
                <w:color w:val="auto"/>
                <w:w w:val="92"/>
                <w:vertAlign w:val="superscript"/>
              </w:rPr>
              <w:t>nd</w:t>
            </w:r>
            <w:r>
              <w:rPr>
                <w:rFonts w:ascii="Arial" w:cs="Arial" w:eastAsia="Arial" w:hAnsi="Arial"/>
                <w:sz w:val="18"/>
                <w:szCs w:val="18"/>
                <w:color w:val="auto"/>
                <w:w w:val="92"/>
              </w:rPr>
              <w:t xml:space="preserve"> Lien Construction Deed of Trust, dated June 30, 2015, between Applied Optoelectronics, Inc., East West Bank and Comerica Bank</w:t>
            </w:r>
          </w:p>
        </w:tc>
      </w:tr>
      <w:tr>
        <w:trPr>
          <w:trHeight w:val="216"/>
        </w:trPr>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Lenders (filed as Exhibit 10.7 to the Registrant’s Current Report on Form 8-K filed with the Securities and Exchange Commission on July</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7, 2015).</w:t>
            </w:r>
          </w:p>
        </w:tc>
        <w:tc>
          <w:tcPr>
            <w:tcW w:w="9140" w:type="dxa"/>
            <w:vAlign w:val="bottom"/>
          </w:tcPr>
          <w:p>
            <w:pPr>
              <w:spacing w:after="0"/>
              <w:rPr>
                <w:sz w:val="20"/>
                <w:szCs w:val="20"/>
                <w:color w:val="auto"/>
              </w:rPr>
            </w:pP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7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Translation of Purchase and Sale Contract between Applied Optoelectronics, Inc., Taiwan Branch, and Chailease Finance Co. Ltd. (filed as</w:t>
            </w:r>
          </w:p>
        </w:tc>
      </w:tr>
      <w:tr>
        <w:trPr>
          <w:trHeight w:val="230"/>
        </w:trPr>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7"/>
              </w:rPr>
              <w:t>Exhibit 10.1 to the Registrant’s Current Report on Form 8-K filed with the Securities and Exchange Commission on July 7, 2015).</w:t>
            </w:r>
          </w:p>
        </w:tc>
      </w:tr>
      <w:tr>
        <w:trPr>
          <w:trHeight w:val="675"/>
        </w:trPr>
        <w:tc>
          <w:tcPr>
            <w:tcW w:w="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gridSpan w:val="2"/>
          </w:tcPr>
          <w:p>
            <w:pPr>
              <w:ind w:left="424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877"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10.14*</w:t>
      </w:r>
    </w:p>
    <w:p>
      <w:pPr>
        <w:spacing w:after="0" w:line="20" w:lineRule="exact"/>
        <w:rPr>
          <w:sz w:val="20"/>
          <w:szCs w:val="20"/>
          <w:color w:val="auto"/>
        </w:rPr>
      </w:pPr>
      <w:r>
        <w:rPr>
          <w:sz w:val="20"/>
          <w:szCs w:val="20"/>
          <w:color w:val="auto"/>
        </w:rPr>
        <w:br w:type="column"/>
      </w:r>
    </w:p>
    <w:p>
      <w:pPr>
        <w:ind w:right="440"/>
        <w:spacing w:after="0" w:line="264" w:lineRule="auto"/>
        <w:rPr>
          <w:sz w:val="20"/>
          <w:szCs w:val="20"/>
          <w:color w:val="auto"/>
        </w:rPr>
      </w:pPr>
      <w:r>
        <w:rPr>
          <w:rFonts w:ascii="Arial" w:cs="Arial" w:eastAsia="Arial" w:hAnsi="Arial"/>
          <w:sz w:val="18"/>
          <w:szCs w:val="18"/>
          <w:color w:val="auto"/>
        </w:rPr>
        <w:t>Translation of Finance Lease Agreement and Promissory Note between Applied Optoelectronics, Inc., Taiwan Branch, and Chailease Finance Co., Ltd. (filed as Exhibit 10.2 to the Registrant’s Current Report on Form 8-K filed with the Securities and Exchange Commission on July 7, 2015).</w:t>
      </w:r>
    </w:p>
    <w:p>
      <w:pPr>
        <w:spacing w:after="0" w:line="181" w:lineRule="exact"/>
        <w:rPr>
          <w:sz w:val="20"/>
          <w:szCs w:val="20"/>
          <w:color w:val="auto"/>
        </w:rPr>
      </w:pPr>
    </w:p>
    <w:p>
      <w:pPr>
        <w:sectPr>
          <w:pgSz w:w="11900" w:h="16838" w:orient="portrait"/>
          <w:cols w:equalWidth="0" w:num="2">
            <w:col w:w="660" w:space="720"/>
            <w:col w:w="10040"/>
          </w:cols>
          <w:pgMar w:left="240" w:top="908" w:right="239" w:bottom="1440" w:gutter="0" w:footer="0" w:header="0"/>
        </w:sectPr>
      </w:pPr>
    </w:p>
    <w:p>
      <w:pPr>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Certification of Chief Executive Officer pursuant to Exchange Act Rule, 13a-14(a) and 15d-14(a), as adopted pursuant to Section 302 of the Sarbanes-Oxley Act of 2002.</w:t>
      </w:r>
    </w:p>
    <w:p>
      <w:pPr>
        <w:spacing w:after="0" w:line="170" w:lineRule="exact"/>
        <w:rPr>
          <w:sz w:val="20"/>
          <w:szCs w:val="20"/>
          <w:color w:val="auto"/>
        </w:rPr>
      </w:pPr>
    </w:p>
    <w:p>
      <w:pPr>
        <w:sectPr>
          <w:pgSz w:w="11900" w:h="16838" w:orient="portrait"/>
          <w:cols w:equalWidth="0" w:num="2">
            <w:col w:w="660" w:space="720"/>
            <w:col w:w="10040"/>
          </w:cols>
          <w:pgMar w:left="240" w:top="908" w:right="239" w:bottom="1440" w:gutter="0" w:footer="0" w:header="0"/>
          <w:type w:val="continuous"/>
        </w:sectPr>
      </w:pPr>
    </w:p>
    <w:p>
      <w:pPr>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Certification of Chief Financial Officer pursuant to Exchange Act Rule, 13a-14(a) and 15d-14(a), as adopted pursuant to Section 302 of the Sarbanes-Oxley Act of 2002</w:t>
      </w:r>
    </w:p>
    <w:p>
      <w:pPr>
        <w:spacing w:after="0" w:line="170" w:lineRule="exact"/>
        <w:rPr>
          <w:sz w:val="20"/>
          <w:szCs w:val="20"/>
          <w:color w:val="auto"/>
        </w:rPr>
      </w:pPr>
    </w:p>
    <w:p>
      <w:pPr>
        <w:sectPr>
          <w:pgSz w:w="11900" w:h="16838" w:orient="portrait"/>
          <w:cols w:equalWidth="0" w:num="2">
            <w:col w:w="660" w:space="720"/>
            <w:col w:w="10040"/>
          </w:cols>
          <w:pgMar w:left="240" w:top="908" w:right="239" w:bottom="1440" w:gutter="0" w:footer="0" w:header="0"/>
          <w:type w:val="continuous"/>
        </w:sectPr>
      </w:pPr>
    </w:p>
    <w:p>
      <w:pPr>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Certification pursuant to 18 U.S.C. 1350, adopted pursuant to Section 906 of the Sarbanes-Oxley Act of 2002, by Chief Executive Officer and Chief Financial Officer</w:t>
      </w:r>
    </w:p>
    <w:p>
      <w:pPr>
        <w:spacing w:after="0" w:line="170" w:lineRule="exact"/>
        <w:rPr>
          <w:sz w:val="20"/>
          <w:szCs w:val="20"/>
          <w:color w:val="auto"/>
        </w:rPr>
      </w:pPr>
    </w:p>
    <w:p>
      <w:pPr>
        <w:sectPr>
          <w:pgSz w:w="11900" w:h="16838" w:orient="portrait"/>
          <w:cols w:equalWidth="0" w:num="2">
            <w:col w:w="660" w:space="720"/>
            <w:col w:w="10040"/>
          </w:cols>
          <w:pgMar w:left="240" w:top="908" w:right="239" w:bottom="1440" w:gutter="0" w:footer="0" w:header="0"/>
          <w:type w:val="continuous"/>
        </w:sectPr>
      </w:pPr>
    </w:p>
    <w:p>
      <w:pPr>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222" w:lineRule="exact"/>
        <w:rPr>
          <w:sz w:val="20"/>
          <w:szCs w:val="20"/>
          <w:color w:val="auto"/>
        </w:rPr>
      </w:pPr>
    </w:p>
    <w:p>
      <w:pPr>
        <w:sectPr>
          <w:pgSz w:w="11900" w:h="16838" w:orient="portrait"/>
          <w:cols w:equalWidth="0" w:num="2">
            <w:col w:w="880" w:space="500"/>
            <w:col w:w="10040"/>
          </w:cols>
          <w:pgMar w:left="240" w:top="90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11" w:lineRule="exact"/>
        <w:rPr>
          <w:sz w:val="20"/>
          <w:szCs w:val="20"/>
          <w:color w:val="auto"/>
        </w:rPr>
      </w:pPr>
    </w:p>
    <w:p>
      <w:pPr>
        <w:sectPr>
          <w:pgSz w:w="11900" w:h="16838" w:orient="portrait"/>
          <w:cols w:equalWidth="0" w:num="2">
            <w:col w:w="940" w:space="440"/>
            <w:col w:w="10040"/>
          </w:cols>
          <w:pgMar w:left="240" w:top="908"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22" w:lineRule="exact"/>
        <w:rPr>
          <w:sz w:val="20"/>
          <w:szCs w:val="20"/>
          <w:color w:val="auto"/>
        </w:rPr>
      </w:pPr>
    </w:p>
    <w:p>
      <w:pPr>
        <w:sectPr>
          <w:pgSz w:w="11900" w:h="16838" w:orient="portrait"/>
          <w:cols w:equalWidth="0" w:num="2">
            <w:col w:w="960" w:space="420"/>
            <w:col w:w="10040"/>
          </w:cols>
          <w:pgMar w:left="240" w:top="90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22" w:lineRule="exact"/>
        <w:rPr>
          <w:sz w:val="20"/>
          <w:szCs w:val="20"/>
          <w:color w:val="auto"/>
        </w:rPr>
      </w:pPr>
    </w:p>
    <w:p>
      <w:pPr>
        <w:sectPr>
          <w:pgSz w:w="11900" w:h="16838" w:orient="portrait"/>
          <w:cols w:equalWidth="0" w:num="2">
            <w:col w:w="940" w:space="440"/>
            <w:col w:w="10040"/>
          </w:cols>
          <w:pgMar w:left="240" w:top="90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22" w:lineRule="exact"/>
        <w:rPr>
          <w:sz w:val="20"/>
          <w:szCs w:val="20"/>
          <w:color w:val="auto"/>
        </w:rPr>
      </w:pPr>
    </w:p>
    <w:p>
      <w:pPr>
        <w:sectPr>
          <w:pgSz w:w="11900" w:h="16838" w:orient="portrait"/>
          <w:cols w:equalWidth="0" w:num="2">
            <w:col w:w="960" w:space="420"/>
            <w:col w:w="10040"/>
          </w:cols>
          <w:pgMar w:left="240" w:top="908" w:right="239" w:bottom="1440" w:gutter="0" w:footer="0" w:header="0"/>
          <w:type w:val="continuous"/>
        </w:sectPr>
      </w:pPr>
    </w:p>
    <w:p>
      <w:pPr>
        <w:spacing w:after="0" w:line="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ectPr>
          <w:pgSz w:w="11900" w:h="16838" w:orient="portrait"/>
          <w:cols w:equalWidth="0" w:num="1">
            <w:col w:w="11420"/>
          </w:cols>
          <w:pgMar w:left="240" w:top="908" w:right="2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25" w:lineRule="exact"/>
        <w:rPr>
          <w:sz w:val="20"/>
          <w:szCs w:val="20"/>
          <w:color w:val="auto"/>
        </w:rPr>
      </w:pPr>
    </w:p>
    <w:p>
      <w:pPr>
        <w:jc w:val="both"/>
        <w:ind w:left="700" w:hanging="692"/>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part of a registration statement or prospectus for purposes of Sections 11 or 12 of the Securities Exchange Act of 1933, as amended, is deemed not filed for purpose of Section 18 of the Securities Exchange Act of 1934, as amended, and is not otherwise subject to liability under these Sections.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380" w:hanging="237"/>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380" w:hanging="237"/>
        <w:spacing w:after="0" w:line="342"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237"/>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70" w:lineRule="exact"/>
        <w:rPr>
          <w:rFonts w:ascii="Arial" w:cs="Arial" w:eastAsia="Arial" w:hAnsi="Arial"/>
          <w:sz w:val="18"/>
          <w:szCs w:val="18"/>
          <w:color w:val="auto"/>
        </w:rPr>
      </w:pPr>
    </w:p>
    <w:p>
      <w:pPr>
        <w:ind w:left="380" w:hanging="237"/>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740" w:hanging="237"/>
        <w:spacing w:after="0" w:line="264"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hanging="247"/>
        <w:spacing w:after="0" w:line="308" w:lineRule="auto"/>
        <w:tabs>
          <w:tab w:leader="none" w:pos="7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237"/>
        <w:spacing w:after="0" w:line="264"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hanging="237"/>
        <w:spacing w:after="0" w:line="308"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237"/>
        <w:spacing w:after="0" w:line="277"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hanging="247"/>
        <w:spacing w:after="0" w:line="277"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380" w:hanging="237"/>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380" w:hanging="237"/>
        <w:spacing w:after="0" w:line="342"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237"/>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70" w:lineRule="exact"/>
        <w:rPr>
          <w:rFonts w:ascii="Arial" w:cs="Arial" w:eastAsia="Arial" w:hAnsi="Arial"/>
          <w:sz w:val="18"/>
          <w:szCs w:val="18"/>
          <w:color w:val="auto"/>
        </w:rPr>
      </w:pPr>
    </w:p>
    <w:p>
      <w:pPr>
        <w:ind w:left="380" w:hanging="237"/>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740" w:hanging="237"/>
        <w:spacing w:after="0" w:line="264"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hanging="247"/>
        <w:spacing w:after="0" w:line="308" w:lineRule="auto"/>
        <w:tabs>
          <w:tab w:leader="none" w:pos="7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237"/>
        <w:spacing w:after="0" w:line="264"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hanging="237"/>
        <w:spacing w:after="0" w:line="308"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237"/>
        <w:spacing w:after="0" w:line="277"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hanging="247"/>
        <w:spacing w:after="0" w:line="277"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7" w:lineRule="exact"/>
        <w:rPr>
          <w:sz w:val="20"/>
          <w:szCs w:val="20"/>
          <w:color w:val="auto"/>
        </w:rPr>
      </w:pPr>
    </w:p>
    <w:p>
      <w:pPr>
        <w:ind w:left="660" w:right="420" w:hanging="328"/>
        <w:spacing w:after="0" w:line="274"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2015, to which this Certification is attached as Exhibit 32.1 (the “Quarterly Report”) fully complies with the requirements of Section 13(a) or Section 15(d) of the Exchange Act; and</w:t>
      </w:r>
    </w:p>
    <w:p>
      <w:pPr>
        <w:ind w:left="660" w:right="10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the operation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Arial" w:cs="Arial" w:eastAsia="Arial" w:hAnsi="Arial"/>
                <w:sz w:val="18"/>
                <w:szCs w:val="18"/>
                <w:color w:val="auto"/>
              </w:rPr>
              <w:t>/s/ CHIH-HSIANG (THOMPSON) LIN</w:t>
            </w:r>
          </w:p>
        </w:tc>
        <w:tc>
          <w:tcPr>
            <w:tcW w:w="1740" w:type="dxa"/>
            <w:vAlign w:val="bottom"/>
            <w:gridSpan w:val="3"/>
          </w:tcPr>
          <w:p>
            <w:pPr>
              <w:spacing w:after="0"/>
              <w:rPr>
                <w:sz w:val="20"/>
                <w:szCs w:val="20"/>
                <w:color w:val="auto"/>
              </w:rPr>
            </w:pPr>
            <w:r>
              <w:rPr>
                <w:rFonts w:ascii="Arial" w:cs="Arial" w:eastAsia="Arial" w:hAnsi="Arial"/>
                <w:sz w:val="18"/>
                <w:szCs w:val="18"/>
                <w:color w:val="auto"/>
                <w:w w:val="92"/>
              </w:rPr>
              <w:t>/s/ STEFAN J. MURRY</w:t>
            </w:r>
          </w:p>
        </w:tc>
      </w:tr>
      <w:tr>
        <w:trPr>
          <w:trHeight w:val="196"/>
        </w:trPr>
        <w:tc>
          <w:tcPr>
            <w:tcW w:w="29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tc>
        <w:tc>
          <w:tcPr>
            <w:tcW w:w="2820" w:type="dxa"/>
            <w:vAlign w:val="bottom"/>
          </w:tcPr>
          <w:p>
            <w:pPr>
              <w:spacing w:after="0"/>
              <w:rPr>
                <w:sz w:val="17"/>
                <w:szCs w:val="17"/>
                <w:color w:val="auto"/>
              </w:rPr>
            </w:pPr>
          </w:p>
        </w:tc>
        <w:tc>
          <w:tcPr>
            <w:tcW w:w="1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3"/>
              </w:rPr>
              <w:t>S</w:t>
            </w:r>
            <w:r>
              <w:rPr>
                <w:rFonts w:ascii="Arial" w:cs="Arial" w:eastAsia="Arial" w:hAnsi="Arial"/>
                <w:sz w:val="12"/>
                <w:szCs w:val="12"/>
                <w:color w:val="auto"/>
                <w:w w:val="93"/>
              </w:rPr>
              <w:t>TEFAN</w:t>
            </w:r>
            <w:r>
              <w:rPr>
                <w:rFonts w:ascii="Arial" w:cs="Arial" w:eastAsia="Arial" w:hAnsi="Arial"/>
                <w:sz w:val="18"/>
                <w:szCs w:val="18"/>
                <w:color w:val="auto"/>
                <w:w w:val="93"/>
              </w:rPr>
              <w:t xml:space="preserve"> J. M</w:t>
            </w:r>
            <w:r>
              <w:rPr>
                <w:rFonts w:ascii="Arial" w:cs="Arial" w:eastAsia="Arial" w:hAnsi="Arial"/>
                <w:sz w:val="12"/>
                <w:szCs w:val="12"/>
                <w:color w:val="auto"/>
                <w:w w:val="93"/>
              </w:rPr>
              <w:t>URRY</w:t>
            </w:r>
          </w:p>
        </w:tc>
        <w:tc>
          <w:tcPr>
            <w:tcW w:w="560" w:type="dxa"/>
            <w:vAlign w:val="bottom"/>
            <w:tcBorders>
              <w:top w:val="single" w:sz="8" w:color="auto"/>
            </w:tcBorders>
            <w:gridSpan w:val="2"/>
          </w:tcPr>
          <w:p>
            <w:pPr>
              <w:spacing w:after="0"/>
              <w:rPr>
                <w:sz w:val="17"/>
                <w:szCs w:val="17"/>
                <w:color w:val="auto"/>
              </w:rPr>
            </w:pPr>
          </w:p>
        </w:tc>
      </w:tr>
      <w:tr>
        <w:trPr>
          <w:trHeight w:val="196"/>
        </w:trPr>
        <w:tc>
          <w:tcPr>
            <w:tcW w:w="5720" w:type="dxa"/>
            <w:vAlign w:val="bottom"/>
            <w:gridSpan w:val="2"/>
          </w:tcPr>
          <w:p>
            <w:pPr>
              <w:spacing w:after="0" w:line="196" w:lineRule="exact"/>
              <w:rPr>
                <w:sz w:val="20"/>
                <w:szCs w:val="20"/>
                <w:color w:val="auto"/>
              </w:rPr>
            </w:pPr>
            <w:r>
              <w:rPr>
                <w:rFonts w:ascii="Arial" w:cs="Arial" w:eastAsia="Arial" w:hAnsi="Arial"/>
                <w:sz w:val="18"/>
                <w:szCs w:val="18"/>
                <w:color w:val="auto"/>
              </w:rPr>
              <w:t>President and Chief Executive Officer</w:t>
            </w:r>
          </w:p>
        </w:tc>
        <w:tc>
          <w:tcPr>
            <w:tcW w:w="16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3"/>
              </w:rPr>
              <w:t>Chief Financial Officer</w:t>
            </w:r>
          </w:p>
        </w:tc>
        <w:tc>
          <w:tcPr>
            <w:tcW w:w="60" w:type="dxa"/>
            <w:vAlign w:val="bottom"/>
          </w:tcPr>
          <w:p>
            <w:pPr>
              <w:spacing w:after="0"/>
              <w:rPr>
                <w:sz w:val="17"/>
                <w:szCs w:val="17"/>
                <w:color w:val="auto"/>
              </w:rPr>
            </w:pPr>
          </w:p>
        </w:tc>
      </w:tr>
    </w:tbl>
    <w:p>
      <w:pPr>
        <w:spacing w:after="0" w:line="229"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sectPr>
      <w:pgSz w:w="11900" w:h="16838" w:orient="portrait"/>
      <w:cols w:equalWidth="0" w:num="1">
        <w:col w:w="11360"/>
      </w:cols>
      <w:pgMar w:left="240" w:top="12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28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2019-12-07T22:42:18Z</dcterms:created>
  <dcterms:modified xsi:type="dcterms:W3CDTF">2019-12-07T22:42:18Z</dcterms:modified>
</cp:coreProperties>
</file>