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3980" w:right="1680" w:hanging="3972"/>
        <w:spacing w:after="0" w:line="490" w:lineRule="auto"/>
        <w:tabs>
          <w:tab w:leader="none" w:pos="59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001-36083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351" w:right="239" w:bottom="1440" w:gutter="0" w:footer="0" w:header="0"/>
        </w:sectPr>
      </w:pPr>
    </w:p>
    <w:p>
      <w:pPr>
        <w:spacing w:after="0" w:line="207"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76-0533927</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2">
            <w:col w:w="6480" w:space="720"/>
            <w:col w:w="4220"/>
          </w:cols>
          <w:pgMar w:left="240" w:top="351"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13115 Jess Pirtle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Sugar Land, TX 77478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7" w:lineRule="exact"/>
        <w:rPr>
          <w:sz w:val="24"/>
          <w:szCs w:val="24"/>
          <w:color w:val="auto"/>
        </w:rPr>
      </w:pPr>
    </w:p>
    <w:p>
      <w:pPr>
        <w:ind w:left="5580" w:hanging="428"/>
        <w:spacing w:after="0"/>
        <w:tabs>
          <w:tab w:leader="none" w:pos="55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295-1800</w:t>
      </w:r>
    </w:p>
    <w:p>
      <w:pPr>
        <w:spacing w:after="0" w:line="27" w:lineRule="exact"/>
        <w:rPr>
          <w:rFonts w:ascii="Arial" w:cs="Arial" w:eastAsia="Arial" w:hAnsi="Arial"/>
          <w:sz w:val="18"/>
          <w:szCs w:val="18"/>
          <w:b w:val="1"/>
          <w:bCs w:val="1"/>
          <w:color w:val="auto"/>
        </w:rPr>
      </w:pPr>
    </w:p>
    <w:p>
      <w:pPr>
        <w:ind w:left="4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(Registrant’s telephone number)</w:t>
      </w:r>
    </w:p>
    <w:p>
      <w:pPr>
        <w:spacing w:after="0" w:line="211" w:lineRule="exact"/>
        <w:rPr>
          <w:sz w:val="24"/>
          <w:szCs w:val="24"/>
          <w:color w:val="auto"/>
        </w:rPr>
      </w:pPr>
    </w:p>
    <w:p>
      <w:pPr>
        <w:jc w:val="both"/>
        <w:ind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ind w:firstLine="41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jc w:val="both"/>
        <w:ind w:firstLine="416"/>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51" w:right="239" w:bottom="1440" w:gutter="0" w:footer="0" w:header="0"/>
          <w:type w:val="continuous"/>
        </w:sectPr>
      </w:pPr>
    </w:p>
    <w:p>
      <w:pPr>
        <w:spacing w:after="0" w:line="170"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4">
            <w:col w:w="2280" w:space="720"/>
            <w:col w:w="4060" w:space="720"/>
            <w:col w:w="2240" w:space="720"/>
            <w:col w:w="680"/>
          </w:cols>
          <w:pgMar w:left="240" w:top="351" w:right="239" w:bottom="144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x (Do not check if a 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0" w:lineRule="exact"/>
        <w:rPr>
          <w:sz w:val="24"/>
          <w:szCs w:val="24"/>
          <w:color w:val="auto"/>
        </w:rPr>
      </w:pPr>
    </w:p>
    <w:p>
      <w:pPr>
        <w:sectPr>
          <w:pgSz w:w="11900" w:h="16838" w:orient="portrait"/>
          <w:cols w:equalWidth="0" w:num="4">
            <w:col w:w="2280" w:space="720"/>
            <w:col w:w="4060" w:space="720"/>
            <w:col w:w="2240" w:space="720"/>
            <w:col w:w="680"/>
          </w:cols>
          <w:pgMar w:left="240" w:top="351" w:right="239" w:bottom="1440" w:gutter="0" w:footer="0" w:header="0"/>
          <w:type w:val="continuous"/>
        </w:sectPr>
      </w:pPr>
    </w:p>
    <w:p>
      <w:pPr>
        <w:spacing w:after="0" w:line="37" w:lineRule="exact"/>
        <w:rPr>
          <w:sz w:val="24"/>
          <w:szCs w:val="24"/>
          <w:color w:val="auto"/>
        </w:rPr>
      </w:pPr>
    </w:p>
    <w:p>
      <w:pPr>
        <w:ind w:left="4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p>
    <w:p>
      <w:pPr>
        <w:spacing w:after="0" w:line="20" w:lineRule="exact"/>
        <w:rPr>
          <w:sz w:val="24"/>
          <w:szCs w:val="24"/>
          <w:color w:val="auto"/>
        </w:rPr>
      </w:pPr>
      <w:r>
        <w:rPr>
          <w:sz w:val="24"/>
          <w:szCs w:val="24"/>
          <w:color w:val="auto"/>
        </w:rPr>
        <w:br w:type="column"/>
      </w:r>
    </w:p>
    <w:p>
      <w:pPr>
        <w:spacing w:after="0" w:line="168"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2">
            <w:col w:w="9040" w:space="140"/>
            <w:col w:w="2240"/>
          </w:cols>
          <w:pgMar w:left="240" w:top="351" w:right="239" w:bottom="1440" w:gutter="0" w:footer="0" w:header="0"/>
          <w:type w:val="continuous"/>
        </w:sectPr>
      </w:pPr>
    </w:p>
    <w:p>
      <w:pPr>
        <w:spacing w:after="0" w:line="48" w:lineRule="exact"/>
        <w:rPr>
          <w:sz w:val="24"/>
          <w:szCs w:val="24"/>
          <w:color w:val="auto"/>
        </w:rPr>
      </w:pPr>
    </w:p>
    <w:p>
      <w:pPr>
        <w:ind w:firstLine="416"/>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as of August 5, 2014 there were 14,805,125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Applied Optoelectronics,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0" w:type="dxa"/>
            <w:vAlign w:val="bottom"/>
          </w:tcPr>
          <w:p>
            <w:pPr>
              <w:spacing w:after="0"/>
              <w:rPr>
                <w:sz w:val="20"/>
                <w:szCs w:val="20"/>
                <w:color w:val="auto"/>
              </w:rPr>
            </w:pPr>
          </w:p>
        </w:tc>
        <w:tc>
          <w:tcPr>
            <w:tcW w:w="5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385"/>
        </w:trPr>
        <w:tc>
          <w:tcPr>
            <w:tcW w:w="10860" w:type="dxa"/>
            <w:vAlign w:val="bottom"/>
            <w:gridSpan w:val="5"/>
          </w:tcPr>
          <w:p>
            <w:pPr>
              <w:spacing w:after="0"/>
              <w:rPr>
                <w:sz w:val="20"/>
                <w:szCs w:val="20"/>
                <w:color w:val="auto"/>
              </w:rPr>
            </w:pPr>
            <w:r>
              <w:rPr>
                <w:rFonts w:ascii="Arial" w:cs="Arial" w:eastAsia="Arial" w:hAnsi="Arial"/>
                <w:sz w:val="18"/>
                <w:szCs w:val="18"/>
                <w:b w:val="1"/>
                <w:bCs w:val="1"/>
                <w:color w:val="auto"/>
              </w:rPr>
              <w:t>Part I. Financial Information</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Condensed Consolidated Financial Statements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Condensed Consolidated Balance Sheets as of June 30, 2014 and December 31, 2013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w w:val="96"/>
              </w:rPr>
              <w:t>Condensed Consolidated Statements of Operations for the Three and Six Months ended June 30, 2014 and 2013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9960" w:type="dxa"/>
            <w:vAlign w:val="bottom"/>
            <w:gridSpan w:val="3"/>
            <w:shd w:val="clear" w:color="auto" w:fill="EEEEEE"/>
          </w:tcPr>
          <w:p>
            <w:pPr>
              <w:ind w:left="260"/>
              <w:spacing w:after="0" w:line="201" w:lineRule="exact"/>
              <w:rPr>
                <w:sz w:val="20"/>
                <w:szCs w:val="20"/>
                <w:color w:val="auto"/>
              </w:rPr>
            </w:pPr>
            <w:r>
              <w:rPr>
                <w:rFonts w:ascii="Arial" w:cs="Arial" w:eastAsia="Arial" w:hAnsi="Arial"/>
                <w:sz w:val="18"/>
                <w:szCs w:val="18"/>
                <w:color w:val="auto"/>
                <w:w w:val="91"/>
              </w:rPr>
              <w:t>Condensed Consolidated Statements of Comprehensive Income (Loss) for the Three and Six Months Ended June 30, 2014 and 2013</w:t>
            </w:r>
          </w:p>
        </w:tc>
        <w:tc>
          <w:tcPr>
            <w:tcW w:w="560" w:type="dxa"/>
            <w:vAlign w:val="bottom"/>
            <w:shd w:val="clear" w:color="auto" w:fill="EEEEEE"/>
          </w:tcPr>
          <w:p>
            <w:pPr>
              <w:jc w:val="center"/>
              <w:spacing w:after="0" w:line="201"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shd w:val="clear" w:color="auto" w:fill="EEEEEE"/>
          </w:tcPr>
          <w:p>
            <w:pPr>
              <w:spacing w:after="0"/>
              <w:rPr>
                <w:sz w:val="20"/>
                <w:szCs w:val="20"/>
                <w:color w:val="auto"/>
              </w:rPr>
            </w:pP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(Unaudited)</w:t>
            </w:r>
          </w:p>
        </w:tc>
        <w:tc>
          <w:tcPr>
            <w:tcW w:w="5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Condensed Consolidated Statements of Cash Flows for the Six Months ended June 30, 2014 and 2013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Notes To Condensed Consolidated Financial Statements (Unaudited)</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3.</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Quantitative and Qualitative Disclosures About Market Risk</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4.</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Controls and Procedures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840" w:type="dxa"/>
            <w:vAlign w:val="bottom"/>
            <w:gridSpan w:val="4"/>
            <w:shd w:val="clear" w:color="auto" w:fill="EEEEEE"/>
          </w:tcPr>
          <w:p>
            <w:pPr>
              <w:spacing w:after="0" w:line="176" w:lineRule="exact"/>
              <w:rPr>
                <w:sz w:val="20"/>
                <w:szCs w:val="20"/>
                <w:color w:val="auto"/>
              </w:rPr>
            </w:pPr>
            <w:r>
              <w:rPr>
                <w:rFonts w:ascii="Arial" w:cs="Arial" w:eastAsia="Arial" w:hAnsi="Arial"/>
                <w:sz w:val="18"/>
                <w:szCs w:val="18"/>
                <w:b w:val="1"/>
                <w:bCs w:val="1"/>
                <w:color w:val="auto"/>
              </w:rPr>
              <w:t>Part II. Other Information</w:t>
            </w:r>
          </w:p>
        </w:tc>
        <w:tc>
          <w:tcPr>
            <w:tcW w:w="5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8600" w:type="dxa"/>
            <w:vAlign w:val="bottom"/>
            <w:tcBorders>
              <w:top w:val="single" w:sz="8" w:color="EEEEEE"/>
            </w:tcBorders>
          </w:tcPr>
          <w:p>
            <w:pPr>
              <w:spacing w:after="0"/>
              <w:rPr>
                <w:sz w:val="18"/>
                <w:szCs w:val="18"/>
                <w:color w:val="auto"/>
              </w:rPr>
            </w:pPr>
          </w:p>
        </w:tc>
        <w:tc>
          <w:tcPr>
            <w:tcW w:w="56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1.</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Legal Proceedings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1A.</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Risk Factors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Unregistered Sales of Equity Securities and Use of Proceeds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3.</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Defaults Upon Senior Securities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4.</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Mine Safety Disclosures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5.</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Other Information</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shd w:val="clear" w:color="auto" w:fill="EEEEEE"/>
          </w:tcPr>
          <w:p>
            <w:pPr>
              <w:spacing w:after="0"/>
              <w:rPr>
                <w:sz w:val="20"/>
                <w:szCs w:val="20"/>
                <w:color w:val="auto"/>
              </w:rPr>
            </w:pPr>
            <w:r>
              <w:rPr>
                <w:rFonts w:ascii="Arial" w:cs="Arial" w:eastAsia="Arial" w:hAnsi="Arial"/>
                <w:sz w:val="18"/>
                <w:szCs w:val="18"/>
                <w:color w:val="auto"/>
              </w:rPr>
              <w:t>Item 6.</w:t>
            </w: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Exhibits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9960" w:type="dxa"/>
            <w:vAlign w:val="bottom"/>
            <w:gridSpan w:val="3"/>
            <w:shd w:val="clear" w:color="auto" w:fill="EEEEEE"/>
          </w:tcPr>
          <w:p>
            <w:pPr>
              <w:ind w:left="260"/>
              <w:spacing w:after="0"/>
              <w:rPr>
                <w:sz w:val="20"/>
                <w:szCs w:val="20"/>
                <w:color w:val="auto"/>
              </w:rPr>
            </w:pPr>
            <w:r>
              <w:rPr>
                <w:rFonts w:ascii="Arial" w:cs="Arial" w:eastAsia="Arial" w:hAnsi="Arial"/>
                <w:sz w:val="18"/>
                <w:szCs w:val="18"/>
                <w:color w:val="auto"/>
              </w:rPr>
              <w:t>Signatures</w:t>
            </w:r>
          </w:p>
        </w:tc>
        <w:tc>
          <w:tcPr>
            <w:tcW w:w="56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960" w:type="dxa"/>
            <w:vAlign w:val="bottom"/>
            <w:tcBorders>
              <w:bottom w:val="single" w:sz="8" w:color="auto"/>
            </w:tcBorders>
            <w:gridSpan w:val="3"/>
          </w:tcPr>
          <w:p>
            <w:pPr>
              <w:ind w:left="4760"/>
              <w:spacing w:after="0"/>
              <w:rPr>
                <w:sz w:val="20"/>
                <w:szCs w:val="20"/>
                <w:color w:val="auto"/>
              </w:rPr>
            </w:pPr>
            <w:r>
              <w:rPr>
                <w:rFonts w:ascii="Arial" w:cs="Arial" w:eastAsia="Arial" w:hAnsi="Arial"/>
                <w:sz w:val="18"/>
                <w:szCs w:val="18"/>
                <w:color w:val="auto"/>
              </w:rPr>
              <w:t>2</w:t>
            </w: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5"/>
              </w:rPr>
              <w:t>June 30, 2014</w:t>
            </w:r>
          </w:p>
        </w:tc>
        <w:tc>
          <w:tcPr>
            <w:tcW w:w="20" w:type="dxa"/>
            <w:vAlign w:val="bottom"/>
          </w:tcPr>
          <w:p>
            <w:pPr>
              <w:spacing w:after="0"/>
              <w:rPr>
                <w:sz w:val="20"/>
                <w:szCs w:val="20"/>
                <w:color w:val="auto"/>
              </w:rPr>
            </w:pPr>
          </w:p>
        </w:tc>
        <w:tc>
          <w:tcPr>
            <w:tcW w:w="16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0"/>
              </w:rPr>
              <w:t>December 31, 2013</w:t>
            </w: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spacing w:after="0"/>
              <w:rPr>
                <w:sz w:val="18"/>
                <w:szCs w:val="18"/>
                <w:color w:val="auto"/>
              </w:rPr>
            </w:pP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34,079</w:t>
            </w:r>
          </w:p>
        </w:tc>
        <w:tc>
          <w:tcPr>
            <w:tcW w:w="540" w:type="dxa"/>
            <w:vAlign w:val="bottom"/>
            <w:gridSpan w:val="2"/>
            <w:shd w:val="clear" w:color="auto" w:fill="EEEEEE"/>
          </w:tcPr>
          <w:p>
            <w:pPr>
              <w:jc w:val="right"/>
              <w:ind w:right="39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22,006</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932</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7,957</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7,970</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Accounts receivable - trade, net</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24,968</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22,089</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31,200</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19,608</w:t>
            </w:r>
          </w:p>
        </w:tc>
        <w:tc>
          <w:tcPr>
            <w:tcW w:w="80" w:type="dxa"/>
            <w:vAlign w:val="bottom"/>
            <w:shd w:val="clear" w:color="auto" w:fill="EEEEEE"/>
          </w:tcPr>
          <w:p>
            <w:pPr>
              <w:spacing w:after="0"/>
              <w:rPr>
                <w:sz w:val="18"/>
                <w:szCs w:val="18"/>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9"/>
                <w:szCs w:val="19"/>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6,978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5,488</w:t>
            </w:r>
          </w:p>
        </w:tc>
        <w:tc>
          <w:tcPr>
            <w:tcW w:w="80" w:type="dxa"/>
            <w:vAlign w:val="bottom"/>
          </w:tcPr>
          <w:p>
            <w:pPr>
              <w:spacing w:after="0"/>
              <w:rPr>
                <w:sz w:val="19"/>
                <w:szCs w:val="19"/>
                <w:color w:val="auto"/>
              </w:rPr>
            </w:pPr>
          </w:p>
        </w:tc>
      </w:tr>
      <w:tr>
        <w:trPr>
          <w:trHeight w:val="210"/>
        </w:trPr>
        <w:tc>
          <w:tcPr>
            <w:tcW w:w="7780" w:type="dxa"/>
            <w:vAlign w:val="bottom"/>
            <w:tcBorders>
              <w:top w:val="single" w:sz="8" w:color="EEEEEE"/>
            </w:tcBorders>
            <w:shd w:val="clear" w:color="auto" w:fill="EEEEEE"/>
          </w:tcPr>
          <w:p>
            <w:pPr>
              <w:ind w:left="3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106,114</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77,936</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41,657</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31,134</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Land use rights, net</w:t>
            </w:r>
          </w:p>
        </w:tc>
        <w:tc>
          <w:tcPr>
            <w:tcW w:w="18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934</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959</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3,841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851</w:t>
            </w:r>
          </w:p>
        </w:tc>
        <w:tc>
          <w:tcPr>
            <w:tcW w:w="80" w:type="dxa"/>
            <w:vAlign w:val="bottom"/>
          </w:tcPr>
          <w:p>
            <w:pPr>
              <w:spacing w:after="0"/>
              <w:rPr>
                <w:sz w:val="18"/>
                <w:szCs w:val="18"/>
                <w:color w:val="auto"/>
              </w:rPr>
            </w:pPr>
          </w:p>
        </w:tc>
      </w:tr>
      <w:tr>
        <w:trPr>
          <w:trHeight w:val="230"/>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 assets, net</w:t>
            </w:r>
          </w:p>
        </w:tc>
        <w:tc>
          <w:tcPr>
            <w:tcW w:w="18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978</w:t>
            </w: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EEEEEE"/>
          </w:tcPr>
          <w:p>
            <w:pPr>
              <w:spacing w:after="0"/>
              <w:rPr>
                <w:sz w:val="19"/>
                <w:szCs w:val="19"/>
                <w:color w:val="auto"/>
              </w:rPr>
            </w:pPr>
          </w:p>
        </w:tc>
      </w:tr>
      <w:tr>
        <w:trPr>
          <w:trHeight w:val="263"/>
        </w:trPr>
        <w:tc>
          <w:tcPr>
            <w:tcW w:w="778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153,524</w:t>
            </w:r>
          </w:p>
        </w:tc>
        <w:tc>
          <w:tcPr>
            <w:tcW w:w="360" w:type="dxa"/>
            <w:vAlign w:val="bottom"/>
            <w:tcBorders>
              <w:bottom w:val="single" w:sz="8" w:color="EEEEEE"/>
            </w:tcBorders>
          </w:tcPr>
          <w:p>
            <w:pPr>
              <w:spacing w:after="0"/>
              <w:rPr>
                <w:sz w:val="22"/>
                <w:szCs w:val="22"/>
                <w:color w:val="auto"/>
              </w:rPr>
            </w:pPr>
          </w:p>
        </w:tc>
        <w:tc>
          <w:tcPr>
            <w:tcW w:w="20" w:type="dxa"/>
            <w:vAlign w:val="bottom"/>
            <w:tcBorders>
              <w:bottom w:val="single" w:sz="8" w:color="EEEEEE"/>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111,057</w:t>
            </w:r>
          </w:p>
        </w:tc>
        <w:tc>
          <w:tcPr>
            <w:tcW w:w="20" w:type="dxa"/>
            <w:vAlign w:val="bottom"/>
            <w:tcBorders>
              <w:bottom w:val="single" w:sz="8" w:color="EEEEEE"/>
            </w:tcBorders>
          </w:tcPr>
          <w:p>
            <w:pPr>
              <w:spacing w:after="0"/>
              <w:rPr>
                <w:sz w:val="22"/>
                <w:szCs w:val="22"/>
                <w:color w:val="auto"/>
              </w:rPr>
            </w:pPr>
          </w:p>
        </w:tc>
        <w:tc>
          <w:tcPr>
            <w:tcW w:w="80" w:type="dxa"/>
            <w:vAlign w:val="bottom"/>
            <w:tcBorders>
              <w:bottom w:val="single" w:sz="8" w:color="EEEEEE"/>
            </w:tcBorders>
          </w:tcPr>
          <w:p>
            <w:pPr>
              <w:spacing w:after="0"/>
              <w:rPr>
                <w:sz w:val="22"/>
                <w:szCs w:val="22"/>
                <w:color w:val="auto"/>
              </w:rPr>
            </w:pPr>
          </w:p>
        </w:tc>
      </w:tr>
      <w:tr>
        <w:trPr>
          <w:trHeight w:val="197"/>
        </w:trPr>
        <w:tc>
          <w:tcPr>
            <w:tcW w:w="7780" w:type="dxa"/>
            <w:vAlign w:val="bottom"/>
            <w:shd w:val="clear" w:color="auto" w:fill="EEEEEE"/>
          </w:tcPr>
          <w:p>
            <w:pPr>
              <w:spacing w:after="0" w:line="196" w:lineRule="exact"/>
              <w:rPr>
                <w:sz w:val="20"/>
                <w:szCs w:val="20"/>
                <w:color w:val="auto"/>
              </w:rPr>
            </w:pPr>
            <w:r>
              <w:rPr>
                <w:rFonts w:ascii="Arial" w:cs="Arial" w:eastAsia="Arial" w:hAnsi="Arial"/>
                <w:sz w:val="18"/>
                <w:szCs w:val="18"/>
                <w:color w:val="auto"/>
              </w:rPr>
              <w:t>LIABILITIES AND STOCKHOLDERS' EQUITY</w:t>
            </w: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Current portion of notes payable and long-term debt</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9,562</w:t>
            </w:r>
          </w:p>
        </w:tc>
        <w:tc>
          <w:tcPr>
            <w:tcW w:w="540" w:type="dxa"/>
            <w:vAlign w:val="bottom"/>
            <w:gridSpan w:val="2"/>
            <w:shd w:val="clear" w:color="auto" w:fill="EEEEEE"/>
          </w:tcPr>
          <w:p>
            <w:pPr>
              <w:jc w:val="right"/>
              <w:ind w:right="39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17,185</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22,631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15,010</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Bank acceptance payable</w:t>
            </w:r>
          </w:p>
        </w:tc>
        <w:tc>
          <w:tcPr>
            <w:tcW w:w="18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2,377</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2,347</w:t>
            </w:r>
          </w:p>
        </w:tc>
        <w:tc>
          <w:tcPr>
            <w:tcW w:w="80" w:type="dxa"/>
            <w:vAlign w:val="bottom"/>
            <w:shd w:val="clear" w:color="auto" w:fill="EEEEEE"/>
          </w:tcPr>
          <w:p>
            <w:pPr>
              <w:spacing w:after="0"/>
              <w:rPr>
                <w:sz w:val="18"/>
                <w:szCs w:val="18"/>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9"/>
                <w:szCs w:val="19"/>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5,606</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4,515</w:t>
            </w:r>
          </w:p>
        </w:tc>
        <w:tc>
          <w:tcPr>
            <w:tcW w:w="80" w:type="dxa"/>
            <w:vAlign w:val="bottom"/>
          </w:tcPr>
          <w:p>
            <w:pPr>
              <w:spacing w:after="0"/>
              <w:rPr>
                <w:sz w:val="19"/>
                <w:szCs w:val="19"/>
                <w:color w:val="auto"/>
              </w:rPr>
            </w:pPr>
          </w:p>
        </w:tc>
      </w:tr>
      <w:tr>
        <w:trPr>
          <w:trHeight w:val="210"/>
        </w:trPr>
        <w:tc>
          <w:tcPr>
            <w:tcW w:w="7780" w:type="dxa"/>
            <w:vAlign w:val="bottom"/>
            <w:tcBorders>
              <w:top w:val="single" w:sz="8" w:color="EEEEEE"/>
            </w:tcBorders>
            <w:shd w:val="clear" w:color="auto" w:fill="EEEEEE"/>
          </w:tcPr>
          <w:p>
            <w:pPr>
              <w:ind w:left="3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40,176</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39,057</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Notes payable and long-term debt, less current portion</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8,923</w:t>
            </w:r>
          </w:p>
        </w:tc>
        <w:tc>
          <w:tcPr>
            <w:tcW w:w="80" w:type="dxa"/>
            <w:vAlign w:val="bottom"/>
          </w:tcPr>
          <w:p>
            <w:pPr>
              <w:spacing w:after="0"/>
              <w:rPr>
                <w:sz w:val="18"/>
                <w:szCs w:val="18"/>
                <w:color w:val="auto"/>
              </w:rPr>
            </w:pPr>
          </w:p>
        </w:tc>
      </w:tr>
      <w:tr>
        <w:trPr>
          <w:trHeight w:val="230"/>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 long term liabilities</w:t>
            </w:r>
          </w:p>
        </w:tc>
        <w:tc>
          <w:tcPr>
            <w:tcW w:w="18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1,500</w:t>
            </w: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140" w:type="dxa"/>
            <w:vAlign w:val="bottom"/>
            <w:gridSpan w:val="3"/>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780" w:type="dxa"/>
            <w:vAlign w:val="bottom"/>
            <w:tcBorders>
              <w:bottom w:val="single" w:sz="8" w:color="EEEEEE"/>
            </w:tcBorders>
          </w:tcPr>
          <w:p>
            <w:pPr>
              <w:ind w:left="1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41,743</w:t>
            </w:r>
          </w:p>
        </w:tc>
        <w:tc>
          <w:tcPr>
            <w:tcW w:w="36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47,980</w:t>
            </w:r>
          </w:p>
        </w:tc>
        <w:tc>
          <w:tcPr>
            <w:tcW w:w="2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r>
      <w:tr>
        <w:trPr>
          <w:trHeight w:val="210"/>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Stockholders' equity (deficit):</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02"/>
        </w:trPr>
        <w:tc>
          <w:tcPr>
            <w:tcW w:w="7780" w:type="dxa"/>
            <w:vAlign w:val="bottom"/>
          </w:tcPr>
          <w:p>
            <w:pPr>
              <w:ind w:left="180"/>
              <w:spacing w:after="0" w:line="201" w:lineRule="exact"/>
              <w:rPr>
                <w:sz w:val="20"/>
                <w:szCs w:val="20"/>
                <w:color w:val="auto"/>
              </w:rPr>
            </w:pPr>
            <w:r>
              <w:rPr>
                <w:rFonts w:ascii="Arial" w:cs="Arial" w:eastAsia="Arial" w:hAnsi="Arial"/>
                <w:sz w:val="18"/>
                <w:szCs w:val="18"/>
                <w:color w:val="auto"/>
                <w:w w:val="96"/>
              </w:rPr>
              <w:t>Preferred Stock; 5,000 shares authorized; no shares issued and outstanding at June 30, 2014 and</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780" w:type="dxa"/>
            <w:vAlign w:val="bottom"/>
          </w:tcPr>
          <w:p>
            <w:pPr>
              <w:ind w:left="360"/>
              <w:spacing w:after="0"/>
              <w:rPr>
                <w:sz w:val="20"/>
                <w:szCs w:val="20"/>
                <w:color w:val="auto"/>
              </w:rPr>
            </w:pPr>
            <w:r>
              <w:rPr>
                <w:rFonts w:ascii="Arial" w:cs="Arial" w:eastAsia="Arial" w:hAnsi="Arial"/>
                <w:sz w:val="18"/>
                <w:szCs w:val="18"/>
                <w:color w:val="auto"/>
              </w:rPr>
              <w:t>December 31, 2013, $0.001 par value</w:t>
            </w:r>
          </w:p>
        </w:tc>
        <w:tc>
          <w:tcPr>
            <w:tcW w:w="180" w:type="dxa"/>
            <w:vAlign w:val="bottom"/>
          </w:tcPr>
          <w:p>
            <w:pPr>
              <w:spacing w:after="0"/>
              <w:rPr>
                <w:sz w:val="20"/>
                <w:szCs w:val="20"/>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7780" w:type="dxa"/>
            <w:vAlign w:val="bottom"/>
            <w:shd w:val="clear" w:color="auto" w:fill="EEEEEE"/>
          </w:tcPr>
          <w:p>
            <w:pPr>
              <w:ind w:left="180"/>
              <w:spacing w:after="0" w:line="201" w:lineRule="exact"/>
              <w:rPr>
                <w:sz w:val="20"/>
                <w:szCs w:val="20"/>
                <w:color w:val="auto"/>
              </w:rPr>
            </w:pPr>
            <w:r>
              <w:rPr>
                <w:rFonts w:ascii="Arial" w:cs="Arial" w:eastAsia="Arial" w:hAnsi="Arial"/>
                <w:sz w:val="18"/>
                <w:szCs w:val="18"/>
                <w:color w:val="auto"/>
                <w:w w:val="95"/>
              </w:rPr>
              <w:t>Common Stock; 45,000 shares authorized; 14,798 shares issued and outstanding at June 30, 2014,</w:t>
            </w: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52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0"/>
        </w:trPr>
        <w:tc>
          <w:tcPr>
            <w:tcW w:w="7780" w:type="dxa"/>
            <w:vAlign w:val="bottom"/>
            <w:shd w:val="clear" w:color="auto" w:fill="EEEEEE"/>
          </w:tcPr>
          <w:p>
            <w:pPr>
              <w:ind w:left="360"/>
              <w:spacing w:after="0"/>
              <w:rPr>
                <w:sz w:val="20"/>
                <w:szCs w:val="20"/>
                <w:color w:val="auto"/>
              </w:rPr>
            </w:pPr>
            <w:r>
              <w:rPr>
                <w:rFonts w:ascii="Arial" w:cs="Arial" w:eastAsia="Arial" w:hAnsi="Arial"/>
                <w:sz w:val="18"/>
                <w:szCs w:val="18"/>
                <w:color w:val="auto"/>
                <w:w w:val="95"/>
              </w:rPr>
              <w:t>$0.001 par value; 12,644 shares issued and outstanding at December 31, 2013, $0.001 par value</w:t>
            </w:r>
          </w:p>
        </w:tc>
        <w:tc>
          <w:tcPr>
            <w:tcW w:w="180" w:type="dxa"/>
            <w:vAlign w:val="bottom"/>
            <w:shd w:val="clear" w:color="auto" w:fill="EEEEEE"/>
          </w:tcPr>
          <w:p>
            <w:pPr>
              <w:spacing w:after="0"/>
              <w:rPr>
                <w:sz w:val="20"/>
                <w:szCs w:val="20"/>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w:t>
            </w:r>
          </w:p>
        </w:tc>
        <w:tc>
          <w:tcPr>
            <w:tcW w:w="36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52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shd w:val="clear" w:color="auto" w:fill="EEEEEE"/>
          </w:tcPr>
          <w:p>
            <w:pPr>
              <w:spacing w:after="0"/>
              <w:rPr>
                <w:sz w:val="20"/>
                <w:szCs w:val="20"/>
                <w:color w:val="auto"/>
              </w:rPr>
            </w:pPr>
          </w:p>
        </w:tc>
      </w:tr>
      <w:tr>
        <w:trPr>
          <w:trHeight w:val="216"/>
        </w:trPr>
        <w:tc>
          <w:tcPr>
            <w:tcW w:w="778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190,861</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144,023</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Accumulated other comprehensive gain</w:t>
            </w:r>
          </w:p>
        </w:tc>
        <w:tc>
          <w:tcPr>
            <w:tcW w:w="18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2,224</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2,364</w:t>
            </w:r>
          </w:p>
        </w:tc>
        <w:tc>
          <w:tcPr>
            <w:tcW w:w="80" w:type="dxa"/>
            <w:vAlign w:val="bottom"/>
            <w:shd w:val="clear" w:color="auto" w:fill="EEEEEE"/>
          </w:tcPr>
          <w:p>
            <w:pPr>
              <w:spacing w:after="0"/>
              <w:rPr>
                <w:sz w:val="18"/>
                <w:szCs w:val="18"/>
                <w:color w:val="auto"/>
              </w:rPr>
            </w:pPr>
          </w:p>
        </w:tc>
      </w:tr>
      <w:tr>
        <w:trPr>
          <w:trHeight w:val="230"/>
        </w:trPr>
        <w:tc>
          <w:tcPr>
            <w:tcW w:w="77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9"/>
                <w:szCs w:val="19"/>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(81,319)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(83,323)</w:t>
            </w: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111,781</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bottom w:val="single" w:sz="8" w:color="auto"/>
            </w:tcBorders>
            <w:shd w:val="clear" w:color="auto" w:fill="EEEEEE"/>
          </w:tcPr>
          <w:p>
            <w:pPr>
              <w:spacing w:after="0"/>
              <w:rPr>
                <w:sz w:val="18"/>
                <w:szCs w:val="18"/>
                <w:color w:val="auto"/>
              </w:rPr>
            </w:pP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63,077</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153,524</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97"/>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111,057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0"/>
              </w:rPr>
              <w:t>Three months ended June 30,</w:t>
            </w:r>
          </w:p>
        </w:tc>
        <w:tc>
          <w:tcPr>
            <w:tcW w:w="180" w:type="dxa"/>
            <w:vAlign w:val="bottom"/>
          </w:tcPr>
          <w:p>
            <w:pPr>
              <w:spacing w:after="0"/>
              <w:rPr>
                <w:sz w:val="20"/>
                <w:szCs w:val="20"/>
                <w:color w:val="auto"/>
              </w:rPr>
            </w:pPr>
          </w:p>
        </w:tc>
        <w:tc>
          <w:tcPr>
            <w:tcW w:w="252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23"/>
        </w:trPr>
        <w:tc>
          <w:tcPr>
            <w:tcW w:w="5720" w:type="dxa"/>
            <w:vAlign w:val="bottom"/>
            <w:tcBorders>
              <w:bottom w:val="single" w:sz="8" w:color="EEEEEE"/>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360" w:type="dxa"/>
            <w:vAlign w:val="bottom"/>
            <w:tcBorders>
              <w:top w:val="single" w:sz="8" w:color="auto"/>
              <w:bottom w:val="single" w:sz="8" w:color="EEEEEE"/>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320" w:type="dxa"/>
            <w:vAlign w:val="bottom"/>
            <w:tcBorders>
              <w:bottom w:val="single" w:sz="8" w:color="EEEEEE"/>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180" w:type="dxa"/>
            <w:vAlign w:val="bottom"/>
            <w:tcBorders>
              <w:top w:val="single" w:sz="8" w:color="auto"/>
              <w:bottom w:val="single" w:sz="8" w:color="EEEEEE"/>
            </w:tcBorders>
          </w:tcPr>
          <w:p>
            <w:pPr>
              <w:spacing w:after="0"/>
              <w:rPr>
                <w:sz w:val="19"/>
                <w:szCs w:val="19"/>
                <w:color w:val="auto"/>
              </w:rPr>
            </w:pPr>
          </w:p>
        </w:tc>
        <w:tc>
          <w:tcPr>
            <w:tcW w:w="140" w:type="dxa"/>
            <w:vAlign w:val="bottom"/>
            <w:tcBorders>
              <w:top w:val="single" w:sz="8" w:color="auto"/>
              <w:bottom w:val="single" w:sz="8" w:color="EEEEEE"/>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Revenue, net</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32,650</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19,597</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57,509</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33,914</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Cost of goods sold</w:t>
            </w:r>
          </w:p>
        </w:tc>
        <w:tc>
          <w:tcPr>
            <w:tcW w:w="140" w:type="dxa"/>
            <w:vAlign w:val="bottom"/>
          </w:tcPr>
          <w:p>
            <w:pPr>
              <w:spacing w:after="0"/>
              <w:rPr>
                <w:sz w:val="19"/>
                <w:szCs w:val="19"/>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21,462</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14,150</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37,668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23,882</w:t>
            </w:r>
          </w:p>
        </w:tc>
        <w:tc>
          <w:tcPr>
            <w:tcW w:w="0" w:type="dxa"/>
            <w:vAlign w:val="bottom"/>
          </w:tcPr>
          <w:p>
            <w:pPr>
              <w:spacing w:after="0"/>
              <w:rPr>
                <w:sz w:val="1"/>
                <w:szCs w:val="1"/>
                <w:color w:val="auto"/>
              </w:rPr>
            </w:pPr>
          </w:p>
        </w:tc>
      </w:tr>
      <w:tr>
        <w:trPr>
          <w:trHeight w:val="210"/>
        </w:trPr>
        <w:tc>
          <w:tcPr>
            <w:tcW w:w="57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11,188</w:t>
            </w:r>
          </w:p>
        </w:tc>
        <w:tc>
          <w:tcPr>
            <w:tcW w:w="3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5,447</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bottom w:val="single" w:sz="8" w:color="auto"/>
            </w:tcBorders>
            <w:shd w:val="clear" w:color="auto" w:fill="EEEEEE"/>
          </w:tcPr>
          <w:p>
            <w:pPr>
              <w:spacing w:after="0"/>
              <w:rPr>
                <w:sz w:val="18"/>
                <w:szCs w:val="18"/>
                <w:color w:val="auto"/>
              </w:rPr>
            </w:pP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19,841</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10,032</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4,009</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1,898</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7,555</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3,902</w:t>
            </w:r>
          </w:p>
        </w:tc>
        <w:tc>
          <w:tcPr>
            <w:tcW w:w="0" w:type="dxa"/>
            <w:vAlign w:val="bottom"/>
          </w:tcPr>
          <w:p>
            <w:pPr>
              <w:spacing w:after="0"/>
              <w:rPr>
                <w:sz w:val="1"/>
                <w:szCs w:val="1"/>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1,497</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1,053</w:t>
            </w: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2,830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30"/>
        </w:trPr>
        <w:tc>
          <w:tcPr>
            <w:tcW w:w="5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EEEEEE"/>
          </w:tcPr>
          <w:p>
            <w:pPr>
              <w:spacing w:after="0"/>
              <w:rPr>
                <w:sz w:val="19"/>
                <w:szCs w:val="19"/>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3,952</w:t>
            </w:r>
          </w:p>
        </w:tc>
        <w:tc>
          <w:tcPr>
            <w:tcW w:w="36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2,447</w:t>
            </w:r>
          </w:p>
        </w:tc>
        <w:tc>
          <w:tcPr>
            <w:tcW w:w="18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7,506</w:t>
            </w:r>
          </w:p>
        </w:tc>
        <w:tc>
          <w:tcPr>
            <w:tcW w:w="1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4,821</w:t>
            </w:r>
          </w:p>
        </w:tc>
        <w:tc>
          <w:tcPr>
            <w:tcW w:w="0" w:type="dxa"/>
            <w:vAlign w:val="bottom"/>
          </w:tcPr>
          <w:p>
            <w:pPr>
              <w:spacing w:after="0"/>
              <w:rPr>
                <w:sz w:val="1"/>
                <w:szCs w:val="1"/>
                <w:color w:val="auto"/>
              </w:rPr>
            </w:pPr>
          </w:p>
        </w:tc>
      </w:tr>
      <w:tr>
        <w:trPr>
          <w:trHeight w:val="210"/>
        </w:trPr>
        <w:tc>
          <w:tcPr>
            <w:tcW w:w="572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9,458</w:t>
            </w:r>
          </w:p>
        </w:tc>
        <w:tc>
          <w:tcPr>
            <w:tcW w:w="36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5,398</w:t>
            </w:r>
          </w:p>
        </w:tc>
        <w:tc>
          <w:tcPr>
            <w:tcW w:w="320" w:type="dxa"/>
            <w:vAlign w:val="bottom"/>
            <w:tcBorders>
              <w:bottom w:val="single" w:sz="8" w:color="EEEEEE"/>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17,891</w:t>
            </w:r>
          </w:p>
        </w:tc>
        <w:tc>
          <w:tcPr>
            <w:tcW w:w="18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10,683</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bottom w:val="single" w:sz="8" w:color="auto"/>
            </w:tcBorders>
            <w:shd w:val="clear" w:color="auto" w:fill="EEEEEE"/>
          </w:tcPr>
          <w:p>
            <w:pPr>
              <w:spacing w:after="0"/>
              <w:rPr>
                <w:sz w:val="18"/>
                <w:szCs w:val="18"/>
                <w:color w:val="auto"/>
              </w:rPr>
            </w:pPr>
          </w:p>
        </w:tc>
        <w:tc>
          <w:tcPr>
            <w:tcW w:w="10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1,730</w:t>
            </w:r>
          </w:p>
        </w:tc>
        <w:tc>
          <w:tcPr>
            <w:tcW w:w="360" w:type="dxa"/>
            <w:vAlign w:val="bottom"/>
            <w:shd w:val="clear" w:color="auto" w:fill="EEEEEE"/>
          </w:tcPr>
          <w:p>
            <w:pPr>
              <w:spacing w:after="0"/>
              <w:rPr>
                <w:sz w:val="18"/>
                <w:szCs w:val="18"/>
                <w:color w:val="auto"/>
              </w:rPr>
            </w:pPr>
          </w:p>
        </w:tc>
        <w:tc>
          <w:tcPr>
            <w:tcW w:w="240" w:type="dxa"/>
            <w:vAlign w:val="bottom"/>
            <w:tcBorders>
              <w:bottom w:val="single" w:sz="8" w:color="auto"/>
            </w:tcBorders>
            <w:shd w:val="clear" w:color="auto" w:fill="EEEEEE"/>
          </w:tcPr>
          <w:p>
            <w:pPr>
              <w:spacing w:after="0"/>
              <w:rPr>
                <w:sz w:val="18"/>
                <w:szCs w:val="18"/>
                <w:color w:val="auto"/>
              </w:rPr>
            </w:pPr>
          </w:p>
        </w:tc>
        <w:tc>
          <w:tcPr>
            <w:tcW w:w="9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49</w:t>
            </w:r>
          </w:p>
        </w:tc>
        <w:tc>
          <w:tcPr>
            <w:tcW w:w="320" w:type="dxa"/>
            <w:vAlign w:val="bottom"/>
            <w:shd w:val="clear" w:color="auto" w:fill="EEEEEE"/>
          </w:tcPr>
          <w:p>
            <w:pPr>
              <w:spacing w:after="0"/>
              <w:rPr>
                <w:sz w:val="18"/>
                <w:szCs w:val="18"/>
                <w:color w:val="auto"/>
              </w:rPr>
            </w:pPr>
          </w:p>
        </w:tc>
        <w:tc>
          <w:tcPr>
            <w:tcW w:w="180" w:type="dxa"/>
            <w:vAlign w:val="bottom"/>
            <w:tcBorders>
              <w:bottom w:val="single" w:sz="8" w:color="auto"/>
            </w:tcBorders>
            <w:shd w:val="clear" w:color="auto" w:fill="EEEEEE"/>
          </w:tcPr>
          <w:p>
            <w:pPr>
              <w:spacing w:after="0"/>
              <w:rPr>
                <w:sz w:val="18"/>
                <w:szCs w:val="18"/>
                <w:color w:val="auto"/>
              </w:rPr>
            </w:pP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1,950</w:t>
            </w: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tcBorders>
              <w:bottom w:val="single" w:sz="8" w:color="auto"/>
            </w:tcBorders>
            <w:shd w:val="clear" w:color="auto" w:fill="EEEEEE"/>
          </w:tcPr>
          <w:p>
            <w:pPr>
              <w:spacing w:after="0"/>
              <w:rPr>
                <w:sz w:val="18"/>
                <w:szCs w:val="18"/>
                <w:color w:val="auto"/>
              </w:rPr>
            </w:pP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Interest income</w:t>
            </w:r>
          </w:p>
        </w:tc>
        <w:tc>
          <w:tcPr>
            <w:tcW w:w="1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30"/>
        </w:trPr>
        <w:tc>
          <w:tcPr>
            <w:tcW w:w="5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Other expense, net</w:t>
            </w:r>
          </w:p>
        </w:tc>
        <w:tc>
          <w:tcPr>
            <w:tcW w:w="14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228</w:t>
            </w:r>
          </w:p>
        </w:tc>
        <w:tc>
          <w:tcPr>
            <w:tcW w:w="24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(50)</w:t>
            </w:r>
          </w:p>
        </w:tc>
        <w:tc>
          <w:tcPr>
            <w:tcW w:w="18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201</w:t>
            </w:r>
          </w:p>
        </w:tc>
        <w:tc>
          <w:tcPr>
            <w:tcW w:w="14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8"/>
                <w:szCs w:val="18"/>
                <w:color w:val="auto"/>
              </w:rPr>
              <w:t>Total other expense</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3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2,004</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(282)</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2,114</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Income taxes</w:t>
            </w:r>
          </w:p>
        </w:tc>
        <w:tc>
          <w:tcPr>
            <w:tcW w:w="140" w:type="dxa"/>
            <w:vAlign w:val="bottom"/>
          </w:tcPr>
          <w:p>
            <w:pPr>
              <w:spacing w:after="0"/>
              <w:rPr>
                <w:sz w:val="19"/>
                <w:szCs w:val="19"/>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1,919</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(282</w:t>
            </w:r>
          </w:p>
        </w:tc>
        <w:tc>
          <w:tcPr>
            <w:tcW w:w="320" w:type="dxa"/>
            <w:vAlign w:val="bottom"/>
            <w:tcBorders>
              <w:top w:val="single" w:sz="8" w:color="EEEEEE"/>
              <w:bottom w:val="single" w:sz="8" w:color="EEEEEE"/>
            </w:tcBorders>
            <w:shd w:val="clear" w:color="auto" w:fill="EEEEEE"/>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2,004</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(1,276</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0.15</w:t>
            </w:r>
          </w:p>
        </w:tc>
        <w:tc>
          <w:tcPr>
            <w:tcW w:w="380" w:type="dxa"/>
            <w:vAlign w:val="bottom"/>
            <w:gridSpan w:val="2"/>
            <w:shd w:val="clear" w:color="auto" w:fill="EEEEEE"/>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0.12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0.14</w:t>
            </w: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shares used to compute net income (loss) per share</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180"/>
              <w:spacing w:after="0"/>
              <w:rPr>
                <w:sz w:val="20"/>
                <w:szCs w:val="20"/>
                <w:color w:val="auto"/>
              </w:rPr>
            </w:pPr>
            <w:r>
              <w:rPr>
                <w:rFonts w:ascii="Arial" w:cs="Arial" w:eastAsia="Arial" w:hAnsi="Arial"/>
                <w:sz w:val="18"/>
                <w:szCs w:val="18"/>
                <w:color w:val="auto"/>
              </w:rPr>
              <w:t>Basic</w:t>
            </w:r>
          </w:p>
        </w:tc>
        <w:tc>
          <w:tcPr>
            <w:tcW w:w="14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14,785,437</w:t>
            </w:r>
          </w:p>
        </w:tc>
        <w:tc>
          <w:tcPr>
            <w:tcW w:w="24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270,912</w:t>
            </w:r>
          </w:p>
        </w:tc>
        <w:tc>
          <w:tcPr>
            <w:tcW w:w="1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13,794,384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267,711</w:t>
            </w:r>
          </w:p>
        </w:tc>
        <w:tc>
          <w:tcPr>
            <w:tcW w:w="0" w:type="dxa"/>
            <w:vAlign w:val="bottom"/>
          </w:tcPr>
          <w:p>
            <w:pPr>
              <w:spacing w:after="0"/>
              <w:rPr>
                <w:sz w:val="1"/>
                <w:szCs w:val="1"/>
                <w:color w:val="auto"/>
              </w:rPr>
            </w:pPr>
          </w:p>
        </w:tc>
      </w:tr>
      <w:tr>
        <w:trPr>
          <w:trHeight w:val="216"/>
        </w:trPr>
        <w:tc>
          <w:tcPr>
            <w:tcW w:w="57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15,641,694</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270,912</w:t>
            </w:r>
          </w:p>
        </w:tc>
        <w:tc>
          <w:tcPr>
            <w:tcW w:w="18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14,620,570</w:t>
            </w:r>
          </w:p>
        </w:tc>
        <w:tc>
          <w:tcPr>
            <w:tcW w:w="1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267,711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ind w:left="260" w:right="2540"/>
        <w:spacing w:after="0" w:line="266" w:lineRule="auto"/>
        <w:rPr>
          <w:sz w:val="20"/>
          <w:szCs w:val="20"/>
          <w:color w:val="auto"/>
        </w:rPr>
      </w:pPr>
      <w:r>
        <w:rPr>
          <w:rFonts w:ascii="Arial" w:cs="Arial" w:eastAsia="Arial" w:hAnsi="Arial"/>
          <w:sz w:val="18"/>
          <w:szCs w:val="18"/>
          <w:b w:val="1"/>
          <w:bCs w:val="1"/>
          <w:color w:val="auto"/>
        </w:rPr>
        <w:t>Applied Optoelectronics, Inc. and Subsidiaries CONDENSED CONSOLIDATED STATEMENTS OF COMPREHENSIVE LOSS (Unaudited,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0"/>
              </w:rPr>
              <w:t>Three months ended June 30,</w:t>
            </w:r>
          </w:p>
        </w:tc>
        <w:tc>
          <w:tcPr>
            <w:tcW w:w="180" w:type="dxa"/>
            <w:vAlign w:val="bottom"/>
          </w:tcPr>
          <w:p>
            <w:pPr>
              <w:spacing w:after="0"/>
              <w:rPr>
                <w:sz w:val="20"/>
                <w:szCs w:val="20"/>
                <w:color w:val="auto"/>
              </w:rPr>
            </w:pPr>
          </w:p>
        </w:tc>
        <w:tc>
          <w:tcPr>
            <w:tcW w:w="252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5720" w:type="dxa"/>
            <w:vAlign w:val="bottom"/>
            <w:tcBorders>
              <w:bottom w:val="single" w:sz="8" w:color="EEEEEE"/>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360" w:type="dxa"/>
            <w:vAlign w:val="bottom"/>
            <w:tcBorders>
              <w:top w:val="single" w:sz="8" w:color="auto"/>
              <w:bottom w:val="single" w:sz="8" w:color="EEEEEE"/>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320" w:type="dxa"/>
            <w:vAlign w:val="bottom"/>
            <w:tcBorders>
              <w:bottom w:val="single" w:sz="8" w:color="EEEEEE"/>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320" w:type="dxa"/>
            <w:vAlign w:val="bottom"/>
            <w:tcBorders>
              <w:top w:val="single" w:sz="8" w:color="auto"/>
              <w:bottom w:val="single" w:sz="8" w:color="EEEEEE"/>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EEEEEE"/>
            </w:tcBorders>
          </w:tcPr>
          <w:p>
            <w:pPr>
              <w:spacing w:after="0"/>
              <w:rPr>
                <w:sz w:val="19"/>
                <w:szCs w:val="19"/>
                <w:color w:val="auto"/>
              </w:rPr>
            </w:pPr>
          </w:p>
        </w:tc>
      </w:tr>
      <w:tr>
        <w:trPr>
          <w:trHeight w:val="210"/>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1,919</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(282)</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2,004</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(1,276)</w:t>
            </w:r>
          </w:p>
        </w:tc>
        <w:tc>
          <w:tcPr>
            <w:tcW w:w="100" w:type="dxa"/>
            <w:vAlign w:val="bottom"/>
            <w:shd w:val="clear" w:color="auto" w:fill="EEEEEE"/>
          </w:tcPr>
          <w:p>
            <w:pPr>
              <w:spacing w:after="0"/>
              <w:rPr>
                <w:sz w:val="18"/>
                <w:szCs w:val="18"/>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Foreign currency translation adjustment, net of tax</w:t>
            </w:r>
          </w:p>
        </w:tc>
        <w:tc>
          <w:tcPr>
            <w:tcW w:w="140" w:type="dxa"/>
            <w:vAlign w:val="bottom"/>
          </w:tcPr>
          <w:p>
            <w:pPr>
              <w:spacing w:after="0"/>
              <w:rPr>
                <w:sz w:val="19"/>
                <w:szCs w:val="19"/>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139</w:t>
            </w:r>
          </w:p>
        </w:tc>
        <w:tc>
          <w:tcPr>
            <w:tcW w:w="2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176</w:t>
            </w:r>
          </w:p>
        </w:tc>
        <w:tc>
          <w:tcPr>
            <w:tcW w:w="18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(140)</w:t>
            </w:r>
          </w:p>
        </w:tc>
        <w:tc>
          <w:tcPr>
            <w:tcW w:w="2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239</w:t>
            </w:r>
          </w:p>
        </w:tc>
      </w:tr>
      <w:tr>
        <w:trPr>
          <w:trHeight w:val="223"/>
        </w:trPr>
        <w:tc>
          <w:tcPr>
            <w:tcW w:w="57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Comprehensive income (loss)</w:t>
            </w:r>
          </w:p>
        </w:tc>
        <w:tc>
          <w:tcPr>
            <w:tcW w:w="1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2,058</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w:t>
            </w:r>
          </w:p>
        </w:tc>
        <w:tc>
          <w:tcPr>
            <w:tcW w:w="320" w:type="dxa"/>
            <w:vAlign w:val="bottom"/>
            <w:tcBorders>
              <w:top w:val="single" w:sz="8" w:color="EEEEEE"/>
              <w:bottom w:val="single" w:sz="8" w:color="EEEEEE"/>
            </w:tcBorders>
            <w:shd w:val="clear" w:color="auto" w:fill="EEEEEE"/>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1,864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2940" w:type="dxa"/>
            <w:vAlign w:val="bottom"/>
            <w:tcBorders>
              <w:bottom w:val="single" w:sz="8" w:color="auto"/>
            </w:tcBorders>
            <w:gridSpan w:val="5"/>
          </w:tcPr>
          <w:p>
            <w:pPr>
              <w:jc w:val="right"/>
              <w:ind w:right="85"/>
              <w:spacing w:after="0"/>
              <w:rPr>
                <w:sz w:val="20"/>
                <w:szCs w:val="20"/>
                <w:color w:val="auto"/>
              </w:rPr>
            </w:pPr>
            <w:r>
              <w:rPr>
                <w:rFonts w:ascii="Arial" w:cs="Arial" w:eastAsia="Arial" w:hAnsi="Arial"/>
                <w:sz w:val="18"/>
                <w:szCs w:val="18"/>
                <w:b w:val="1"/>
                <w:bCs w:val="1"/>
                <w:color w:val="auto"/>
              </w:rPr>
              <w:t>Six months ended June 30,</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2013</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Operating activities:</w:t>
            </w:r>
          </w:p>
        </w:tc>
        <w:tc>
          <w:tcPr>
            <w:tcW w:w="1020" w:type="dxa"/>
            <w:vAlign w:val="bottom"/>
            <w:tcBorders>
              <w:top w:val="single" w:sz="8" w:color="auto"/>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spacing w:after="0"/>
              <w:rPr>
                <w:sz w:val="18"/>
                <w:szCs w:val="18"/>
                <w:color w:val="auto"/>
              </w:rPr>
            </w:pPr>
          </w:p>
        </w:tc>
        <w:tc>
          <w:tcPr>
            <w:tcW w:w="6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1020" w:type="dxa"/>
            <w:vAlign w:val="bottom"/>
          </w:tcPr>
          <w:p>
            <w:pPr>
              <w:jc w:val="right"/>
              <w:ind w:right="857"/>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2,004</w:t>
            </w:r>
          </w:p>
        </w:tc>
        <w:tc>
          <w:tcPr>
            <w:tcW w:w="1140" w:type="dxa"/>
            <w:vAlign w:val="bottom"/>
            <w:gridSpan w:val="2"/>
          </w:tcPr>
          <w:p>
            <w:pPr>
              <w:jc w:val="right"/>
              <w:ind w:right="825"/>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w w:val="99"/>
              </w:rPr>
              <w:t>Adjustments to reconcile net income (loss) to net cash provided by (used in) operating activities:</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Provision for obsolete inventory</w:t>
            </w: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768</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Depreciation and amortization</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2,670</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Gain (loss) on disposal of assets</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Stock-based compensation and warrant expense</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1,007</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Accounts receivable</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(2,829)</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Inventory</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(12,360)</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Other current assets</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(1,475)</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9,087</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6,299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340"/>
              <w:spacing w:after="0"/>
              <w:rPr>
                <w:sz w:val="20"/>
                <w:szCs w:val="20"/>
                <w:color w:val="auto"/>
              </w:rPr>
            </w:pPr>
            <w:r>
              <w:rPr>
                <w:rFonts w:ascii="Arial" w:cs="Arial" w:eastAsia="Arial" w:hAnsi="Arial"/>
                <w:sz w:val="18"/>
                <w:szCs w:val="18"/>
                <w:color w:val="auto"/>
              </w:rPr>
              <w:t>Accrued liabilities</w:t>
            </w:r>
          </w:p>
        </w:tc>
        <w:tc>
          <w:tcPr>
            <w:tcW w:w="102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1,097</w:t>
            </w:r>
          </w:p>
        </w:tc>
        <w:tc>
          <w:tcPr>
            <w:tcW w:w="16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cash provided by (used in) operating activities</w:t>
            </w:r>
          </w:p>
        </w:tc>
        <w:tc>
          <w:tcPr>
            <w:tcW w:w="10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EEEEEE"/>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EEEEEE"/>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Investing activities: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Purchase of short-term investments</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Purchase of property, plant and equipment</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(13,101)</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from disposal of equipment</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Deposits and deferred charges</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(813)</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Purchase of intangible assets</w:t>
            </w:r>
          </w:p>
        </w:tc>
        <w:tc>
          <w:tcPr>
            <w:tcW w:w="102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(3,153)</w:t>
            </w:r>
          </w:p>
        </w:tc>
        <w:tc>
          <w:tcPr>
            <w:tcW w:w="16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(17,108</w:t>
            </w:r>
          </w:p>
        </w:tc>
        <w:tc>
          <w:tcPr>
            <w:tcW w:w="200" w:type="dxa"/>
            <w:vAlign w:val="bottom"/>
            <w:tcBorders>
              <w:bottom w:val="single" w:sz="8" w:color="EEEEEE"/>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EEEEEE"/>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(3,596</w:t>
            </w: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Financing activities:</w:t>
            </w:r>
          </w:p>
        </w:tc>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from issuance of notes payable and long-term debt</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3,150</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Principal payments of long-term debt and notes payable</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(8,076)</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from line of credit borrowings</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10,763</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13,229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Repayments of line of credit borrowings</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(22,304)</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95"/>
              </w:rPr>
              <w:t>(13,018)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Proceeds from bank acceptance payable</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3,826</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Repayments of bank acceptance payable</w:t>
            </w:r>
          </w:p>
        </w:tc>
        <w:tc>
          <w:tcPr>
            <w:tcW w:w="10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(3,773)</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Increase in restricted cash</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Exercise of warrants</w:t>
            </w:r>
          </w:p>
        </w:tc>
        <w:tc>
          <w:tcPr>
            <w:tcW w:w="102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Proceeds from public offering, net</w:t>
            </w:r>
          </w:p>
        </w:tc>
        <w:tc>
          <w:tcPr>
            <w:tcW w:w="10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45,630</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cash provided by financing activities</w:t>
            </w: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29,271</w:t>
            </w: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980" w:type="dxa"/>
            <w:vAlign w:val="bottom"/>
            <w:tcBorders>
              <w:top w:val="single" w:sz="8" w:color="auto"/>
              <w:bottom w:val="single" w:sz="8" w:color="auto"/>
            </w:tcBorders>
            <w:shd w:val="clear" w:color="auto" w:fill="EEEEEE"/>
          </w:tcPr>
          <w:p>
            <w:pPr>
              <w:spacing w:after="0"/>
              <w:rPr>
                <w:sz w:val="18"/>
                <w:szCs w:val="18"/>
                <w:color w:val="auto"/>
              </w:rPr>
            </w:pP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Borders>
              <w:bottom w:val="single" w:sz="8" w:color="EEEEEE"/>
            </w:tcBorders>
          </w:tcPr>
          <w:p>
            <w:pPr>
              <w:ind w:left="160"/>
              <w:spacing w:after="0"/>
              <w:rPr>
                <w:sz w:val="20"/>
                <w:szCs w:val="20"/>
                <w:color w:val="auto"/>
              </w:rPr>
            </w:pPr>
            <w:r>
              <w:rPr>
                <w:rFonts w:ascii="Arial" w:cs="Arial" w:eastAsia="Arial" w:hAnsi="Arial"/>
                <w:sz w:val="18"/>
                <w:szCs w:val="18"/>
                <w:color w:val="auto"/>
              </w:rPr>
              <w:t>Effect of exchange rate changes on cash</w:t>
            </w:r>
          </w:p>
        </w:tc>
        <w:tc>
          <w:tcPr>
            <w:tcW w:w="10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EEEEEE"/>
            </w:tcBorders>
          </w:tcPr>
          <w:p>
            <w:pPr>
              <w:jc w:val="right"/>
              <w:ind w:right="60"/>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EEEEEE"/>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EEEEEE"/>
          </w:tcPr>
          <w:p>
            <w:pPr>
              <w:spacing w:after="0"/>
              <w:rPr>
                <w:sz w:val="20"/>
                <w:szCs w:val="20"/>
                <w:color w:val="auto"/>
              </w:rPr>
            </w:pPr>
            <w:r>
              <w:rPr>
                <w:rFonts w:ascii="Arial" w:cs="Arial" w:eastAsia="Arial" w:hAnsi="Arial"/>
                <w:sz w:val="18"/>
                <w:szCs w:val="18"/>
                <w:color w:val="auto"/>
              </w:rPr>
              <w:t>Net increase (decrease) in cash</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12,073</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(955)</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2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22,006</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10,723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Cash and cash equivalents at end of period</w:t>
            </w:r>
          </w:p>
        </w:tc>
        <w:tc>
          <w:tcPr>
            <w:tcW w:w="1020" w:type="dxa"/>
            <w:vAlign w:val="bottom"/>
            <w:tcBorders>
              <w:top w:val="single" w:sz="8" w:color="auto"/>
              <w:bottom w:val="single" w:sz="8" w:color="auto"/>
            </w:tcBorders>
            <w:shd w:val="clear" w:color="auto" w:fill="EEEEEE"/>
          </w:tcPr>
          <w:p>
            <w:pPr>
              <w:jc w:val="right"/>
              <w:ind w:right="857"/>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34,079</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980" w:type="dxa"/>
            <w:vAlign w:val="bottom"/>
            <w:tcBorders>
              <w:top w:val="single" w:sz="8" w:color="auto"/>
              <w:bottom w:val="single" w:sz="8" w:color="auto"/>
            </w:tcBorders>
            <w:shd w:val="clear" w:color="auto" w:fill="EEEEEE"/>
          </w:tcPr>
          <w:p>
            <w:pPr>
              <w:jc w:val="right"/>
              <w:ind w:right="82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9,768</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gridSpan w:val="2"/>
            <w:vMerge w:val="continue"/>
          </w:tcPr>
          <w:p>
            <w:pPr>
              <w:spacing w:after="0"/>
              <w:rPr>
                <w:sz w:val="17"/>
                <w:szCs w:val="17"/>
                <w:color w:val="auto"/>
              </w:rPr>
            </w:pPr>
          </w:p>
        </w:tc>
        <w:tc>
          <w:tcPr>
            <w:tcW w:w="10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Cash paid for:</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160"/>
              <w:spacing w:after="0"/>
              <w:rPr>
                <w:sz w:val="20"/>
                <w:szCs w:val="20"/>
                <w:color w:val="auto"/>
              </w:rPr>
            </w:pPr>
            <w:r>
              <w:rPr>
                <w:rFonts w:ascii="Arial" w:cs="Arial" w:eastAsia="Arial" w:hAnsi="Arial"/>
                <w:sz w:val="18"/>
                <w:szCs w:val="18"/>
                <w:color w:val="auto"/>
              </w:rPr>
              <w:t>Interest</w:t>
            </w:r>
          </w:p>
        </w:tc>
        <w:tc>
          <w:tcPr>
            <w:tcW w:w="10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Income taxes</w:t>
            </w:r>
          </w:p>
        </w:tc>
        <w:tc>
          <w:tcPr>
            <w:tcW w:w="10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70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Applied Optoelectronics,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5"/>
          <w:szCs w:val="15"/>
          <w:b w:val="1"/>
          <w:bCs w:val="1"/>
          <w:color w:val="auto"/>
        </w:rPr>
        <w:t>Description of Business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Overview</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Applied Optoelectronics, Inc., or AOI, was originally incorporated in Texas in February of 1997 and then converted to a Delaware corporation in March of 2013. AOI together with its wholly-owned subsidiaries are collectively referred to as the Company. The Company is a leading, vertically integrated provider of fiber-optic networking products, primarily for three networking end-markets: cable television, fiber-to-the-home and internet data centers. The Company designs and manufactures a wide range of optical communications products at varying levels of integration, from components, subassemblies and modules to complete turn-key equipment.</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Company has manufacturing and research and development facilities in all three of its locations, located in the U.S., Taiwan and China. At its corporate headquarters and manufacturing facilities in Sugar Land, Texas, the Company primarily manufactures lasers and laser components and performs research and development activities for laser component products. The Company operates a division in Taipei, Taiwan that primarily manufactures transceivers for both the data center and FTTH markets and performs research and development activities for the transceiver products. The Company operates in Ningbo, China through its wholly-owned subsidiary Prime World International Holdings, Ltd. (incorporated in the British Virgin Islands), the sole parent of Global Technology, Inc. (incorporated in the People’s Republic of China). Through Global Technology, the Company primarily manufactures Cable TV Broadband (“CATV”) systems and equipment and performs research and development activities for the CATV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Statements</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condensed consolidated financial statements of the Company, as of June 30, 2014 and December 31, 2013 and for the three and six months ended June 30, 2014 and 2013, have been prepared in accordance with the instructions on Form 10-Q pursuant to the rules and regulations of the Securities and Exchange Commission (“SEC”). In accordance with those rules and regulations, the Company has omitted certain information and notes normally provided in the Company’s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but does not include all disclosures required by U.S. generally accepted accounting principles (“GAAP”). These condensed consolidated financial statements should be read in conjunction with the Consolidated Financial Statements and Notes thereto included in the Company’s Annual Report on Form 10-K (“Annual Report”) for the fiscal year ended December 31, 2013. The results of operations for the three and six months ended June 30, 2014 are not necessarily indicative of the results expected for the entire fiscal year. All significant intercompany accounts and transactions have been eliminated.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Actual results could differ from those estimates in the consolidated financial statements and accompanying notes. Significant estimates and assumptions that impact these financial statements and the accompanying notes relate to, among other things, allowance for doubtful accounts, valuation allowances for deferred tax assets, inventory reserve, share-based compensation expense, estimated useful lives of property and equipment, and taxes.</w:t>
      </w:r>
    </w:p>
    <w:p>
      <w:pPr>
        <w:spacing w:after="0" w:line="15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Significant Accounting Policies</w:t>
      </w:r>
    </w:p>
    <w:p>
      <w:pPr>
        <w:spacing w:after="0" w:line="229"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There have been no changes in the Company’s significant accounting policies for the three months ended June 30, 2014, as compared to the significant accounting policies described in its Annual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No. 2014-09, </w:t>
      </w:r>
      <w:r>
        <w:rPr>
          <w:rFonts w:ascii="Arial" w:cs="Arial" w:eastAsia="Arial" w:hAnsi="Arial"/>
          <w:sz w:val="18"/>
          <w:szCs w:val="18"/>
          <w:i w:val="1"/>
          <w:iCs w:val="1"/>
          <w:color w:val="auto"/>
        </w:rPr>
        <w:t>Revenue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(“ASU 2014-09”). The standard provides companies with a single model for use in accounting for revenue arising from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with customers and supersedes current revenue recognition guidance, including industry-specific revenue guidance. The core principle of the model is to recognize revenue when control of the goods or services transfers to the customer, as opposed to recognizing revenue when the risks and rewards transfer to the customer under the existing revenue guidance. ASU 2014-09 is effective for annual reporting periods beginning after December 15, 2016. Early adoption is not permitted. The guidance permits companies to either apply the requirements retrospectively to all prior periods presented, or apply the requirements in the year of adoption, through a cumulative adjustment. The Company is in the process of evaluating the impact of adoption on its consolidated financial statements.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 w:name="page8"/>
    <w:bookmarkEnd w:id="7"/>
    <w:p>
      <w:pPr>
        <w:spacing w:after="0"/>
        <w:tabs>
          <w:tab w:leader="none" w:pos="7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Fair Value of Financial Instruments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table presents a summary of the Company’s financial instruments measured at fair value on a recurring basis for the periods indicated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161"/>
              <w:spacing w:after="0"/>
              <w:rPr>
                <w:sz w:val="20"/>
                <w:szCs w:val="20"/>
                <w:color w:val="auto"/>
              </w:rPr>
            </w:pPr>
            <w:r>
              <w:rPr>
                <w:rFonts w:ascii="Arial" w:cs="Arial" w:eastAsia="Arial" w:hAnsi="Arial"/>
                <w:sz w:val="18"/>
                <w:szCs w:val="18"/>
                <w:b w:val="1"/>
                <w:bCs w:val="1"/>
                <w:color w:val="auto"/>
                <w:w w:val="98"/>
              </w:rPr>
              <w:t>As of June 30, 2014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As of December 31, 2013</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ind w:left="8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(Level 1)</w:t>
            </w:r>
          </w:p>
        </w:tc>
        <w:tc>
          <w:tcPr>
            <w:tcW w:w="10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8"/>
                <w:szCs w:val="18"/>
                <w:b w:val="1"/>
                <w:bCs w:val="1"/>
                <w:color w:val="auto"/>
              </w:rPr>
              <w:t>(Level 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Assets:</w:t>
            </w:r>
          </w:p>
        </w:tc>
        <w:tc>
          <w:tcPr>
            <w:tcW w:w="2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40" w:type="dxa"/>
            <w:vAlign w:val="bottom"/>
            <w:tcBorders>
              <w:top w:val="single" w:sz="8" w:color="auto"/>
            </w:tcBorders>
            <w:shd w:val="clear" w:color="auto" w:fill="EEEEEE"/>
          </w:tcPr>
          <w:p>
            <w:pPr>
              <w:spacing w:after="0"/>
              <w:rPr>
                <w:sz w:val="18"/>
                <w:szCs w:val="18"/>
                <w:color w:val="auto"/>
              </w:rPr>
            </w:pPr>
          </w:p>
        </w:tc>
        <w:tc>
          <w:tcPr>
            <w:tcW w:w="240" w:type="dxa"/>
            <w:vAlign w:val="bottom"/>
            <w:tcBorders>
              <w:top w:val="single" w:sz="8" w:color="EEEEEE"/>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720" w:type="dxa"/>
            <w:vAlign w:val="bottom"/>
            <w:tcBorders>
              <w:top w:val="single" w:sz="8" w:color="auto"/>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0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82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74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20" w:type="dxa"/>
            <w:vAlign w:val="bottom"/>
          </w:tcPr>
          <w:p>
            <w:pPr>
              <w:ind w:left="180"/>
              <w:spacing w:after="0"/>
              <w:rPr>
                <w:sz w:val="20"/>
                <w:szCs w:val="20"/>
                <w:color w:val="auto"/>
              </w:rPr>
            </w:pPr>
            <w:r>
              <w:rPr>
                <w:rFonts w:ascii="Arial" w:cs="Arial" w:eastAsia="Arial" w:hAnsi="Arial"/>
                <w:sz w:val="18"/>
                <w:szCs w:val="18"/>
                <w:color w:val="auto"/>
              </w:rPr>
              <w:t>Short term investments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7,957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661"/>
              <w:spacing w:after="0"/>
              <w:rPr>
                <w:sz w:val="20"/>
                <w:szCs w:val="20"/>
                <w:color w:val="auto"/>
              </w:rPr>
            </w:pPr>
            <w:r>
              <w:rPr>
                <w:rFonts w:ascii="Arial" w:cs="Arial" w:eastAsia="Arial" w:hAnsi="Arial"/>
                <w:sz w:val="15"/>
                <w:szCs w:val="15"/>
                <w:color w:val="auto"/>
                <w:w w:val="71"/>
              </w:rPr>
              <w:t>$</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ind w:left="320"/>
              <w:spacing w:after="0"/>
              <w:rPr>
                <w:sz w:val="20"/>
                <w:szCs w:val="20"/>
                <w:color w:val="auto"/>
              </w:rPr>
            </w:pPr>
            <w:r>
              <w:rPr>
                <w:rFonts w:ascii="Arial" w:cs="Arial" w:eastAsia="Arial" w:hAnsi="Arial"/>
                <w:sz w:val="18"/>
                <w:szCs w:val="18"/>
                <w:color w:val="auto"/>
              </w:rPr>
              <w:t>7,957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7,970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7,970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2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7,957</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820" w:type="dxa"/>
            <w:vAlign w:val="bottom"/>
            <w:tcBorders>
              <w:top w:val="single" w:sz="8" w:color="auto"/>
              <w:bottom w:val="single" w:sz="8" w:color="auto"/>
            </w:tcBorders>
            <w:shd w:val="clear" w:color="auto" w:fill="EEEEEE"/>
          </w:tcPr>
          <w:p>
            <w:pPr>
              <w:jc w:val="right"/>
              <w:ind w:right="661"/>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EEEEEE"/>
          </w:tcPr>
          <w:p>
            <w:pPr>
              <w:ind w:left="20"/>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EEEEEE"/>
          </w:tcPr>
          <w:p>
            <w:pPr>
              <w:ind w:left="320"/>
              <w:spacing w:after="0"/>
              <w:rPr>
                <w:sz w:val="20"/>
                <w:szCs w:val="20"/>
                <w:color w:val="auto"/>
              </w:rPr>
            </w:pPr>
            <w:r>
              <w:rPr>
                <w:rFonts w:ascii="Arial" w:cs="Arial" w:eastAsia="Arial" w:hAnsi="Arial"/>
                <w:sz w:val="18"/>
                <w:szCs w:val="18"/>
                <w:color w:val="auto"/>
                <w:w w:val="84"/>
              </w:rPr>
              <w:t>7,957</w:t>
            </w: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7,970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EEEEE"/>
          </w:tcPr>
          <w:p>
            <w:pPr>
              <w:ind w:left="72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7,970</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2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20" w:type="dxa"/>
            <w:vAlign w:val="bottom"/>
            <w:shd w:val="clear" w:color="auto" w:fill="EEEEEE"/>
          </w:tcPr>
          <w:p>
            <w:pPr>
              <w:ind w:left="180"/>
              <w:spacing w:after="0"/>
              <w:rPr>
                <w:sz w:val="20"/>
                <w:szCs w:val="20"/>
                <w:color w:val="auto"/>
              </w:rPr>
            </w:pPr>
            <w:r>
              <w:rPr>
                <w:rFonts w:ascii="Arial" w:cs="Arial" w:eastAsia="Arial" w:hAnsi="Arial"/>
                <w:sz w:val="18"/>
                <w:szCs w:val="18"/>
                <w:color w:val="auto"/>
                <w:w w:val="97"/>
              </w:rPr>
              <w:t>Bank acceptance payable</w:t>
            </w:r>
          </w:p>
        </w:tc>
        <w:tc>
          <w:tcPr>
            <w:tcW w:w="2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8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2,377</w:t>
            </w:r>
          </w:p>
        </w:tc>
        <w:tc>
          <w:tcPr>
            <w:tcW w:w="820" w:type="dxa"/>
            <w:vAlign w:val="bottom"/>
            <w:shd w:val="clear" w:color="auto" w:fill="EEEEEE"/>
          </w:tcPr>
          <w:p>
            <w:pPr>
              <w:spacing w:after="0"/>
              <w:rPr>
                <w:sz w:val="19"/>
                <w:szCs w:val="19"/>
                <w:color w:val="auto"/>
              </w:rPr>
            </w:pPr>
          </w:p>
        </w:tc>
        <w:tc>
          <w:tcPr>
            <w:tcW w:w="320" w:type="dxa"/>
            <w:vAlign w:val="bottom"/>
            <w:gridSpan w:val="2"/>
            <w:shd w:val="clear" w:color="auto" w:fill="EEEEEE"/>
          </w:tcPr>
          <w:p>
            <w:pPr>
              <w:ind w:lef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19"/>
                <w:szCs w:val="19"/>
                <w:color w:val="auto"/>
              </w:rPr>
            </w:pPr>
          </w:p>
        </w:tc>
        <w:tc>
          <w:tcPr>
            <w:tcW w:w="84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2,377</w:t>
            </w:r>
          </w:p>
        </w:tc>
        <w:tc>
          <w:tcPr>
            <w:tcW w:w="1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2,347</w:t>
            </w:r>
          </w:p>
        </w:tc>
        <w:tc>
          <w:tcPr>
            <w:tcW w:w="10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ind w:left="720"/>
              <w:spacing w:after="0"/>
              <w:rPr>
                <w:sz w:val="20"/>
                <w:szCs w:val="20"/>
                <w:color w:val="auto"/>
              </w:rPr>
            </w:pPr>
            <w:r>
              <w:rPr>
                <w:rFonts w:ascii="Arial" w:cs="Arial" w:eastAsia="Arial" w:hAnsi="Arial"/>
                <w:sz w:val="18"/>
                <w:szCs w:val="18"/>
                <w:color w:val="auto"/>
              </w:rPr>
              <w:t>–</w:t>
            </w:r>
          </w:p>
        </w:tc>
        <w:tc>
          <w:tcPr>
            <w:tcW w:w="2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7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2,347</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20" w:type="dxa"/>
            <w:vAlign w:val="bottom"/>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2,377</w:t>
            </w:r>
          </w:p>
        </w:tc>
        <w:tc>
          <w:tcPr>
            <w:tcW w:w="2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61"/>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4"/>
              </w:rPr>
              <w:t>2,377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2,347</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ind w:left="720"/>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The carrying value amounts of accounts receivable, prepaid expenses and other current assets, borrowings from our credit facility, accounts payable, accrued expenses and other current liabilities approximate fair value because of the short-term maturity of these instruments.</w:t>
      </w:r>
    </w:p>
    <w:p>
      <w:pPr>
        <w:spacing w:after="0" w:line="14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Earnings Per Share</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Basic net income (loss) per share has been computed using the weighted-average number of shares of common stock outstanding during the period. Diluted net income (loss) per share has been computed using the weighted-average number of shares of common stock and dilutive potential common shares from options and warrants outstanding during the period. In periods with net losses, normally dilutive shares become anti-dilutive, and therefore for those periods basic and dilutive earnings per share are the same.</w:t>
      </w:r>
    </w:p>
    <w:p>
      <w:pPr>
        <w:spacing w:after="0" w:line="18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following table sets forth the computation of the basic and diluted net loss per share for the periods indicated (in thousands, except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6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0"/>
              </w:rPr>
              <w:t>Three months ended June 30,</w:t>
            </w:r>
          </w:p>
        </w:tc>
        <w:tc>
          <w:tcPr>
            <w:tcW w:w="180" w:type="dxa"/>
            <w:vAlign w:val="bottom"/>
          </w:tcPr>
          <w:p>
            <w:pPr>
              <w:spacing w:after="0"/>
              <w:rPr>
                <w:sz w:val="20"/>
                <w:szCs w:val="20"/>
                <w:color w:val="auto"/>
              </w:rPr>
            </w:pPr>
          </w:p>
        </w:tc>
        <w:tc>
          <w:tcPr>
            <w:tcW w:w="252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1"/>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EEEEEE"/>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1,919</w:t>
            </w:r>
          </w:p>
        </w:tc>
        <w:tc>
          <w:tcPr>
            <w:tcW w:w="36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(282)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2,004</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Denominator:</w:t>
            </w:r>
          </w:p>
        </w:tc>
        <w:tc>
          <w:tcPr>
            <w:tcW w:w="14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3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Weighted average shares used to compute net income (loss) per share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14,785</w:t>
            </w: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271</w:t>
            </w:r>
          </w:p>
        </w:tc>
        <w:tc>
          <w:tcPr>
            <w:tcW w:w="1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13,794</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Effective of dilutive options and warrants</w:t>
            </w:r>
          </w:p>
        </w:tc>
        <w:tc>
          <w:tcPr>
            <w:tcW w:w="140" w:type="dxa"/>
            <w:vAlign w:val="bottom"/>
          </w:tcPr>
          <w:p>
            <w:pPr>
              <w:spacing w:after="0"/>
              <w:rPr>
                <w:sz w:val="19"/>
                <w:szCs w:val="19"/>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856</w:t>
            </w:r>
          </w:p>
        </w:tc>
        <w:tc>
          <w:tcPr>
            <w:tcW w:w="24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826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tcBorders>
              <w:top w:val="single" w:sz="8" w:color="auto"/>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15,642</w:t>
            </w:r>
          </w:p>
        </w:tc>
        <w:tc>
          <w:tcPr>
            <w:tcW w:w="3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271</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14,621</w:t>
            </w:r>
          </w:p>
        </w:tc>
        <w:tc>
          <w:tcPr>
            <w:tcW w:w="16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income (loss) per share</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Basic</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0.13</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0.15</w:t>
            </w:r>
          </w:p>
        </w:tc>
        <w:tc>
          <w:tcPr>
            <w:tcW w:w="4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00" w:type="dxa"/>
            <w:vAlign w:val="bottom"/>
          </w:tcPr>
          <w:p>
            <w:pPr>
              <w:ind w:left="160"/>
              <w:spacing w:after="0"/>
              <w:rPr>
                <w:sz w:val="20"/>
                <w:szCs w:val="20"/>
                <w:color w:val="auto"/>
              </w:rPr>
            </w:pPr>
            <w:r>
              <w:rPr>
                <w:rFonts w:ascii="Arial" w:cs="Arial" w:eastAsia="Arial" w:hAnsi="Arial"/>
                <w:sz w:val="18"/>
                <w:szCs w:val="18"/>
                <w:color w:val="auto"/>
              </w:rPr>
              <w:t>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0.12</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(1.04)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0.14</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following potentially dilutive securities were excluded from the computation of diluted net income (loss) per share as their effect would have been anti-dilutive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00" w:type="dxa"/>
            <w:vAlign w:val="bottom"/>
            <w:gridSpan w:val="4"/>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2700" w:type="dxa"/>
            <w:vAlign w:val="bottom"/>
            <w:gridSpan w:val="4"/>
          </w:tcPr>
          <w:p>
            <w:pPr>
              <w:ind w:left="28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37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top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32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r>
      <w:tr>
        <w:trPr>
          <w:trHeight w:val="210"/>
        </w:trPr>
        <w:tc>
          <w:tcPr>
            <w:tcW w:w="37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Employee stock options</w:t>
            </w:r>
          </w:p>
        </w:tc>
        <w:tc>
          <w:tcPr>
            <w:tcW w:w="1960" w:type="dxa"/>
            <w:vAlign w:val="bottom"/>
            <w:shd w:val="clear" w:color="auto" w:fill="EEEEEE"/>
          </w:tcPr>
          <w:p>
            <w:pPr>
              <w:spacing w:after="0"/>
              <w:rPr>
                <w:sz w:val="18"/>
                <w:szCs w:val="18"/>
                <w:color w:val="auto"/>
              </w:rPr>
            </w:pPr>
          </w:p>
        </w:tc>
        <w:tc>
          <w:tcPr>
            <w:tcW w:w="152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736</w:t>
            </w:r>
          </w:p>
        </w:tc>
        <w:tc>
          <w:tcPr>
            <w:tcW w:w="1460" w:type="dxa"/>
            <w:vAlign w:val="bottom"/>
            <w:gridSpan w:val="2"/>
            <w:shd w:val="clear" w:color="auto" w:fill="EEEEEE"/>
          </w:tcPr>
          <w:p>
            <w:pPr>
              <w:ind w:left="10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736</w:t>
            </w:r>
          </w:p>
        </w:tc>
      </w:tr>
      <w:tr>
        <w:trPr>
          <w:trHeight w:val="216"/>
        </w:trPr>
        <w:tc>
          <w:tcPr>
            <w:tcW w:w="3760" w:type="dxa"/>
            <w:vAlign w:val="bottom"/>
          </w:tcPr>
          <w:p>
            <w:pPr>
              <w:ind w:left="100"/>
              <w:spacing w:after="0"/>
              <w:rPr>
                <w:sz w:val="20"/>
                <w:szCs w:val="20"/>
                <w:color w:val="auto"/>
              </w:rPr>
            </w:pPr>
            <w:r>
              <w:rPr>
                <w:rFonts w:ascii="Arial" w:cs="Arial" w:eastAsia="Arial" w:hAnsi="Arial"/>
                <w:sz w:val="18"/>
                <w:szCs w:val="18"/>
                <w:color w:val="auto"/>
              </w:rPr>
              <w:t>Preferred stock warrants</w:t>
            </w:r>
          </w:p>
        </w:tc>
        <w:tc>
          <w:tcPr>
            <w:tcW w:w="1960" w:type="dxa"/>
            <w:vAlign w:val="bottom"/>
          </w:tcPr>
          <w:p>
            <w:pPr>
              <w:spacing w:after="0"/>
              <w:rPr>
                <w:sz w:val="18"/>
                <w:szCs w:val="18"/>
                <w:color w:val="auto"/>
              </w:rPr>
            </w:pPr>
          </w:p>
        </w:tc>
        <w:tc>
          <w:tcPr>
            <w:tcW w:w="15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146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r>
      <w:tr>
        <w:trPr>
          <w:trHeight w:val="230"/>
        </w:trPr>
        <w:tc>
          <w:tcPr>
            <w:tcW w:w="37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Restricted stock units</w:t>
            </w:r>
          </w:p>
        </w:tc>
        <w:tc>
          <w:tcPr>
            <w:tcW w:w="1960" w:type="dxa"/>
            <w:vAlign w:val="bottom"/>
            <w:shd w:val="clear" w:color="auto" w:fill="EEEEEE"/>
          </w:tcPr>
          <w:p>
            <w:pPr>
              <w:spacing w:after="0"/>
              <w:rPr>
                <w:sz w:val="19"/>
                <w:szCs w:val="19"/>
                <w:color w:val="auto"/>
              </w:rPr>
            </w:pPr>
          </w:p>
        </w:tc>
        <w:tc>
          <w:tcPr>
            <w:tcW w:w="1520" w:type="dxa"/>
            <w:vAlign w:val="bottom"/>
            <w:gridSpan w:val="2"/>
            <w:shd w:val="clear" w:color="auto" w:fill="EEEEEE"/>
          </w:tcPr>
          <w:p>
            <w:pPr>
              <w:ind w:left="10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EEEEEE"/>
          </w:tcPr>
          <w:p>
            <w:pPr>
              <w:ind w:left="104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37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16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320" w:type="dxa"/>
            <w:vAlign w:val="bottom"/>
          </w:tcPr>
          <w:p>
            <w:pPr>
              <w:spacing w:after="0"/>
              <w:rPr>
                <w:sz w:val="19"/>
                <w:szCs w:val="19"/>
                <w:color w:val="auto"/>
              </w:rPr>
            </w:pPr>
          </w:p>
        </w:tc>
        <w:tc>
          <w:tcPr>
            <w:tcW w:w="114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792</w:t>
            </w:r>
          </w:p>
        </w:tc>
        <w:tc>
          <w:tcPr>
            <w:tcW w:w="100" w:type="dxa"/>
            <w:vAlign w:val="bottom"/>
          </w:tcPr>
          <w:p>
            <w:pPr>
              <w:spacing w:after="0"/>
              <w:rPr>
                <w:sz w:val="19"/>
                <w:szCs w:val="19"/>
                <w:color w:val="auto"/>
              </w:rPr>
            </w:pPr>
          </w:p>
        </w:tc>
      </w:tr>
      <w:tr>
        <w:trPr>
          <w:trHeight w:val="20"/>
        </w:trPr>
        <w:tc>
          <w:tcPr>
            <w:tcW w:w="37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37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2"/>
          </w:tcPr>
          <w:p>
            <w:pPr>
              <w:jc w:val="right"/>
              <w:ind w:right="1032"/>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Note 5.   Inventory</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780" w:type="dxa"/>
            <w:vAlign w:val="bottom"/>
          </w:tcPr>
          <w:p>
            <w:pPr>
              <w:ind w:left="660"/>
              <w:spacing w:after="0"/>
              <w:rPr>
                <w:sz w:val="20"/>
                <w:szCs w:val="20"/>
                <w:color w:val="auto"/>
              </w:rPr>
            </w:pPr>
            <w:r>
              <w:rPr>
                <w:rFonts w:ascii="Arial" w:cs="Arial" w:eastAsia="Arial" w:hAnsi="Arial"/>
                <w:sz w:val="18"/>
                <w:szCs w:val="18"/>
                <w:color w:val="auto"/>
              </w:rPr>
              <w:t>Inventories consist of the following for the periods indicated (in thousands):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7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5"/>
              </w:rPr>
              <w:t>June 30, 2014</w:t>
            </w:r>
          </w:p>
        </w:tc>
        <w:tc>
          <w:tcPr>
            <w:tcW w:w="20" w:type="dxa"/>
            <w:vAlign w:val="bottom"/>
          </w:tcPr>
          <w:p>
            <w:pPr>
              <w:spacing w:after="0"/>
              <w:rPr>
                <w:sz w:val="24"/>
                <w:szCs w:val="24"/>
                <w:color w:val="auto"/>
              </w:rPr>
            </w:pPr>
          </w:p>
        </w:tc>
        <w:tc>
          <w:tcPr>
            <w:tcW w:w="1660" w:type="dxa"/>
            <w:vAlign w:val="bottom"/>
            <w:gridSpan w:val="4"/>
          </w:tcPr>
          <w:p>
            <w:pPr>
              <w:ind w:left="40"/>
              <w:spacing w:after="0"/>
              <w:rPr>
                <w:sz w:val="20"/>
                <w:szCs w:val="20"/>
                <w:color w:val="auto"/>
              </w:rPr>
            </w:pPr>
            <w:r>
              <w:rPr>
                <w:rFonts w:ascii="Arial" w:cs="Arial" w:eastAsia="Arial" w:hAnsi="Arial"/>
                <w:sz w:val="18"/>
                <w:szCs w:val="18"/>
                <w:b w:val="1"/>
                <w:bCs w:val="1"/>
                <w:color w:val="auto"/>
                <w:w w:val="98"/>
              </w:rPr>
              <w:t>December 31, 2013</w:t>
            </w: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Raw materials</w:t>
            </w:r>
          </w:p>
        </w:tc>
        <w:tc>
          <w:tcPr>
            <w:tcW w:w="180" w:type="dxa"/>
            <w:vAlign w:val="bottom"/>
            <w:tcBorders>
              <w:top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13,212</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560" w:type="dxa"/>
            <w:vAlign w:val="bottom"/>
            <w:tcBorders>
              <w:top w:val="single" w:sz="8" w:color="auto"/>
            </w:tcBorders>
            <w:shd w:val="clear" w:color="auto" w:fill="EEEEEE"/>
          </w:tcPr>
          <w:p>
            <w:pPr>
              <w:jc w:val="right"/>
              <w:ind w:right="437"/>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8,832</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12,947</w:t>
            </w: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8,708</w:t>
            </w:r>
          </w:p>
        </w:tc>
        <w:tc>
          <w:tcPr>
            <w:tcW w:w="80" w:type="dxa"/>
            <w:vAlign w:val="bottom"/>
          </w:tcPr>
          <w:p>
            <w:pPr>
              <w:spacing w:after="0"/>
              <w:rPr>
                <w:sz w:val="18"/>
                <w:szCs w:val="18"/>
                <w:color w:val="auto"/>
              </w:rPr>
            </w:pPr>
          </w:p>
        </w:tc>
      </w:tr>
      <w:tr>
        <w:trPr>
          <w:trHeight w:val="230"/>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Finished goods</w:t>
            </w:r>
          </w:p>
        </w:tc>
        <w:tc>
          <w:tcPr>
            <w:tcW w:w="18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5,041</w:t>
            </w:r>
          </w:p>
        </w:tc>
        <w:tc>
          <w:tcPr>
            <w:tcW w:w="20" w:type="dxa"/>
            <w:vAlign w:val="bottom"/>
            <w:shd w:val="clear" w:color="auto" w:fill="EEEEEE"/>
          </w:tcPr>
          <w:p>
            <w:pPr>
              <w:spacing w:after="0"/>
              <w:rPr>
                <w:sz w:val="19"/>
                <w:szCs w:val="19"/>
                <w:color w:val="auto"/>
              </w:rPr>
            </w:pPr>
          </w:p>
        </w:tc>
        <w:tc>
          <w:tcPr>
            <w:tcW w:w="56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2,068</w:t>
            </w:r>
          </w:p>
        </w:tc>
        <w:tc>
          <w:tcPr>
            <w:tcW w:w="80" w:type="dxa"/>
            <w:vAlign w:val="bottom"/>
            <w:shd w:val="clear" w:color="auto" w:fill="EEEEEE"/>
          </w:tcPr>
          <w:p>
            <w:pPr>
              <w:spacing w:after="0"/>
              <w:rPr>
                <w:sz w:val="19"/>
                <w:szCs w:val="19"/>
                <w:color w:val="auto"/>
              </w:rPr>
            </w:pPr>
          </w:p>
        </w:tc>
      </w:tr>
      <w:tr>
        <w:trPr>
          <w:trHeight w:val="223"/>
        </w:trPr>
        <w:tc>
          <w:tcPr>
            <w:tcW w:w="77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31,200</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19,608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lower of cost or market adjustment expensed for inventory for the three months ended June 30, 2014 and 2013 was $0.5 million and $0.3 million, respectively. The lower of cost or market adjustment expensed for inventory for the six months ended June 30, 2014 and 2013 was $0.8 million and $0.4 million, respectively.</w:t>
      </w:r>
    </w:p>
    <w:p>
      <w:pPr>
        <w:spacing w:after="0" w:line="39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Property, Plant &amp; Equipment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plant and equipment consisted of the following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5"/>
              </w:rPr>
              <w:t>June 30, 2014</w:t>
            </w:r>
          </w:p>
        </w:tc>
        <w:tc>
          <w:tcPr>
            <w:tcW w:w="20" w:type="dxa"/>
            <w:vAlign w:val="bottom"/>
          </w:tcPr>
          <w:p>
            <w:pPr>
              <w:spacing w:after="0"/>
              <w:rPr>
                <w:sz w:val="20"/>
                <w:szCs w:val="20"/>
                <w:color w:val="auto"/>
              </w:rPr>
            </w:pPr>
          </w:p>
        </w:tc>
        <w:tc>
          <w:tcPr>
            <w:tcW w:w="166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0"/>
              </w:rPr>
              <w:t>December 31, 2013</w:t>
            </w: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Land improvements</w:t>
            </w:r>
          </w:p>
        </w:tc>
        <w:tc>
          <w:tcPr>
            <w:tcW w:w="180" w:type="dxa"/>
            <w:vAlign w:val="bottom"/>
            <w:tcBorders>
              <w:top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103</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jc w:val="right"/>
              <w:ind w:right="397"/>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103</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16,112</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16,016</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Machinery and equipment</w:t>
            </w:r>
          </w:p>
        </w:tc>
        <w:tc>
          <w:tcPr>
            <w:tcW w:w="18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48,301</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37,490</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1,373</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1,047</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Computer equipment and software</w:t>
            </w:r>
          </w:p>
        </w:tc>
        <w:tc>
          <w:tcPr>
            <w:tcW w:w="18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4,080</w:t>
            </w:r>
          </w:p>
        </w:tc>
        <w:tc>
          <w:tcPr>
            <w:tcW w:w="2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3,563</w:t>
            </w:r>
          </w:p>
        </w:tc>
        <w:tc>
          <w:tcPr>
            <w:tcW w:w="80" w:type="dxa"/>
            <w:vAlign w:val="bottom"/>
            <w:shd w:val="clear" w:color="auto" w:fill="EEEEEE"/>
          </w:tcPr>
          <w:p>
            <w:pPr>
              <w:spacing w:after="0"/>
              <w:rPr>
                <w:sz w:val="18"/>
                <w:szCs w:val="18"/>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Transportation equipment</w:t>
            </w:r>
          </w:p>
        </w:tc>
        <w:tc>
          <w:tcPr>
            <w:tcW w:w="180" w:type="dxa"/>
            <w:vAlign w:val="bottom"/>
          </w:tcPr>
          <w:p>
            <w:pPr>
              <w:spacing w:after="0"/>
              <w:rPr>
                <w:sz w:val="19"/>
                <w:szCs w:val="19"/>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19"/>
                <w:szCs w:val="19"/>
                <w:color w:val="auto"/>
              </w:rPr>
            </w:pPr>
          </w:p>
        </w:tc>
      </w:tr>
      <w:tr>
        <w:trPr>
          <w:trHeight w:val="210"/>
        </w:trPr>
        <w:tc>
          <w:tcPr>
            <w:tcW w:w="77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70,156</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58,407</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Pr>
          <w:p>
            <w:pPr>
              <w:spacing w:after="0"/>
              <w:rPr>
                <w:sz w:val="19"/>
                <w:szCs w:val="19"/>
                <w:color w:val="auto"/>
              </w:rPr>
            </w:pPr>
          </w:p>
        </w:tc>
        <w:tc>
          <w:tcPr>
            <w:tcW w:w="1780" w:type="dxa"/>
            <w:vAlign w:val="bottom"/>
            <w:gridSpan w:val="2"/>
          </w:tcPr>
          <w:p>
            <w:pPr>
              <w:jc w:val="right"/>
              <w:ind w:right="300"/>
              <w:spacing w:after="0"/>
              <w:rPr>
                <w:sz w:val="20"/>
                <w:szCs w:val="20"/>
                <w:color w:val="auto"/>
              </w:rPr>
            </w:pPr>
            <w:r>
              <w:rPr>
                <w:rFonts w:ascii="Arial" w:cs="Arial" w:eastAsia="Arial" w:hAnsi="Arial"/>
                <w:sz w:val="18"/>
                <w:szCs w:val="18"/>
                <w:color w:val="auto"/>
              </w:rPr>
              <w:t>(29,733)</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(28,145)</w:t>
            </w:r>
          </w:p>
        </w:tc>
      </w:tr>
      <w:tr>
        <w:trPr>
          <w:trHeight w:val="210"/>
        </w:trPr>
        <w:tc>
          <w:tcPr>
            <w:tcW w:w="77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40,423</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52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30,262</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80" w:type="dxa"/>
            <w:vAlign w:val="bottom"/>
          </w:tcPr>
          <w:p>
            <w:pPr>
              <w:spacing w:after="0"/>
              <w:rPr>
                <w:sz w:val="18"/>
                <w:szCs w:val="18"/>
                <w:color w:val="auto"/>
              </w:rPr>
            </w:pPr>
          </w:p>
        </w:tc>
      </w:tr>
      <w:tr>
        <w:trPr>
          <w:trHeight w:val="230"/>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1,101</w:t>
            </w:r>
          </w:p>
        </w:tc>
        <w:tc>
          <w:tcPr>
            <w:tcW w:w="20" w:type="dxa"/>
            <w:vAlign w:val="bottom"/>
            <w:shd w:val="clear" w:color="auto" w:fill="EEEEEE"/>
          </w:tcPr>
          <w:p>
            <w:pPr>
              <w:spacing w:after="0"/>
              <w:rPr>
                <w:sz w:val="19"/>
                <w:szCs w:val="19"/>
                <w:color w:val="auto"/>
              </w:rPr>
            </w:pPr>
          </w:p>
        </w:tc>
        <w:tc>
          <w:tcPr>
            <w:tcW w:w="52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733</w:t>
            </w:r>
          </w:p>
        </w:tc>
        <w:tc>
          <w:tcPr>
            <w:tcW w:w="80" w:type="dxa"/>
            <w:vAlign w:val="bottom"/>
            <w:shd w:val="clear" w:color="auto" w:fill="EEEEEE"/>
          </w:tcPr>
          <w:p>
            <w:pPr>
              <w:spacing w:after="0"/>
              <w:rPr>
                <w:sz w:val="19"/>
                <w:szCs w:val="19"/>
                <w:color w:val="auto"/>
              </w:rPr>
            </w:pPr>
          </w:p>
        </w:tc>
      </w:tr>
      <w:tr>
        <w:trPr>
          <w:trHeight w:val="223"/>
        </w:trPr>
        <w:tc>
          <w:tcPr>
            <w:tcW w:w="77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41,657</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397"/>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31,134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For the three and six months ended June 30, 2014, depreciation expense of property, plant and equipment was $1.3 million and $2.5 million,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4"/>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Note 7.   Notes Payable and Long-Term Debt</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color w:val="auto"/>
                <w:w w:val="97"/>
              </w:rPr>
              <w:t>Notes payable and long-term debt consisted of the following for the periods indicated (in thousands):</w:t>
            </w: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7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2"/>
              </w:rPr>
              <w:t>Long-Term and Short-Term Debt</w:t>
            </w:r>
          </w:p>
        </w:tc>
        <w:tc>
          <w:tcPr>
            <w:tcW w:w="180" w:type="dxa"/>
            <w:vAlign w:val="bottom"/>
          </w:tcPr>
          <w:p>
            <w:pPr>
              <w:spacing w:after="0"/>
              <w:rPr>
                <w:sz w:val="24"/>
                <w:szCs w:val="24"/>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June 30, 2014</w:t>
            </w:r>
          </w:p>
        </w:tc>
        <w:tc>
          <w:tcPr>
            <w:tcW w:w="180" w:type="dxa"/>
            <w:vAlign w:val="bottom"/>
          </w:tcPr>
          <w:p>
            <w:pPr>
              <w:spacing w:after="0"/>
              <w:rPr>
                <w:sz w:val="24"/>
                <w:szCs w:val="24"/>
                <w:color w:val="auto"/>
              </w:rPr>
            </w:pPr>
          </w:p>
        </w:tc>
        <w:tc>
          <w:tcPr>
            <w:tcW w:w="1680" w:type="dxa"/>
            <w:vAlign w:val="bottom"/>
            <w:gridSpan w:val="3"/>
          </w:tcPr>
          <w:p>
            <w:pPr>
              <w:ind w:left="60"/>
              <w:spacing w:after="0"/>
              <w:rPr>
                <w:sz w:val="20"/>
                <w:szCs w:val="20"/>
                <w:color w:val="auto"/>
              </w:rPr>
            </w:pPr>
            <w:r>
              <w:rPr>
                <w:rFonts w:ascii="Arial" w:cs="Arial" w:eastAsia="Arial" w:hAnsi="Arial"/>
                <w:sz w:val="18"/>
                <w:szCs w:val="18"/>
                <w:b w:val="1"/>
                <w:bCs w:val="1"/>
                <w:color w:val="auto"/>
                <w:w w:val="98"/>
              </w:rPr>
              <w:t>December 31, 2013</w:t>
            </w:r>
          </w:p>
        </w:tc>
        <w:tc>
          <w:tcPr>
            <w:tcW w:w="0" w:type="dxa"/>
            <w:vAlign w:val="bottom"/>
          </w:tcPr>
          <w:p>
            <w:pPr>
              <w:spacing w:after="0"/>
              <w:rPr>
                <w:sz w:val="1"/>
                <w:szCs w:val="1"/>
                <w:color w:val="auto"/>
              </w:rPr>
            </w:pPr>
          </w:p>
        </w:tc>
      </w:tr>
      <w:tr>
        <w:trPr>
          <w:trHeight w:val="210"/>
        </w:trPr>
        <w:tc>
          <w:tcPr>
            <w:tcW w:w="7780" w:type="dxa"/>
            <w:vAlign w:val="bottom"/>
            <w:gridSpan w:val="2"/>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540" w:type="dxa"/>
            <w:vAlign w:val="bottom"/>
            <w:tcBorders>
              <w:top w:val="single" w:sz="8" w:color="auto"/>
            </w:tcBorders>
            <w:shd w:val="clear" w:color="auto" w:fill="EEEEEE"/>
          </w:tcPr>
          <w:p>
            <w:pPr>
              <w:spacing w:after="0" w:line="195" w:lineRule="exact"/>
              <w:rPr>
                <w:sz w:val="20"/>
                <w:szCs w:val="20"/>
                <w:color w:val="auto"/>
              </w:rPr>
            </w:pPr>
            <w:r>
              <w:rPr>
                <w:rFonts w:ascii="Arial" w:cs="Arial" w:eastAsia="Arial" w:hAnsi="Arial"/>
                <w:sz w:val="18"/>
                <w:szCs w:val="18"/>
                <w:color w:val="auto"/>
                <w:w w:val="93"/>
              </w:rPr>
              <w:t>Term loan with a U.S. bank with monthly payments of principal and interest at prime plus 0.75% (floor</w:t>
            </w:r>
          </w:p>
        </w:tc>
        <w:tc>
          <w:tcPr>
            <w:tcW w:w="24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EEEEEE"/>
            </w:tcBorders>
            <w:shd w:val="clear" w:color="auto" w:fill="EEEEEE"/>
          </w:tcPr>
          <w:p>
            <w:pPr>
              <w:spacing w:after="0"/>
              <w:rPr>
                <w:sz w:val="16"/>
                <w:szCs w:val="16"/>
                <w:color w:val="auto"/>
              </w:rPr>
            </w:pPr>
          </w:p>
        </w:tc>
        <w:tc>
          <w:tcPr>
            <w:tcW w:w="142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EEEEEE"/>
            </w:tcBorders>
            <w:shd w:val="clear" w:color="auto" w:fill="EEEEEE"/>
          </w:tcPr>
          <w:p>
            <w:pPr>
              <w:spacing w:after="0"/>
              <w:rPr>
                <w:sz w:val="16"/>
                <w:szCs w:val="16"/>
                <w:color w:val="auto"/>
              </w:rPr>
            </w:pPr>
          </w:p>
        </w:tc>
        <w:tc>
          <w:tcPr>
            <w:tcW w:w="180" w:type="dxa"/>
            <w:vAlign w:val="bottom"/>
            <w:tcBorders>
              <w:top w:val="single" w:sz="8" w:color="EEEEEE"/>
            </w:tcBorders>
            <w:shd w:val="clear" w:color="auto" w:fill="EEEEEE"/>
          </w:tcPr>
          <w:p>
            <w:pPr>
              <w:spacing w:after="0"/>
              <w:rPr>
                <w:sz w:val="16"/>
                <w:szCs w:val="16"/>
                <w:color w:val="auto"/>
              </w:rPr>
            </w:pPr>
          </w:p>
        </w:tc>
        <w:tc>
          <w:tcPr>
            <w:tcW w:w="580" w:type="dxa"/>
            <w:vAlign w:val="bottom"/>
            <w:tcBorders>
              <w:top w:val="single" w:sz="8" w:color="EEEEEE"/>
            </w:tcBorders>
            <w:shd w:val="clear" w:color="auto" w:fill="EEEEEE"/>
          </w:tcPr>
          <w:p>
            <w:pPr>
              <w:spacing w:after="0"/>
              <w:rPr>
                <w:sz w:val="16"/>
                <w:szCs w:val="16"/>
                <w:color w:val="auto"/>
              </w:rPr>
            </w:pPr>
          </w:p>
        </w:tc>
        <w:tc>
          <w:tcPr>
            <w:tcW w:w="1000" w:type="dxa"/>
            <w:vAlign w:val="bottom"/>
            <w:tcBorders>
              <w:top w:val="single" w:sz="8" w:color="EEEEEE"/>
            </w:tcBorders>
            <w:shd w:val="clear" w:color="auto" w:fill="EEEEEE"/>
          </w:tcPr>
          <w:p>
            <w:pPr>
              <w:spacing w:after="0"/>
              <w:rPr>
                <w:sz w:val="16"/>
                <w:szCs w:val="16"/>
                <w:color w:val="auto"/>
              </w:rPr>
            </w:pPr>
          </w:p>
        </w:tc>
        <w:tc>
          <w:tcPr>
            <w:tcW w:w="100" w:type="dxa"/>
            <w:vAlign w:val="bottom"/>
            <w:tcBorders>
              <w:top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rate: 4%), maturing November 15, 2014</w:t>
            </w:r>
          </w:p>
        </w:tc>
        <w:tc>
          <w:tcPr>
            <w:tcW w:w="180" w:type="dxa"/>
            <w:vAlign w:val="bottom"/>
            <w:shd w:val="clear" w:color="auto" w:fill="EEEEEE"/>
          </w:tcPr>
          <w:p>
            <w:pPr>
              <w:spacing w:after="0"/>
              <w:rPr>
                <w:sz w:val="20"/>
                <w:szCs w:val="20"/>
                <w:color w:val="auto"/>
              </w:rPr>
            </w:pP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02"/>
        </w:trPr>
        <w:tc>
          <w:tcPr>
            <w:tcW w:w="7780" w:type="dxa"/>
            <w:vAlign w:val="bottom"/>
            <w:gridSpan w:val="2"/>
          </w:tcPr>
          <w:p>
            <w:pPr>
              <w:spacing w:after="0" w:line="201" w:lineRule="exact"/>
              <w:rPr>
                <w:sz w:val="20"/>
                <w:szCs w:val="20"/>
                <w:color w:val="auto"/>
              </w:rPr>
            </w:pPr>
            <w:r>
              <w:rPr>
                <w:rFonts w:ascii="Arial" w:cs="Arial" w:eastAsia="Arial" w:hAnsi="Arial"/>
                <w:sz w:val="18"/>
                <w:szCs w:val="18"/>
                <w:color w:val="auto"/>
              </w:rPr>
              <w:t>Revolving line of credit with a U.S. bank up to $7,000 with interest at prime plus 0.5% (floor rate:</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3.75%), maturing November 15, 2015</w:t>
            </w:r>
          </w:p>
        </w:tc>
        <w:tc>
          <w:tcPr>
            <w:tcW w:w="18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7,000</w:t>
            </w:r>
          </w:p>
        </w:tc>
        <w:tc>
          <w:tcPr>
            <w:tcW w:w="0" w:type="dxa"/>
            <w:vAlign w:val="bottom"/>
          </w:tcPr>
          <w:p>
            <w:pPr>
              <w:spacing w:after="0"/>
              <w:rPr>
                <w:sz w:val="1"/>
                <w:szCs w:val="1"/>
                <w:color w:val="auto"/>
              </w:rPr>
            </w:pPr>
          </w:p>
        </w:tc>
      </w:tr>
      <w:tr>
        <w:trPr>
          <w:trHeight w:val="202"/>
        </w:trPr>
        <w:tc>
          <w:tcPr>
            <w:tcW w:w="77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6"/>
              </w:rPr>
              <w:t>Term loan with a U.S. bank with monthly payments of principal and interest at prime plus 0.75% (floor</w:t>
            </w: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rate: 4.00%), maturing September 10, 2017</w:t>
            </w:r>
          </w:p>
        </w:tc>
        <w:tc>
          <w:tcPr>
            <w:tcW w:w="180" w:type="dxa"/>
            <w:vAlign w:val="bottom"/>
            <w:shd w:val="clear" w:color="auto" w:fill="EEEEEE"/>
          </w:tcPr>
          <w:p>
            <w:pPr>
              <w:spacing w:after="0"/>
              <w:rPr>
                <w:sz w:val="20"/>
                <w:szCs w:val="20"/>
                <w:color w:val="auto"/>
              </w:rPr>
            </w:pP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02"/>
        </w:trPr>
        <w:tc>
          <w:tcPr>
            <w:tcW w:w="7780" w:type="dxa"/>
            <w:vAlign w:val="bottom"/>
            <w:gridSpan w:val="2"/>
          </w:tcPr>
          <w:p>
            <w:pPr>
              <w:spacing w:after="0" w:line="201" w:lineRule="exact"/>
              <w:rPr>
                <w:sz w:val="20"/>
                <w:szCs w:val="20"/>
                <w:color w:val="auto"/>
              </w:rPr>
            </w:pPr>
            <w:r>
              <w:rPr>
                <w:rFonts w:ascii="Arial" w:cs="Arial" w:eastAsia="Arial" w:hAnsi="Arial"/>
                <w:sz w:val="18"/>
                <w:szCs w:val="18"/>
                <w:color w:val="auto"/>
                <w:w w:val="99"/>
              </w:rPr>
              <w:t>Revolving line of credit with a China bank up to $12,000 with interest at 108% of China Prime rate</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which was 6.48% in 2013 with various maturity dates from April 2014 and August 2014</w:t>
            </w:r>
          </w:p>
        </w:tc>
        <w:tc>
          <w:tcPr>
            <w:tcW w:w="18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7,053</w:t>
            </w:r>
          </w:p>
        </w:tc>
        <w:tc>
          <w:tcPr>
            <w:tcW w:w="0" w:type="dxa"/>
            <w:vAlign w:val="bottom"/>
          </w:tcPr>
          <w:p>
            <w:pPr>
              <w:spacing w:after="0"/>
              <w:rPr>
                <w:sz w:val="1"/>
                <w:szCs w:val="1"/>
                <w:color w:val="auto"/>
              </w:rPr>
            </w:pPr>
          </w:p>
        </w:tc>
      </w:tr>
      <w:tr>
        <w:trPr>
          <w:trHeight w:val="202"/>
        </w:trPr>
        <w:tc>
          <w:tcPr>
            <w:tcW w:w="7780" w:type="dxa"/>
            <w:vAlign w:val="bottom"/>
            <w:gridSpan w:val="2"/>
            <w:shd w:val="clear" w:color="auto" w:fill="EEEEEE"/>
          </w:tcPr>
          <w:p>
            <w:pPr>
              <w:jc w:val="center"/>
              <w:ind w:right="180"/>
              <w:spacing w:after="0" w:line="201" w:lineRule="exact"/>
              <w:rPr>
                <w:sz w:val="20"/>
                <w:szCs w:val="20"/>
                <w:color w:val="auto"/>
              </w:rPr>
            </w:pPr>
            <w:r>
              <w:rPr>
                <w:rFonts w:ascii="Arial" w:cs="Arial" w:eastAsia="Arial" w:hAnsi="Arial"/>
                <w:sz w:val="18"/>
                <w:szCs w:val="18"/>
                <w:color w:val="auto"/>
                <w:w w:val="91"/>
              </w:rPr>
              <w:t>Revolving line of credit with a China bank up to $3,250 with interest rates ranged from 2.03% to 2.13%</w:t>
            </w: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with various maturity dates from July 2014 to September 2014</w:t>
            </w:r>
          </w:p>
        </w:tc>
        <w:tc>
          <w:tcPr>
            <w:tcW w:w="180" w:type="dxa"/>
            <w:vAlign w:val="bottom"/>
            <w:shd w:val="clear" w:color="auto" w:fill="EEEEEE"/>
          </w:tcPr>
          <w:p>
            <w:pPr>
              <w:spacing w:after="0"/>
              <w:rPr>
                <w:sz w:val="20"/>
                <w:szCs w:val="20"/>
                <w:color w:val="auto"/>
              </w:rPr>
            </w:pP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1,246</w:t>
            </w:r>
          </w:p>
        </w:tc>
        <w:tc>
          <w:tcPr>
            <w:tcW w:w="18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2,413</w:t>
            </w:r>
          </w:p>
        </w:tc>
        <w:tc>
          <w:tcPr>
            <w:tcW w:w="0" w:type="dxa"/>
            <w:vAlign w:val="bottom"/>
          </w:tcPr>
          <w:p>
            <w:pPr>
              <w:spacing w:after="0"/>
              <w:rPr>
                <w:sz w:val="1"/>
                <w:szCs w:val="1"/>
                <w:color w:val="auto"/>
              </w:rPr>
            </w:pPr>
          </w:p>
        </w:tc>
      </w:tr>
      <w:tr>
        <w:trPr>
          <w:trHeight w:val="202"/>
        </w:trPr>
        <w:tc>
          <w:tcPr>
            <w:tcW w:w="778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Revolving line of credit with a Taiwan bank up to $4,000 with interest an interest rate of 1.75%,</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ind w:left="180"/>
              <w:spacing w:after="0"/>
              <w:rPr>
                <w:sz w:val="20"/>
                <w:szCs w:val="20"/>
                <w:color w:val="auto"/>
              </w:rPr>
            </w:pPr>
            <w:r>
              <w:rPr>
                <w:rFonts w:ascii="Arial" w:cs="Arial" w:eastAsia="Arial" w:hAnsi="Arial"/>
                <w:sz w:val="18"/>
                <w:szCs w:val="18"/>
                <w:color w:val="auto"/>
              </w:rPr>
              <w:t>maturing December 15, 2014</w:t>
            </w:r>
          </w:p>
        </w:tc>
        <w:tc>
          <w:tcPr>
            <w:tcW w:w="18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3,744</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3,795</w:t>
            </w:r>
          </w:p>
        </w:tc>
        <w:tc>
          <w:tcPr>
            <w:tcW w:w="0" w:type="dxa"/>
            <w:vAlign w:val="bottom"/>
          </w:tcPr>
          <w:p>
            <w:pPr>
              <w:spacing w:after="0"/>
              <w:rPr>
                <w:sz w:val="1"/>
                <w:szCs w:val="1"/>
                <w:color w:val="auto"/>
              </w:rPr>
            </w:pPr>
          </w:p>
        </w:tc>
      </w:tr>
      <w:tr>
        <w:trPr>
          <w:trHeight w:val="202"/>
        </w:trPr>
        <w:tc>
          <w:tcPr>
            <w:tcW w:w="7780" w:type="dxa"/>
            <w:vAlign w:val="bottom"/>
            <w:gridSpan w:val="2"/>
            <w:shd w:val="clear" w:color="auto" w:fill="EEEEEE"/>
          </w:tcPr>
          <w:p>
            <w:pPr>
              <w:spacing w:after="0" w:line="201" w:lineRule="exact"/>
              <w:rPr>
                <w:sz w:val="20"/>
                <w:szCs w:val="20"/>
                <w:color w:val="auto"/>
              </w:rPr>
            </w:pPr>
            <w:r>
              <w:rPr>
                <w:rFonts w:ascii="Arial" w:cs="Arial" w:eastAsia="Arial" w:hAnsi="Arial"/>
                <w:sz w:val="18"/>
                <w:szCs w:val="18"/>
                <w:color w:val="auto"/>
                <w:w w:val="98"/>
              </w:rPr>
              <w:t>Revolving line of credit with a Taiwan bank up to $4,000 with an interest rate of 1.78%, with various</w:t>
            </w:r>
          </w:p>
        </w:tc>
        <w:tc>
          <w:tcPr>
            <w:tcW w:w="18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maturity dates from July 2014 to August 2014</w:t>
            </w:r>
          </w:p>
        </w:tc>
        <w:tc>
          <w:tcPr>
            <w:tcW w:w="180" w:type="dxa"/>
            <w:vAlign w:val="bottom"/>
            <w:shd w:val="clear" w:color="auto" w:fill="EEEEEE"/>
          </w:tcPr>
          <w:p>
            <w:pPr>
              <w:spacing w:after="0"/>
              <w:rPr>
                <w:sz w:val="20"/>
                <w:szCs w:val="20"/>
                <w:color w:val="auto"/>
              </w:rPr>
            </w:pP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3,818</w:t>
            </w:r>
          </w:p>
        </w:tc>
        <w:tc>
          <w:tcPr>
            <w:tcW w:w="18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780" w:type="dxa"/>
            <w:vAlign w:val="bottom"/>
            <w:gridSpan w:val="2"/>
          </w:tcPr>
          <w:p>
            <w:pPr>
              <w:spacing w:after="0" w:line="201" w:lineRule="exact"/>
              <w:rPr>
                <w:sz w:val="20"/>
                <w:szCs w:val="20"/>
                <w:color w:val="auto"/>
              </w:rPr>
            </w:pPr>
            <w:r>
              <w:rPr>
                <w:rFonts w:ascii="Arial" w:cs="Arial" w:eastAsia="Arial" w:hAnsi="Arial"/>
                <w:sz w:val="18"/>
                <w:szCs w:val="18"/>
                <w:color w:val="auto"/>
                <w:w w:val="95"/>
              </w:rPr>
              <w:t>Note payable to a finance company due in monthly installments with 4.95% interest, maturing July 30,</w:t>
            </w: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821</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9,629</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26,108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80" w:type="dxa"/>
            <w:vAlign w:val="bottom"/>
            <w:gridSpan w:val="2"/>
          </w:tcPr>
          <w:p>
            <w:pPr>
              <w:spacing w:after="0"/>
              <w:rPr>
                <w:sz w:val="20"/>
                <w:szCs w:val="20"/>
                <w:color w:val="auto"/>
              </w:rPr>
            </w:pPr>
            <w:r>
              <w:rPr>
                <w:rFonts w:ascii="Arial" w:cs="Arial" w:eastAsia="Arial" w:hAnsi="Arial"/>
                <w:sz w:val="18"/>
                <w:szCs w:val="18"/>
                <w:color w:val="auto"/>
              </w:rPr>
              <w:t>Less current portion</w:t>
            </w:r>
          </w:p>
        </w:tc>
        <w:tc>
          <w:tcPr>
            <w:tcW w:w="18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9,562</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17,185</w:t>
            </w:r>
          </w:p>
        </w:tc>
        <w:tc>
          <w:tcPr>
            <w:tcW w:w="0" w:type="dxa"/>
            <w:vAlign w:val="bottom"/>
          </w:tcPr>
          <w:p>
            <w:pPr>
              <w:spacing w:after="0"/>
              <w:rPr>
                <w:sz w:val="1"/>
                <w:szCs w:val="1"/>
                <w:color w:val="auto"/>
              </w:rPr>
            </w:pPr>
          </w:p>
        </w:tc>
      </w:tr>
      <w:tr>
        <w:trPr>
          <w:trHeight w:val="210"/>
        </w:trPr>
        <w:tc>
          <w:tcPr>
            <w:tcW w:w="7780" w:type="dxa"/>
            <w:vAlign w:val="bottom"/>
            <w:tcBorders>
              <w:top w:val="single" w:sz="8" w:color="EEEEEE"/>
            </w:tcBorders>
            <w:gridSpan w:val="2"/>
            <w:shd w:val="clear" w:color="auto" w:fill="EEEEEE"/>
          </w:tcPr>
          <w:p>
            <w:pPr>
              <w:spacing w:after="0"/>
              <w:rPr>
                <w:sz w:val="20"/>
                <w:szCs w:val="20"/>
                <w:color w:val="auto"/>
              </w:rPr>
            </w:pPr>
            <w:r>
              <w:rPr>
                <w:rFonts w:ascii="Arial" w:cs="Arial" w:eastAsia="Arial" w:hAnsi="Arial"/>
                <w:sz w:val="18"/>
                <w:szCs w:val="18"/>
                <w:color w:val="auto"/>
              </w:rPr>
              <w:t>Long term portion</w:t>
            </w: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18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580" w:type="dxa"/>
            <w:vAlign w:val="bottom"/>
            <w:tcBorders>
              <w:top w:val="single" w:sz="8" w:color="auto"/>
              <w:bottom w:val="single" w:sz="8" w:color="auto"/>
            </w:tcBorders>
            <w:shd w:val="clear" w:color="auto" w:fill="EEEEEE"/>
          </w:tcPr>
          <w:p>
            <w:pPr>
              <w:jc w:val="right"/>
              <w:ind w:right="41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8,923</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Bank Acceptance Payable</w:t>
            </w: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540" w:type="dxa"/>
            <w:vAlign w:val="bottom"/>
            <w:tcBorders>
              <w:top w:val="single" w:sz="8" w:color="auto"/>
            </w:tcBorders>
            <w:shd w:val="clear" w:color="auto" w:fill="EEEEEE"/>
          </w:tcPr>
          <w:p>
            <w:pPr>
              <w:spacing w:after="0" w:line="201" w:lineRule="exact"/>
              <w:rPr>
                <w:sz w:val="20"/>
                <w:szCs w:val="20"/>
                <w:color w:val="auto"/>
              </w:rPr>
            </w:pPr>
            <w:r>
              <w:rPr>
                <w:rFonts w:ascii="Arial" w:cs="Arial" w:eastAsia="Arial" w:hAnsi="Arial"/>
                <w:sz w:val="18"/>
                <w:szCs w:val="18"/>
                <w:color w:val="auto"/>
                <w:w w:val="93"/>
              </w:rPr>
              <w:t>Bank acceptance notes issued to vendors with a zero percent interest rate, a 30% guarantee deposit</w:t>
            </w:r>
          </w:p>
        </w:tc>
        <w:tc>
          <w:tcPr>
            <w:tcW w:w="24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EEEEEE"/>
            </w:tcBorders>
            <w:shd w:val="clear" w:color="auto" w:fill="EEEEEE"/>
          </w:tcPr>
          <w:p>
            <w:pPr>
              <w:spacing w:after="0"/>
              <w:rPr>
                <w:sz w:val="17"/>
                <w:szCs w:val="17"/>
                <w:color w:val="auto"/>
              </w:rPr>
            </w:pPr>
          </w:p>
        </w:tc>
        <w:tc>
          <w:tcPr>
            <w:tcW w:w="142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EEEEEE"/>
            </w:tcBorders>
            <w:shd w:val="clear" w:color="auto" w:fill="EEEEEE"/>
          </w:tcPr>
          <w:p>
            <w:pPr>
              <w:spacing w:after="0"/>
              <w:rPr>
                <w:sz w:val="17"/>
                <w:szCs w:val="17"/>
                <w:color w:val="auto"/>
              </w:rPr>
            </w:pPr>
          </w:p>
        </w:tc>
        <w:tc>
          <w:tcPr>
            <w:tcW w:w="180" w:type="dxa"/>
            <w:vAlign w:val="bottom"/>
            <w:tcBorders>
              <w:top w:val="single" w:sz="8" w:color="EEEEEE"/>
            </w:tcBorders>
            <w:shd w:val="clear" w:color="auto" w:fill="EEEEEE"/>
          </w:tcPr>
          <w:p>
            <w:pPr>
              <w:spacing w:after="0"/>
              <w:rPr>
                <w:sz w:val="17"/>
                <w:szCs w:val="17"/>
                <w:color w:val="auto"/>
              </w:rPr>
            </w:pPr>
          </w:p>
        </w:tc>
        <w:tc>
          <w:tcPr>
            <w:tcW w:w="580" w:type="dxa"/>
            <w:vAlign w:val="bottom"/>
            <w:tcBorders>
              <w:top w:val="single" w:sz="8" w:color="EEEEEE"/>
            </w:tcBorders>
            <w:shd w:val="clear" w:color="auto" w:fill="EEEEEE"/>
          </w:tcPr>
          <w:p>
            <w:pPr>
              <w:spacing w:after="0"/>
              <w:rPr>
                <w:sz w:val="17"/>
                <w:szCs w:val="17"/>
                <w:color w:val="auto"/>
              </w:rPr>
            </w:pPr>
          </w:p>
        </w:tc>
        <w:tc>
          <w:tcPr>
            <w:tcW w:w="1000" w:type="dxa"/>
            <w:vAlign w:val="bottom"/>
            <w:tcBorders>
              <w:top w:val="single" w:sz="8" w:color="EEEEEE"/>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7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of $769, and maturity dates ranging from July 2014 to December 2014</w:t>
            </w: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60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2,377</w:t>
            </w:r>
          </w:p>
        </w:tc>
        <w:tc>
          <w:tcPr>
            <w:tcW w:w="760" w:type="dxa"/>
            <w:vAlign w:val="bottom"/>
            <w:gridSpan w:val="2"/>
            <w:shd w:val="clear" w:color="auto" w:fill="EEEEEE"/>
          </w:tcPr>
          <w:p>
            <w:pPr>
              <w:jc w:val="right"/>
              <w:ind w:right="41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2,347</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current portion of long-term debt is the amount payable within one year of the balance sheet date of June 30, 2014. The prime rate of interest was 3.25% on June 30, 2014 and December 31, 2013, respectively.</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U.S. bank loans and line of credit agreement require the Company to meet certain financial covenants including a minimum current ratio, debt service coverage and maximum debt over tangible net worth ratio requirements. Collateral for the U.S. bank loans and line of credit includes substantially all of the assets of the Company. As of June 30, 2014, the Company was in compliance with all of its financial and operational covenants associated with these loans. As of June 30, 2014, the Company had $7.0 million of unused borrowing capacity on its line of credit and $5.0 million on its equipment term loan.</w:t>
      </w:r>
    </w:p>
    <w:p>
      <w:pPr>
        <w:spacing w:after="0" w:line="154" w:lineRule="exact"/>
        <w:rPr>
          <w:sz w:val="20"/>
          <w:szCs w:val="20"/>
          <w:color w:val="auto"/>
        </w:rPr>
      </w:pPr>
    </w:p>
    <w:p>
      <w:pPr>
        <w:ind w:right="820" w:firstLine="648"/>
        <w:spacing w:after="0" w:line="308" w:lineRule="auto"/>
        <w:rPr>
          <w:sz w:val="20"/>
          <w:szCs w:val="20"/>
          <w:color w:val="auto"/>
        </w:rPr>
      </w:pPr>
      <w:r>
        <w:rPr>
          <w:rFonts w:ascii="Arial" w:cs="Arial" w:eastAsia="Arial" w:hAnsi="Arial"/>
          <w:sz w:val="17"/>
          <w:szCs w:val="17"/>
          <w:color w:val="auto"/>
        </w:rPr>
        <w:t>In December 2013, the Company renewed its U.S. revolving line of credit of $7.0 million with the same U.S. bank with a maturity date of November 15, 2015. The interest rate on this line of credit is the prime rate plus 0.50% or a floor rate of 3.75%, whichever is higher.</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issued warrants to the same U.S. bank in connection with the renewals of the loan in 2009, 2010 and 2012. The Company estimated the fair value of these warrants at the date of the grant using the Black-Scholes option-pricing model and records the expense over the life of the warrants. As of June 30, 2014, there were no outstanding warrants related to these loans.</w:t>
      </w:r>
    </w:p>
    <w:p>
      <w:pPr>
        <w:spacing w:after="0" w:line="181"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Company, through its China subsidiary, established RMB and USD currency lines of credit for $12.0 million and $3.3 million, respectively, with a China Bank as of June 30, 2014. The interest rate for the RMB line of credit is 108% of the China prime rate. The interest rate for the USD line of credit ranged from 2.03% to 2.13%. These credit lines are revolving lines that are renewable by its anniversary. Collateral for the loans includes the land use rights, building and equipment located in China. As of June 30, 2014, the Company had $14.0 million of unused borrowing capacity.</w:t>
      </w:r>
    </w:p>
    <w:p>
      <w:pPr>
        <w:spacing w:after="0" w:line="17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Company extended its equipment financing agreement of $1.0 million with a Taiwan bank in 2013. The financing agreement required equipment collateral. The agreement requires monthly installment payments over 24 months and ends in July 2015. The financing agreement bears interest at the rate of 4.95%.</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0" w:name="page11"/>
    <w:bookmarkEnd w:id="10"/>
    <w:p>
      <w:pPr>
        <w:ind w:right="120" w:firstLine="648"/>
        <w:spacing w:after="0" w:line="279" w:lineRule="auto"/>
        <w:rPr>
          <w:sz w:val="20"/>
          <w:szCs w:val="20"/>
          <w:color w:val="auto"/>
        </w:rPr>
      </w:pPr>
      <w:r>
        <w:rPr>
          <w:rFonts w:ascii="Arial" w:cs="Arial" w:eastAsia="Arial" w:hAnsi="Arial"/>
          <w:sz w:val="17"/>
          <w:szCs w:val="17"/>
          <w:color w:val="auto"/>
        </w:rPr>
        <w:t>The Company, through its Taiwan branch, established two $4.0 million revolving lines of credit with Taiwan banks in 2013 totaling $8.0 million. The financing agreements require collateral of its time deposits of $8.0 million that is included in short-term investment. The two revolving lines of credit bear interest at a rate (which adjusts quarterly) equal to the Taiwan Time Deposit Interest Rate Index plus 0.41%, currently 1.78%, and at a base rate equal to TAIBOR plus 1%, currently 1.75%. As of June 30, 2014, $7.6 million was outstanding under these credit facilities.</w:t>
      </w:r>
    </w:p>
    <w:p>
      <w:pPr>
        <w:spacing w:after="0" w:line="16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6"/>
          <w:szCs w:val="16"/>
          <w:b w:val="1"/>
          <w:bCs w:val="1"/>
          <w:color w:val="auto"/>
        </w:rPr>
        <w:t>Accrued Liabilities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 for the periods indicated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w w:val="95"/>
              </w:rPr>
              <w:t>June 30, 2014</w:t>
            </w:r>
          </w:p>
        </w:tc>
        <w:tc>
          <w:tcPr>
            <w:tcW w:w="20" w:type="dxa"/>
            <w:vAlign w:val="bottom"/>
          </w:tcPr>
          <w:p>
            <w:pPr>
              <w:spacing w:after="0"/>
              <w:rPr>
                <w:sz w:val="20"/>
                <w:szCs w:val="20"/>
                <w:color w:val="auto"/>
              </w:rPr>
            </w:pPr>
          </w:p>
        </w:tc>
        <w:tc>
          <w:tcPr>
            <w:tcW w:w="1660" w:type="dxa"/>
            <w:vAlign w:val="bottom"/>
            <w:gridSpan w:val="4"/>
          </w:tcPr>
          <w:p>
            <w:pPr>
              <w:ind w:left="40"/>
              <w:spacing w:after="0"/>
              <w:rPr>
                <w:sz w:val="20"/>
                <w:szCs w:val="20"/>
                <w:color w:val="auto"/>
              </w:rPr>
            </w:pPr>
            <w:r>
              <w:rPr>
                <w:rFonts w:ascii="Arial" w:cs="Arial" w:eastAsia="Arial" w:hAnsi="Arial"/>
                <w:sz w:val="18"/>
                <w:szCs w:val="18"/>
                <w:b w:val="1"/>
                <w:bCs w:val="1"/>
                <w:color w:val="auto"/>
                <w:w w:val="98"/>
              </w:rPr>
              <w:t>December 31, 2013</w:t>
            </w:r>
          </w:p>
        </w:tc>
      </w:tr>
      <w:tr>
        <w:trPr>
          <w:trHeight w:val="210"/>
        </w:trPr>
        <w:tc>
          <w:tcPr>
            <w:tcW w:w="77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Accrued payroll</w:t>
            </w:r>
          </w:p>
        </w:tc>
        <w:tc>
          <w:tcPr>
            <w:tcW w:w="180" w:type="dxa"/>
            <w:vAlign w:val="bottom"/>
            <w:tcBorders>
              <w:top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2,631</w:t>
            </w:r>
          </w:p>
        </w:tc>
        <w:tc>
          <w:tcPr>
            <w:tcW w:w="36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600" w:type="dxa"/>
            <w:vAlign w:val="bottom"/>
            <w:tcBorders>
              <w:top w:val="single" w:sz="8" w:color="auto"/>
            </w:tcBorders>
            <w:shd w:val="clear" w:color="auto" w:fill="EEEEEE"/>
          </w:tcPr>
          <w:p>
            <w:pPr>
              <w:jc w:val="right"/>
              <w:ind w:right="477"/>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2,279</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424</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489</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Accrued taxes</w:t>
            </w:r>
          </w:p>
        </w:tc>
        <w:tc>
          <w:tcPr>
            <w:tcW w:w="18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166</w:t>
            </w:r>
          </w:p>
        </w:tc>
        <w:tc>
          <w:tcPr>
            <w:tcW w:w="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270</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Accrued interest</w:t>
            </w:r>
          </w:p>
        </w:tc>
        <w:tc>
          <w:tcPr>
            <w:tcW w:w="180" w:type="dxa"/>
            <w:vAlign w:val="bottom"/>
          </w:tcPr>
          <w:p>
            <w:pPr>
              <w:spacing w:after="0"/>
              <w:rPr>
                <w:sz w:val="18"/>
                <w:szCs w:val="18"/>
                <w:color w:val="auto"/>
              </w:rPr>
            </w:pPr>
          </w:p>
        </w:tc>
        <w:tc>
          <w:tcPr>
            <w:tcW w:w="1780" w:type="dxa"/>
            <w:vAlign w:val="bottom"/>
            <w:gridSpan w:val="2"/>
          </w:tcPr>
          <w:p>
            <w:pPr>
              <w:jc w:val="right"/>
              <w:ind w:right="3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r>
      <w:tr>
        <w:trPr>
          <w:trHeight w:val="216"/>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Advanced payments</w:t>
            </w:r>
          </w:p>
        </w:tc>
        <w:tc>
          <w:tcPr>
            <w:tcW w:w="18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88</w:t>
            </w:r>
          </w:p>
        </w:tc>
        <w:tc>
          <w:tcPr>
            <w:tcW w:w="36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EEEEEE"/>
          </w:tcPr>
          <w:p>
            <w:pPr>
              <w:spacing w:after="0"/>
              <w:rPr>
                <w:sz w:val="18"/>
                <w:szCs w:val="18"/>
                <w:color w:val="auto"/>
              </w:rPr>
            </w:pP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Accrued commissions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88</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80" w:type="dxa"/>
            <w:vAlign w:val="bottom"/>
          </w:tcPr>
          <w:p>
            <w:pPr>
              <w:spacing w:after="0"/>
              <w:rPr>
                <w:sz w:val="18"/>
                <w:szCs w:val="18"/>
                <w:color w:val="auto"/>
              </w:rPr>
            </w:pPr>
          </w:p>
        </w:tc>
      </w:tr>
      <w:tr>
        <w:trPr>
          <w:trHeight w:val="230"/>
        </w:trPr>
        <w:tc>
          <w:tcPr>
            <w:tcW w:w="7780" w:type="dxa"/>
            <w:vAlign w:val="bottom"/>
            <w:shd w:val="clear" w:color="auto" w:fill="EEEEEE"/>
          </w:tcPr>
          <w:p>
            <w:pPr>
              <w:spacing w:after="0"/>
              <w:rPr>
                <w:sz w:val="20"/>
                <w:szCs w:val="20"/>
                <w:color w:val="auto"/>
              </w:rPr>
            </w:pPr>
            <w:r>
              <w:rPr>
                <w:rFonts w:ascii="Arial" w:cs="Arial" w:eastAsia="Arial" w:hAnsi="Arial"/>
                <w:sz w:val="18"/>
                <w:szCs w:val="18"/>
                <w:color w:val="auto"/>
              </w:rPr>
              <w:t>Accrued other</w:t>
            </w:r>
          </w:p>
        </w:tc>
        <w:tc>
          <w:tcPr>
            <w:tcW w:w="18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2,207</w:t>
            </w:r>
          </w:p>
        </w:tc>
        <w:tc>
          <w:tcPr>
            <w:tcW w:w="20" w:type="dxa"/>
            <w:vAlign w:val="bottom"/>
            <w:shd w:val="clear" w:color="auto" w:fill="EEEEEE"/>
          </w:tcPr>
          <w:p>
            <w:pPr>
              <w:spacing w:after="0"/>
              <w:rPr>
                <w:sz w:val="19"/>
                <w:szCs w:val="19"/>
                <w:color w:val="auto"/>
              </w:rPr>
            </w:pPr>
          </w:p>
        </w:tc>
        <w:tc>
          <w:tcPr>
            <w:tcW w:w="600" w:type="dxa"/>
            <w:vAlign w:val="bottom"/>
            <w:shd w:val="clear" w:color="auto" w:fill="EEEEEE"/>
          </w:tcPr>
          <w:p>
            <w:pPr>
              <w:spacing w:after="0"/>
              <w:rPr>
                <w:sz w:val="19"/>
                <w:szCs w:val="19"/>
                <w:color w:val="auto"/>
              </w:rPr>
            </w:pPr>
          </w:p>
        </w:tc>
        <w:tc>
          <w:tcPr>
            <w:tcW w:w="98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1,167</w:t>
            </w:r>
          </w:p>
        </w:tc>
        <w:tc>
          <w:tcPr>
            <w:tcW w:w="80" w:type="dxa"/>
            <w:vAlign w:val="bottom"/>
            <w:shd w:val="clear" w:color="auto" w:fill="EEEEEE"/>
          </w:tcPr>
          <w:p>
            <w:pPr>
              <w:spacing w:after="0"/>
              <w:rPr>
                <w:sz w:val="19"/>
                <w:szCs w:val="19"/>
                <w:color w:val="auto"/>
              </w:rPr>
            </w:pPr>
          </w:p>
        </w:tc>
      </w:tr>
      <w:tr>
        <w:trPr>
          <w:trHeight w:val="223"/>
        </w:trPr>
        <w:tc>
          <w:tcPr>
            <w:tcW w:w="77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5,606</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Arial" w:cs="Arial" w:eastAsia="Arial" w:hAnsi="Arial"/>
                <w:sz w:val="18"/>
                <w:szCs w:val="18"/>
                <w:b w:val="1"/>
                <w:bCs w:val="1"/>
                <w:color w:val="auto"/>
              </w:rPr>
              <w:t>Note 9.   Other Income and Expense</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520" w:type="dxa"/>
            <w:vAlign w:val="bottom"/>
            <w:gridSpan w:val="5"/>
          </w:tcPr>
          <w:p>
            <w:pPr>
              <w:ind w:left="660"/>
              <w:spacing w:after="0"/>
              <w:rPr>
                <w:sz w:val="20"/>
                <w:szCs w:val="20"/>
                <w:color w:val="auto"/>
              </w:rPr>
            </w:pPr>
            <w:r>
              <w:rPr>
                <w:rFonts w:ascii="Arial" w:cs="Arial" w:eastAsia="Arial" w:hAnsi="Arial"/>
                <w:sz w:val="18"/>
                <w:szCs w:val="18"/>
                <w:color w:val="auto"/>
                <w:w w:val="92"/>
              </w:rPr>
              <w:t>Other income and expense consisted of the following for the periods indicated (in thousands):</w:t>
            </w: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60" w:type="dxa"/>
            <w:vAlign w:val="bottom"/>
            <w:gridSpan w:val="5"/>
          </w:tcPr>
          <w:p>
            <w:pPr>
              <w:jc w:val="right"/>
              <w:ind w:right="460"/>
              <w:spacing w:after="0"/>
              <w:rPr>
                <w:sz w:val="20"/>
                <w:szCs w:val="20"/>
                <w:color w:val="auto"/>
              </w:rPr>
            </w:pPr>
            <w:r>
              <w:rPr>
                <w:rFonts w:ascii="Arial" w:cs="Arial" w:eastAsia="Arial" w:hAnsi="Arial"/>
                <w:sz w:val="18"/>
                <w:szCs w:val="18"/>
                <w:b w:val="1"/>
                <w:bCs w:val="1"/>
                <w:color w:val="auto"/>
                <w:w w:val="90"/>
              </w:rPr>
              <w:t>Three months ended June 30,</w:t>
            </w:r>
          </w:p>
        </w:tc>
        <w:tc>
          <w:tcPr>
            <w:tcW w:w="180" w:type="dxa"/>
            <w:vAlign w:val="bottom"/>
          </w:tcPr>
          <w:p>
            <w:pPr>
              <w:spacing w:after="0"/>
              <w:rPr>
                <w:sz w:val="24"/>
                <w:szCs w:val="24"/>
                <w:color w:val="auto"/>
              </w:rPr>
            </w:pPr>
          </w:p>
        </w:tc>
        <w:tc>
          <w:tcPr>
            <w:tcW w:w="2520" w:type="dxa"/>
            <w:vAlign w:val="bottom"/>
            <w:gridSpan w:val="7"/>
          </w:tcPr>
          <w:p>
            <w:pPr>
              <w:jc w:val="right"/>
              <w:ind w:right="38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5720" w:type="dxa"/>
            <w:vAlign w:val="bottom"/>
            <w:tcBorders>
              <w:bottom w:val="single" w:sz="8" w:color="EEEEEE"/>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top w:val="single" w:sz="8" w:color="auto"/>
              <w:bottom w:val="single" w:sz="8" w:color="EEEEEE"/>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EEEEEE"/>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top w:val="single" w:sz="8" w:color="auto"/>
              <w:bottom w:val="single" w:sz="8" w:color="EEEEEE"/>
            </w:tcBorders>
          </w:tcPr>
          <w:p>
            <w:pPr>
              <w:spacing w:after="0"/>
              <w:rPr>
                <w:sz w:val="19"/>
                <w:szCs w:val="19"/>
                <w:color w:val="auto"/>
              </w:rPr>
            </w:pPr>
          </w:p>
        </w:tc>
        <w:tc>
          <w:tcPr>
            <w:tcW w:w="20" w:type="dxa"/>
            <w:vAlign w:val="bottom"/>
            <w:tcBorders>
              <w:top w:val="single" w:sz="8" w:color="auto"/>
              <w:bottom w:val="single" w:sz="8" w:color="EEEEEE"/>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EEEEEE"/>
            </w:tcBorders>
          </w:tcPr>
          <w:p>
            <w:pPr>
              <w:spacing w:after="0"/>
              <w:rPr>
                <w:sz w:val="19"/>
                <w:szCs w:val="19"/>
                <w:color w:val="auto"/>
              </w:rPr>
            </w:pPr>
          </w:p>
        </w:tc>
        <w:tc>
          <w:tcPr>
            <w:tcW w:w="80" w:type="dxa"/>
            <w:vAlign w:val="bottom"/>
            <w:tcBorders>
              <w:bottom w:val="single" w:sz="8" w:color="EEEEEE"/>
            </w:tcBorders>
          </w:tcPr>
          <w:p>
            <w:pPr>
              <w:spacing w:after="0"/>
              <w:rPr>
                <w:sz w:val="19"/>
                <w:szCs w:val="19"/>
                <w:color w:val="auto"/>
              </w:rPr>
            </w:pPr>
          </w:p>
        </w:tc>
      </w:tr>
      <w:tr>
        <w:trPr>
          <w:trHeight w:val="210"/>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Unrealized foreign exchange gain (loss)</w:t>
            </w:r>
          </w:p>
        </w:tc>
        <w:tc>
          <w:tcPr>
            <w:tcW w:w="14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183</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w:t>
            </w: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(192)</w:t>
            </w:r>
          </w:p>
        </w:tc>
        <w:tc>
          <w:tcPr>
            <w:tcW w:w="100" w:type="dxa"/>
            <w:vAlign w:val="bottom"/>
            <w:gridSpan w:val="2"/>
            <w:shd w:val="clear" w:color="auto" w:fill="EEEEEE"/>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Realized foreign exchange gain (loss)</w:t>
            </w:r>
          </w:p>
        </w:tc>
        <w:tc>
          <w:tcPr>
            <w:tcW w:w="140" w:type="dxa"/>
            <w:vAlign w:val="bottom"/>
          </w:tcPr>
          <w:p>
            <w:pPr>
              <w:spacing w:after="0"/>
              <w:rPr>
                <w:sz w:val="18"/>
                <w:szCs w:val="18"/>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70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(64)</w:t>
            </w:r>
          </w:p>
        </w:tc>
      </w:tr>
      <w:tr>
        <w:trPr>
          <w:trHeight w:val="216"/>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Government subsidy income</w:t>
            </w:r>
          </w:p>
        </w:tc>
        <w:tc>
          <w:tcPr>
            <w:tcW w:w="14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61</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108</w:t>
            </w: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195</w:t>
            </w:r>
          </w:p>
        </w:tc>
        <w:tc>
          <w:tcPr>
            <w:tcW w:w="80" w:type="dxa"/>
            <w:vAlign w:val="bottom"/>
            <w:shd w:val="clear" w:color="auto" w:fill="EEEEEE"/>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Other non-operating gain (loss)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r>
      <w:tr>
        <w:trPr>
          <w:trHeight w:val="230"/>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Gain (loss) on disposal of assets</w:t>
            </w:r>
          </w:p>
        </w:tc>
        <w:tc>
          <w:tcPr>
            <w:tcW w:w="14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(3)</w:t>
            </w:r>
          </w:p>
        </w:tc>
        <w:tc>
          <w:tcPr>
            <w:tcW w:w="280" w:type="dxa"/>
            <w:vAlign w:val="bottom"/>
            <w:shd w:val="clear" w:color="auto" w:fill="EEEEEE"/>
          </w:tcPr>
          <w:p>
            <w:pPr>
              <w:spacing w:after="0"/>
              <w:rPr>
                <w:sz w:val="19"/>
                <w:szCs w:val="19"/>
                <w:color w:val="auto"/>
              </w:rPr>
            </w:pPr>
          </w:p>
        </w:tc>
        <w:tc>
          <w:tcPr>
            <w:tcW w:w="120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9</w:t>
            </w:r>
          </w:p>
        </w:tc>
        <w:tc>
          <w:tcPr>
            <w:tcW w:w="18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(2)</w:t>
            </w:r>
          </w:p>
        </w:tc>
        <w:tc>
          <w:tcPr>
            <w:tcW w:w="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9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EEEEEE"/>
          </w:tcPr>
          <w:p>
            <w:pPr>
              <w:spacing w:after="0"/>
              <w:rPr>
                <w:sz w:val="19"/>
                <w:szCs w:val="19"/>
                <w:color w:val="auto"/>
              </w:rPr>
            </w:pPr>
          </w:p>
        </w:tc>
      </w:tr>
      <w:tr>
        <w:trPr>
          <w:trHeight w:val="223"/>
        </w:trPr>
        <w:tc>
          <w:tcPr>
            <w:tcW w:w="57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360" w:type="dxa"/>
            <w:vAlign w:val="bottom"/>
          </w:tcPr>
          <w:p>
            <w:pPr>
              <w:spacing w:after="0"/>
              <w:rPr>
                <w:sz w:val="19"/>
                <w:szCs w:val="19"/>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Share-Based Compensation</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Accounting Standards Codification (“ASC”) 718 requires companies to record compensation expense for stock options measured at fair value, on the date of grant, using an option –pricing model.</w:t>
      </w:r>
    </w:p>
    <w:p>
      <w:pPr>
        <w:spacing w:after="0" w:line="170"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Company’s board of directors and stockholders previously approved the 1998 Share Incentive Plan, the 2000 Share Incentive Plan, the 2004 Share Incentive Plan and the 2006 Share Incentive Plan, (collectively the “Prior Plans”). Following the Company’s initial public offering, no further awards will be granted under the Prior Plans. However, all outstanding awards under the Prior Plans will continue to exist and will continue to be governed by their existing terms.</w:t>
      </w:r>
    </w:p>
    <w:p>
      <w:pPr>
        <w:spacing w:after="0" w:line="187"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On April 12, 2013, the Company’s board of directors adopted and approved the Company’s 2013 Equity Incentive Plan, (the “2013 Plan”), and it was subsequently approved by the Company’s stockholders on May 21, 2013.</w:t>
      </w:r>
    </w:p>
    <w:p>
      <w:pPr>
        <w:spacing w:after="0" w:line="170"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issues stock options to employees, consultants and non-employee directors. Stock option awards for the Prior Plans and the 2013 Plan generally vest over a four year period and have a maximum term of ten years. Stock options under these plans have been granted with an exercise price equal to the fair market value on the date of the grant. Nonqualified and incentive stock options and restrictive stock units (“RSUs”) may be granted from these plans. Prior to the Company’s initial public offering, the fair market value of the Company’s stock had been historically determined by the board of directors and from time to time with the assistance of third party valuation specialists.</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As of June 30, 2014, the Company had outstanding equity awards to purchase 1,471,848 shares of common stock under its share incentive plans with a weighted average exercise price of $8.93.</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1" w:name="page12"/>
    <w:bookmarkEnd w:id="11"/>
    <w:p>
      <w:pPr>
        <w:ind w:right="200" w:firstLine="648"/>
        <w:spacing w:after="0" w:line="277" w:lineRule="auto"/>
        <w:rPr>
          <w:sz w:val="20"/>
          <w:szCs w:val="20"/>
          <w:color w:val="auto"/>
        </w:rPr>
      </w:pPr>
      <w:r>
        <w:rPr>
          <w:rFonts w:ascii="Arial" w:cs="Arial" w:eastAsia="Arial" w:hAnsi="Arial"/>
          <w:sz w:val="18"/>
          <w:szCs w:val="18"/>
          <w:color w:val="auto"/>
        </w:rPr>
        <w:t>The following table summarizes employee share-based compensation expense resulting from stock options and RSUs for the periods indicated, (in thousands):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3000" w:type="dxa"/>
            <w:vAlign w:val="bottom"/>
            <w:gridSpan w:val="6"/>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0"/>
                <w:szCs w:val="20"/>
                <w:color w:val="auto"/>
              </w:rPr>
            </w:pPr>
          </w:p>
        </w:tc>
        <w:tc>
          <w:tcPr>
            <w:tcW w:w="2520" w:type="dxa"/>
            <w:vAlign w:val="bottom"/>
            <w:gridSpan w:val="5"/>
          </w:tcPr>
          <w:p>
            <w:pPr>
              <w:ind w:left="10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5720" w:type="dxa"/>
            <w:vAlign w:val="bottom"/>
            <w:tcBorders>
              <w:bottom w:val="single" w:sz="8" w:color="EEEEEE"/>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EEEEEE"/>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320" w:type="dxa"/>
            <w:vAlign w:val="bottom"/>
            <w:tcBorders>
              <w:bottom w:val="single" w:sz="8" w:color="EEEEEE"/>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top w:val="single" w:sz="8" w:color="auto"/>
              <w:bottom w:val="single" w:sz="8" w:color="EEEEEE"/>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EEEEEE"/>
            </w:tcBorders>
          </w:tcPr>
          <w:p>
            <w:pPr>
              <w:spacing w:after="0"/>
              <w:rPr>
                <w:sz w:val="19"/>
                <w:szCs w:val="19"/>
                <w:color w:val="auto"/>
              </w:rPr>
            </w:pPr>
          </w:p>
        </w:tc>
      </w:tr>
      <w:tr>
        <w:trPr>
          <w:trHeight w:val="210"/>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Cost of sales</w:t>
            </w:r>
          </w:p>
        </w:tc>
        <w:tc>
          <w:tcPr>
            <w:tcW w:w="820" w:type="dxa"/>
            <w:vAlign w:val="bottom"/>
            <w:shd w:val="clear" w:color="auto" w:fill="EEEEEE"/>
          </w:tcPr>
          <w:p>
            <w:pPr>
              <w:jc w:val="right"/>
              <w:ind w:right="630"/>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w:t>
            </w:r>
          </w:p>
        </w:tc>
        <w:tc>
          <w:tcPr>
            <w:tcW w:w="320" w:type="dxa"/>
            <w:vAlign w:val="bottom"/>
            <w:shd w:val="clear" w:color="auto" w:fill="EEEEEE"/>
          </w:tcPr>
          <w:p>
            <w:pPr>
              <w:spacing w:after="0"/>
              <w:rPr>
                <w:sz w:val="18"/>
                <w:szCs w:val="18"/>
                <w:color w:val="auto"/>
              </w:rPr>
            </w:pPr>
          </w:p>
        </w:tc>
        <w:tc>
          <w:tcPr>
            <w:tcW w:w="180" w:type="dxa"/>
            <w:vAlign w:val="bottom"/>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w:t>
            </w: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EEEEEE"/>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r>
      <w:tr>
        <w:trPr>
          <w:trHeight w:val="216"/>
        </w:trPr>
        <w:tc>
          <w:tcPr>
            <w:tcW w:w="5720" w:type="dxa"/>
            <w:vAlign w:val="bottom"/>
            <w:shd w:val="clear" w:color="auto" w:fill="EEEEEE"/>
          </w:tcPr>
          <w:p>
            <w:pPr>
              <w:spacing w:after="0"/>
              <w:rPr>
                <w:sz w:val="20"/>
                <w:szCs w:val="20"/>
                <w:color w:val="auto"/>
              </w:rPr>
            </w:pPr>
            <w:r>
              <w:rPr>
                <w:rFonts w:ascii="Arial" w:cs="Arial" w:eastAsia="Arial" w:hAnsi="Arial"/>
                <w:sz w:val="18"/>
                <w:szCs w:val="18"/>
                <w:color w:val="auto"/>
              </w:rPr>
              <w:t>Sales and marketing</w:t>
            </w:r>
          </w:p>
        </w:tc>
        <w:tc>
          <w:tcPr>
            <w:tcW w:w="820" w:type="dxa"/>
            <w:vAlign w:val="bottom"/>
            <w:shd w:val="clear" w:color="auto" w:fill="EEEEEE"/>
          </w:tcPr>
          <w:p>
            <w:pPr>
              <w:spacing w:after="0"/>
              <w:rPr>
                <w:sz w:val="18"/>
                <w:szCs w:val="18"/>
                <w:color w:val="auto"/>
              </w:rPr>
            </w:pP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48</w:t>
            </w: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21</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820" w:type="dxa"/>
            <w:vAlign w:val="bottom"/>
          </w:tcPr>
          <w:p>
            <w:pPr>
              <w:spacing w:after="0"/>
              <w:rPr>
                <w:sz w:val="19"/>
                <w:szCs w:val="19"/>
                <w:color w:val="auto"/>
              </w:rPr>
            </w:pPr>
          </w:p>
        </w:tc>
        <w:tc>
          <w:tcPr>
            <w:tcW w:w="700" w:type="dxa"/>
            <w:vAlign w:val="bottom"/>
            <w:gridSpan w:val="2"/>
          </w:tcPr>
          <w:p>
            <w:pPr>
              <w:jc w:val="right"/>
              <w:ind w:right="360"/>
              <w:spacing w:after="0"/>
              <w:rPr>
                <w:sz w:val="20"/>
                <w:szCs w:val="20"/>
                <w:color w:val="auto"/>
              </w:rPr>
            </w:pPr>
            <w:r>
              <w:rPr>
                <w:rFonts w:ascii="Arial" w:cs="Arial" w:eastAsia="Arial" w:hAnsi="Arial"/>
                <w:sz w:val="18"/>
                <w:szCs w:val="18"/>
                <w:color w:val="auto"/>
              </w:rPr>
              <w:t>434</w:t>
            </w:r>
          </w:p>
        </w:tc>
        <w:tc>
          <w:tcPr>
            <w:tcW w:w="240" w:type="dxa"/>
            <w:vAlign w:val="bottom"/>
          </w:tcPr>
          <w:p>
            <w:pPr>
              <w:spacing w:after="0"/>
              <w:rPr>
                <w:sz w:val="19"/>
                <w:szCs w:val="19"/>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850</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169</w:t>
            </w:r>
          </w:p>
        </w:tc>
      </w:tr>
      <w:tr>
        <w:trPr>
          <w:trHeight w:val="223"/>
        </w:trPr>
        <w:tc>
          <w:tcPr>
            <w:tcW w:w="5720" w:type="dxa"/>
            <w:vAlign w:val="bottom"/>
            <w:tcBorders>
              <w:top w:val="single" w:sz="8" w:color="EEEEEE"/>
              <w:bottom w:val="single" w:sz="8" w:color="EEEEEE"/>
            </w:tcBorders>
            <w:shd w:val="clear" w:color="auto" w:fill="EEEEEE"/>
          </w:tcPr>
          <w:p>
            <w:pPr>
              <w:spacing w:after="0"/>
              <w:rPr>
                <w:sz w:val="19"/>
                <w:szCs w:val="19"/>
                <w:color w:val="auto"/>
              </w:rPr>
            </w:pPr>
          </w:p>
        </w:tc>
        <w:tc>
          <w:tcPr>
            <w:tcW w:w="820" w:type="dxa"/>
            <w:vAlign w:val="bottom"/>
            <w:tcBorders>
              <w:top w:val="single" w:sz="8" w:color="auto"/>
              <w:bottom w:val="single" w:sz="8" w:color="auto"/>
            </w:tcBorders>
            <w:shd w:val="clear" w:color="auto" w:fill="EEEEEE"/>
          </w:tcPr>
          <w:p>
            <w:pPr>
              <w:jc w:val="right"/>
              <w:ind w:right="63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518</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1,007</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stock option activity during the six month period ending June 30, 2014 (in thousands, except price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Weighted</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18"/>
                <w:szCs w:val="18"/>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1"/>
              </w:rPr>
              <w:t>Weighted</w:t>
            </w: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Aggregate</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Exercise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Average</w:t>
            </w:r>
          </w:p>
        </w:tc>
        <w:tc>
          <w:tcPr>
            <w:tcW w:w="1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28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Price</w:t>
            </w:r>
          </w:p>
        </w:tc>
        <w:tc>
          <w:tcPr>
            <w:tcW w:w="180" w:type="dxa"/>
            <w:vAlign w:val="bottom"/>
          </w:tcPr>
          <w:p>
            <w:pPr>
              <w:spacing w:after="0"/>
              <w:rPr>
                <w:sz w:val="20"/>
                <w:szCs w:val="20"/>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95"/>
              </w:rPr>
              <w:t>Fair Value</w:t>
            </w: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Life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0"/>
        </w:trPr>
        <w:tc>
          <w:tcPr>
            <w:tcW w:w="538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Outstanding, December 31, 2013</w:t>
            </w: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1,468</w:t>
            </w:r>
          </w:p>
        </w:tc>
        <w:tc>
          <w:tcPr>
            <w:tcW w:w="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8.38</w:t>
            </w:r>
          </w:p>
        </w:tc>
        <w:tc>
          <w:tcPr>
            <w:tcW w:w="16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4.11</w:t>
            </w:r>
          </w:p>
        </w:tc>
        <w:tc>
          <w:tcPr>
            <w:tcW w:w="320" w:type="dxa"/>
            <w:vAlign w:val="bottom"/>
            <w:tcBorders>
              <w:top w:val="single" w:sz="8" w:color="EEEEEE"/>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spacing w:after="0"/>
              <w:rPr>
                <w:sz w:val="18"/>
                <w:szCs w:val="18"/>
                <w:color w:val="auto"/>
              </w:rPr>
            </w:pP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9,731</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3"/>
          </w:tcPr>
          <w:p>
            <w:pPr>
              <w:jc w:val="right"/>
              <w:ind w:right="34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13.84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7.12</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3"/>
            <w:shd w:val="clear" w:color="auto" w:fill="EEEEEE"/>
          </w:tcPr>
          <w:p>
            <w:pPr>
              <w:jc w:val="right"/>
              <w:ind w:right="28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5.99</w:t>
            </w:r>
          </w:p>
        </w:tc>
        <w:tc>
          <w:tcPr>
            <w:tcW w:w="1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2.03</w:t>
            </w:r>
          </w:p>
        </w:tc>
        <w:tc>
          <w:tcPr>
            <w:tcW w:w="9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8.43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5.11</w:t>
            </w: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5380" w:type="dxa"/>
            <w:vAlign w:val="bottom"/>
            <w:shd w:val="clear" w:color="auto" w:fill="EEEEEE"/>
          </w:tcPr>
          <w:p>
            <w:pPr>
              <w:spacing w:after="0"/>
              <w:rPr>
                <w:sz w:val="20"/>
                <w:szCs w:val="20"/>
                <w:color w:val="auto"/>
              </w:rPr>
            </w:pPr>
            <w:r>
              <w:rPr>
                <w:rFonts w:ascii="Arial" w:cs="Arial" w:eastAsia="Arial" w:hAnsi="Arial"/>
                <w:sz w:val="18"/>
                <w:szCs w:val="18"/>
                <w:color w:val="auto"/>
              </w:rPr>
              <w:t>Expired</w:t>
            </w:r>
          </w:p>
        </w:tc>
        <w:tc>
          <w:tcPr>
            <w:tcW w:w="1280" w:type="dxa"/>
            <w:vAlign w:val="bottom"/>
            <w:gridSpan w:val="3"/>
            <w:shd w:val="clear" w:color="auto" w:fill="EEEEEE"/>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6.75</w:t>
            </w:r>
          </w:p>
        </w:tc>
        <w:tc>
          <w:tcPr>
            <w:tcW w:w="1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4.88</w:t>
            </w:r>
          </w:p>
        </w:tc>
        <w:tc>
          <w:tcPr>
            <w:tcW w:w="920" w:type="dxa"/>
            <w:vAlign w:val="bottom"/>
            <w:shd w:val="clear" w:color="auto" w:fill="EEEEEE"/>
          </w:tcPr>
          <w:p>
            <w:pPr>
              <w:spacing w:after="0"/>
              <w:rPr>
                <w:sz w:val="19"/>
                <w:szCs w:val="19"/>
                <w:color w:val="auto"/>
              </w:rPr>
            </w:pPr>
          </w:p>
        </w:tc>
        <w:tc>
          <w:tcPr>
            <w:tcW w:w="1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9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63"/>
        </w:trPr>
        <w:tc>
          <w:tcPr>
            <w:tcW w:w="538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Outstanding, June 30, 2014</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20" w:type="dxa"/>
            <w:vAlign w:val="bottom"/>
            <w:tcBorders>
              <w:bottom w:val="single" w:sz="8" w:color="EEEEEE"/>
            </w:tcBorders>
          </w:tcPr>
          <w:p>
            <w:pPr>
              <w:spacing w:after="0"/>
              <w:rPr>
                <w:sz w:val="22"/>
                <w:szCs w:val="22"/>
                <w:color w:val="auto"/>
              </w:rPr>
            </w:pPr>
          </w:p>
        </w:tc>
        <w:tc>
          <w:tcPr>
            <w:tcW w:w="320" w:type="dxa"/>
            <w:vAlign w:val="bottom"/>
            <w:tcBorders>
              <w:bottom w:val="single" w:sz="8" w:color="EEEEEE"/>
            </w:tcBorders>
          </w:tcPr>
          <w:p>
            <w:pPr>
              <w:spacing w:after="0"/>
              <w:rPr>
                <w:sz w:val="22"/>
                <w:szCs w:val="22"/>
                <w:color w:val="auto"/>
              </w:rPr>
            </w:pPr>
          </w:p>
        </w:tc>
        <w:tc>
          <w:tcPr>
            <w:tcW w:w="100" w:type="dxa"/>
            <w:vAlign w:val="bottom"/>
            <w:tcBorders>
              <w:bottom w:val="single" w:sz="8" w:color="EEEEEE"/>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EEEEEE"/>
            </w:tcBorders>
            <w:gridSpan w:val="2"/>
          </w:tcPr>
          <w:p>
            <w:pPr>
              <w:jc w:val="right"/>
              <w:ind w:right="160"/>
              <w:spacing w:after="0"/>
              <w:rPr>
                <w:sz w:val="20"/>
                <w:szCs w:val="20"/>
                <w:color w:val="auto"/>
              </w:rPr>
            </w:pPr>
            <w:r>
              <w:rPr>
                <w:rFonts w:ascii="Arial" w:cs="Arial" w:eastAsia="Arial" w:hAnsi="Arial"/>
                <w:sz w:val="18"/>
                <w:szCs w:val="18"/>
                <w:color w:val="auto"/>
              </w:rPr>
              <w:t>8.93</w:t>
            </w:r>
          </w:p>
        </w:tc>
        <w:tc>
          <w:tcPr>
            <w:tcW w:w="300" w:type="dxa"/>
            <w:vAlign w:val="bottom"/>
            <w:tcBorders>
              <w:bottom w:val="single" w:sz="8" w:color="EEEEEE"/>
            </w:tcBorders>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EEEEEE"/>
            </w:tcBorders>
            <w:gridSpan w:val="2"/>
          </w:tcPr>
          <w:p>
            <w:pPr>
              <w:jc w:val="right"/>
              <w:ind w:right="320"/>
              <w:spacing w:after="0"/>
              <w:rPr>
                <w:sz w:val="20"/>
                <w:szCs w:val="20"/>
                <w:color w:val="auto"/>
              </w:rPr>
            </w:pPr>
            <w:r>
              <w:rPr>
                <w:rFonts w:ascii="Arial" w:cs="Arial" w:eastAsia="Arial" w:hAnsi="Arial"/>
                <w:sz w:val="18"/>
                <w:szCs w:val="18"/>
                <w:color w:val="auto"/>
              </w:rPr>
              <w:t>4.45</w:t>
            </w:r>
          </w:p>
        </w:tc>
        <w:tc>
          <w:tcPr>
            <w:tcW w:w="1100" w:type="dxa"/>
            <w:vAlign w:val="bottom"/>
            <w:tcBorders>
              <w:bottom w:val="single" w:sz="8" w:color="EEEEEE"/>
            </w:tcBorders>
            <w:gridSpan w:val="2"/>
          </w:tcPr>
          <w:p>
            <w:pPr>
              <w:jc w:val="right"/>
              <w:ind w:right="180"/>
              <w:spacing w:after="0"/>
              <w:rPr>
                <w:sz w:val="20"/>
                <w:szCs w:val="20"/>
                <w:color w:val="auto"/>
              </w:rPr>
            </w:pPr>
            <w:r>
              <w:rPr>
                <w:rFonts w:ascii="Arial" w:cs="Arial" w:eastAsia="Arial" w:hAnsi="Arial"/>
                <w:sz w:val="18"/>
                <w:szCs w:val="18"/>
                <w:color w:val="auto"/>
              </w:rPr>
              <w:t>8.564</w:t>
            </w:r>
          </w:p>
        </w:tc>
        <w:tc>
          <w:tcPr>
            <w:tcW w:w="260" w:type="dxa"/>
            <w:vAlign w:val="bottom"/>
            <w:tcBorders>
              <w:bottom w:val="single" w:sz="8" w:color="EEEEEE"/>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EEEEEE"/>
            </w:tcBorders>
            <w:gridSpan w:val="2"/>
          </w:tcPr>
          <w:p>
            <w:pPr>
              <w:jc w:val="right"/>
              <w:ind w:right="100"/>
              <w:spacing w:after="0"/>
              <w:rPr>
                <w:sz w:val="20"/>
                <w:szCs w:val="20"/>
                <w:color w:val="auto"/>
              </w:rPr>
            </w:pPr>
            <w:r>
              <w:rPr>
                <w:rFonts w:ascii="Arial" w:cs="Arial" w:eastAsia="Arial" w:hAnsi="Arial"/>
                <w:sz w:val="18"/>
                <w:szCs w:val="18"/>
                <w:color w:val="auto"/>
              </w:rPr>
              <w:t>20,992</w:t>
            </w:r>
          </w:p>
        </w:tc>
        <w:tc>
          <w:tcPr>
            <w:tcW w:w="0" w:type="dxa"/>
            <w:vAlign w:val="bottom"/>
          </w:tcPr>
          <w:p>
            <w:pPr>
              <w:spacing w:after="0"/>
              <w:rPr>
                <w:sz w:val="1"/>
                <w:szCs w:val="1"/>
                <w:color w:val="auto"/>
              </w:rPr>
            </w:pPr>
          </w:p>
        </w:tc>
      </w:tr>
      <w:tr>
        <w:trPr>
          <w:trHeight w:val="197"/>
        </w:trPr>
        <w:tc>
          <w:tcPr>
            <w:tcW w:w="5380" w:type="dxa"/>
            <w:vAlign w:val="bottom"/>
            <w:tcBorders>
              <w:bottom w:val="single" w:sz="8" w:color="EEEEEE"/>
            </w:tcBorders>
            <w:shd w:val="clear" w:color="auto" w:fill="EEEEEE"/>
          </w:tcPr>
          <w:p>
            <w:pPr>
              <w:spacing w:after="0" w:line="190" w:lineRule="exact"/>
              <w:rPr>
                <w:sz w:val="20"/>
                <w:szCs w:val="20"/>
                <w:color w:val="auto"/>
              </w:rPr>
            </w:pPr>
            <w:r>
              <w:rPr>
                <w:rFonts w:ascii="Arial" w:cs="Arial" w:eastAsia="Arial" w:hAnsi="Arial"/>
                <w:sz w:val="18"/>
                <w:szCs w:val="18"/>
                <w:color w:val="auto"/>
              </w:rPr>
              <w:t>Exercisable, June 30, 2014</w:t>
            </w:r>
          </w:p>
        </w:tc>
        <w:tc>
          <w:tcPr>
            <w:tcW w:w="94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301</w:t>
            </w:r>
          </w:p>
        </w:tc>
        <w:tc>
          <w:tcPr>
            <w:tcW w:w="340" w:type="dxa"/>
            <w:vAlign w:val="bottom"/>
            <w:tcBorders>
              <w:bottom w:val="single" w:sz="8" w:color="EEEEEE"/>
            </w:tcBorders>
            <w:gridSpan w:val="2"/>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jc w:val="right"/>
              <w:spacing w:after="0" w:line="190"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EEEEEE"/>
            </w:tcBorders>
            <w:gridSpan w:val="2"/>
            <w:shd w:val="clear" w:color="auto" w:fill="EEEEEE"/>
          </w:tcPr>
          <w:p>
            <w:pPr>
              <w:jc w:val="right"/>
              <w:ind w:right="160"/>
              <w:spacing w:after="0" w:line="190" w:lineRule="exact"/>
              <w:rPr>
                <w:sz w:val="20"/>
                <w:szCs w:val="20"/>
                <w:color w:val="auto"/>
              </w:rPr>
            </w:pPr>
            <w:r>
              <w:rPr>
                <w:rFonts w:ascii="Arial" w:cs="Arial" w:eastAsia="Arial" w:hAnsi="Arial"/>
                <w:sz w:val="18"/>
                <w:szCs w:val="18"/>
                <w:color w:val="auto"/>
              </w:rPr>
              <w:t>6.35</w:t>
            </w:r>
          </w:p>
        </w:tc>
        <w:tc>
          <w:tcPr>
            <w:tcW w:w="300" w:type="dxa"/>
            <w:vAlign w:val="bottom"/>
            <w:tcBorders>
              <w:bottom w:val="single" w:sz="8" w:color="EEEEEE"/>
            </w:tcBorders>
            <w:gridSpan w:val="2"/>
            <w:shd w:val="clear" w:color="auto" w:fill="EEEEEE"/>
          </w:tcPr>
          <w:p>
            <w:pPr>
              <w:jc w:val="right"/>
              <w:spacing w:after="0" w:line="190"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EEEEEE"/>
            </w:tcBorders>
            <w:gridSpan w:val="2"/>
            <w:shd w:val="clear" w:color="auto" w:fill="EEEEEE"/>
          </w:tcPr>
          <w:p>
            <w:pPr>
              <w:jc w:val="right"/>
              <w:ind w:right="320"/>
              <w:spacing w:after="0" w:line="190" w:lineRule="exact"/>
              <w:rPr>
                <w:sz w:val="20"/>
                <w:szCs w:val="20"/>
                <w:color w:val="auto"/>
              </w:rPr>
            </w:pPr>
            <w:r>
              <w:rPr>
                <w:rFonts w:ascii="Arial" w:cs="Arial" w:eastAsia="Arial" w:hAnsi="Arial"/>
                <w:sz w:val="18"/>
                <w:szCs w:val="18"/>
                <w:color w:val="auto"/>
              </w:rPr>
              <w:t>1.95</w:t>
            </w:r>
          </w:p>
        </w:tc>
        <w:tc>
          <w:tcPr>
            <w:tcW w:w="1100" w:type="dxa"/>
            <w:vAlign w:val="bottom"/>
            <w:tcBorders>
              <w:bottom w:val="single" w:sz="8" w:color="EEEEEE"/>
            </w:tcBorders>
            <w:gridSpan w:val="2"/>
            <w:shd w:val="clear" w:color="auto" w:fill="EEEEEE"/>
          </w:tcPr>
          <w:p>
            <w:pPr>
              <w:jc w:val="right"/>
              <w:ind w:right="180"/>
              <w:spacing w:after="0" w:line="190" w:lineRule="exact"/>
              <w:rPr>
                <w:sz w:val="20"/>
                <w:szCs w:val="20"/>
                <w:color w:val="auto"/>
              </w:rPr>
            </w:pPr>
            <w:r>
              <w:rPr>
                <w:rFonts w:ascii="Arial" w:cs="Arial" w:eastAsia="Arial" w:hAnsi="Arial"/>
                <w:sz w:val="18"/>
                <w:szCs w:val="18"/>
                <w:color w:val="auto"/>
              </w:rPr>
              <w:t>6.802</w:t>
            </w:r>
          </w:p>
        </w:tc>
        <w:tc>
          <w:tcPr>
            <w:tcW w:w="260" w:type="dxa"/>
            <w:vAlign w:val="bottom"/>
            <w:tcBorders>
              <w:bottom w:val="single" w:sz="8" w:color="EEEEEE"/>
            </w:tcBorders>
            <w:gridSpan w:val="2"/>
            <w:shd w:val="clear" w:color="auto" w:fill="EEEEEE"/>
          </w:tcPr>
          <w:p>
            <w:pPr>
              <w:jc w:val="right"/>
              <w:spacing w:after="0" w:line="190"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EEEEEE"/>
            </w:tcBorders>
            <w:gridSpan w:val="2"/>
            <w:shd w:val="clear" w:color="auto" w:fill="EEEEEE"/>
          </w:tcPr>
          <w:p>
            <w:pPr>
              <w:jc w:val="right"/>
              <w:ind w:right="100"/>
              <w:spacing w:after="0" w:line="190" w:lineRule="exact"/>
              <w:rPr>
                <w:sz w:val="20"/>
                <w:szCs w:val="20"/>
                <w:color w:val="auto"/>
              </w:rPr>
            </w:pPr>
            <w:r>
              <w:rPr>
                <w:rFonts w:ascii="Arial" w:cs="Arial" w:eastAsia="Arial" w:hAnsi="Arial"/>
                <w:sz w:val="18"/>
                <w:szCs w:val="18"/>
                <w:color w:val="auto"/>
              </w:rPr>
              <w:t>5,069</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rPr>
                <w:sz w:val="20"/>
                <w:szCs w:val="20"/>
                <w:color w:val="auto"/>
              </w:rPr>
            </w:pPr>
            <w:r>
              <w:rPr>
                <w:rFonts w:ascii="Arial" w:cs="Arial" w:eastAsia="Arial" w:hAnsi="Arial"/>
                <w:sz w:val="18"/>
                <w:szCs w:val="18"/>
                <w:color w:val="auto"/>
              </w:rPr>
              <w:t>Vested and expected to vest</w:t>
            </w:r>
          </w:p>
        </w:tc>
        <w:tc>
          <w:tcPr>
            <w:tcW w:w="9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8.84</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jc w:val="right"/>
              <w:ind w:right="320"/>
              <w:spacing w:after="0"/>
              <w:rPr>
                <w:sz w:val="20"/>
                <w:szCs w:val="20"/>
                <w:color w:val="auto"/>
              </w:rPr>
            </w:pPr>
            <w:r>
              <w:rPr>
                <w:rFonts w:ascii="Arial" w:cs="Arial" w:eastAsia="Arial" w:hAnsi="Arial"/>
                <w:sz w:val="18"/>
                <w:szCs w:val="18"/>
                <w:color w:val="auto"/>
              </w:rPr>
              <w:t>4.38</w:t>
            </w:r>
          </w:p>
        </w:tc>
        <w:tc>
          <w:tcPr>
            <w:tcW w:w="11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8.514</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19,342</w:t>
            </w: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1,347</w:t>
            </w:r>
          </w:p>
        </w:tc>
        <w:tc>
          <w:tcPr>
            <w:tcW w:w="20" w:type="dxa"/>
            <w:vAlign w:val="bottom"/>
            <w:tcBorders>
              <w:bottom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As of June 30, 2014, total compensation cost related to unvested stock options not yet recognized was $4.3 million, which is expected to be expensed over a weighted-average period of 3.1 years. The aggregated intrinsic value of options outstanding and options exercisable as of June 30, 2014 was $21.0 million and $5.1 million, respectively.</w:t>
      </w:r>
    </w:p>
    <w:p>
      <w:pPr>
        <w:spacing w:after="0" w:line="181"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Under the 2013 Plan, participants may be granted RSUs, representing an unfunded, unsecured right to receive common stock on the date specified in the recipient’s award. The Company recognizes compensation expense on a straight-line basis over the applicable vesting term of the award.</w:t>
      </w:r>
    </w:p>
    <w:p>
      <w:pPr>
        <w:spacing w:after="0" w:line="12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During the three months ended June 30, 2014, the Company granted 2,839 RSUs with a total grant-date fair market value of $0.1 million. As of June 30, 2014, there was approximately $23,000 of unrecognized compensation cost related to RSUs.</w:t>
      </w:r>
    </w:p>
    <w:p>
      <w:pPr>
        <w:spacing w:after="0" w:line="1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Stockholders’ Equity</w:t>
      </w:r>
    </w:p>
    <w:p>
      <w:pPr>
        <w:spacing w:after="0" w:line="229" w:lineRule="exact"/>
        <w:rPr>
          <w:sz w:val="20"/>
          <w:szCs w:val="20"/>
          <w:color w:val="auto"/>
        </w:rPr>
      </w:pPr>
    </w:p>
    <w:p>
      <w:pPr>
        <w:ind w:left="640" w:hanging="632"/>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Common Stock</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Company has authorized the issuance of up to 45,000,000 shares of common stock, all of which have been designated voting common stock, under its Amended and Restated Certificate of Incorporation.</w:t>
      </w:r>
    </w:p>
    <w:p>
      <w:pPr>
        <w:spacing w:after="0" w:line="170" w:lineRule="exact"/>
        <w:rPr>
          <w:sz w:val="20"/>
          <w:szCs w:val="20"/>
          <w:color w:val="auto"/>
        </w:rPr>
      </w:pPr>
    </w:p>
    <w:p>
      <w:pPr>
        <w:ind w:left="640" w:hanging="632"/>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Convertible Preferred Stock</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has authorized the issuance of up to 5,000,000 shares of preferred stock under the Company’s Amended and Restated Certificate of Incorporation.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Warrants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As of June 30, 2014, the Company had no outstanding warrants to purchase common or preferred stock.</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Public Offerings of Common Stock</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On September 25, 2013, the Company sold 3.6 million shares of its common stock in its initial public offering at a price of $10.00 per share, providing proceeds of $31.5 million, net of expenses and underwriting discounts and commissions. The Company’s initial public offering closed on October 1, 2013.</w:t>
      </w:r>
    </w:p>
    <w:p>
      <w:pPr>
        <w:spacing w:after="0" w:line="181"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March 19, 2014, the Company sold 2.0 million shares of its common stock in a secondary offering at a price of $24.25 per share, providing proceeds of $45.6 million net of expenses and underwriting discounts and commissions. The Company’s sale of 1.6 million shares in the secondary offering closed on March 25, 2014 and the Company’s sale of an additional 0.4 million shares as a result of the underwriters’ exercise of their option to purchase additional shares closed on March 28, 2014.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Segment and Geographic Information</w:t>
      </w:r>
    </w:p>
    <w:p>
      <w:pPr>
        <w:spacing w:after="0" w:line="229" w:lineRule="exact"/>
        <w:rPr>
          <w:sz w:val="20"/>
          <w:szCs w:val="20"/>
          <w:color w:val="auto"/>
        </w:rPr>
      </w:pPr>
    </w:p>
    <w:p>
      <w:pPr>
        <w:jc w:val="both"/>
        <w:ind w:right="360" w:firstLine="648"/>
        <w:spacing w:after="0" w:line="264" w:lineRule="auto"/>
        <w:rPr>
          <w:sz w:val="20"/>
          <w:szCs w:val="20"/>
          <w:color w:val="auto"/>
        </w:rPr>
      </w:pPr>
      <w:r>
        <w:rPr>
          <w:rFonts w:ascii="Arial" w:cs="Arial" w:eastAsia="Arial" w:hAnsi="Arial"/>
          <w:sz w:val="18"/>
          <w:szCs w:val="18"/>
          <w:color w:val="auto"/>
        </w:rPr>
        <w:t>The Company operates in one reportable segment. The Company’s Chief Executive Officer, who is considered to be the chief operating decision maker, manages the Company’s operations as a whole and reviews financial information presented on a consolidated basis, accompanied by information about product revenue, for purposes of evaluating financial performance and allocating resources.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set forth the Company’s revenue and asset information by geographic region. Revenue is classified based on the location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Company’s product manufacturing plants. Long-lived assets in the tables below comprise only property, plant, equipment and intangible assets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p>
        </w:tc>
        <w:tc>
          <w:tcPr>
            <w:tcW w:w="3280" w:type="dxa"/>
            <w:vAlign w:val="bottom"/>
            <w:gridSpan w:val="6"/>
          </w:tcPr>
          <w:p>
            <w:pPr>
              <w:jc w:val="right"/>
              <w:ind w:right="600"/>
              <w:spacing w:after="0"/>
              <w:rPr>
                <w:sz w:val="20"/>
                <w:szCs w:val="20"/>
                <w:color w:val="auto"/>
              </w:rPr>
            </w:pPr>
            <w:r>
              <w:rPr>
                <w:rFonts w:ascii="Arial" w:cs="Arial" w:eastAsia="Arial" w:hAnsi="Arial"/>
                <w:sz w:val="18"/>
                <w:szCs w:val="18"/>
                <w:b w:val="1"/>
                <w:bCs w:val="1"/>
                <w:color w:val="auto"/>
              </w:rPr>
              <w:t>Three months ended June 30,</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5"/>
          </w:tcPr>
          <w:p>
            <w:pPr>
              <w:ind w:left="20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820" w:type="dxa"/>
            <w:vAlign w:val="bottom"/>
            <w:tcBorders>
              <w:bottom w:val="single" w:sz="8" w:color="EEEEEE"/>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bottom w:val="single" w:sz="8" w:color="EEEEEE"/>
            </w:tcBorders>
          </w:tcPr>
          <w:p>
            <w:pPr>
              <w:spacing w:after="0"/>
              <w:rPr>
                <w:sz w:val="19"/>
                <w:szCs w:val="19"/>
                <w:color w:val="auto"/>
              </w:rPr>
            </w:pPr>
          </w:p>
        </w:tc>
        <w:tc>
          <w:tcPr>
            <w:tcW w:w="180" w:type="dxa"/>
            <w:vAlign w:val="bottom"/>
            <w:tcBorders>
              <w:bottom w:val="single" w:sz="8" w:color="EEEEEE"/>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EEEEEE"/>
            </w:tcBorders>
          </w:tcPr>
          <w:p>
            <w:pPr>
              <w:spacing w:after="0"/>
              <w:rPr>
                <w:sz w:val="19"/>
                <w:szCs w:val="19"/>
                <w:color w:val="auto"/>
              </w:rPr>
            </w:pPr>
          </w:p>
        </w:tc>
      </w:tr>
      <w:tr>
        <w:trPr>
          <w:trHeight w:val="210"/>
        </w:trPr>
        <w:tc>
          <w:tcPr>
            <w:tcW w:w="4820" w:type="dxa"/>
            <w:vAlign w:val="bottom"/>
            <w:shd w:val="clear" w:color="auto" w:fill="EEEEEE"/>
          </w:tcPr>
          <w:p>
            <w:pPr>
              <w:spacing w:after="0"/>
              <w:rPr>
                <w:sz w:val="20"/>
                <w:szCs w:val="20"/>
                <w:color w:val="auto"/>
              </w:rPr>
            </w:pPr>
            <w:r>
              <w:rPr>
                <w:rFonts w:ascii="Arial" w:cs="Arial" w:eastAsia="Arial" w:hAnsi="Arial"/>
                <w:sz w:val="18"/>
                <w:szCs w:val="18"/>
                <w:color w:val="auto"/>
              </w:rPr>
              <w:t>Revenues:</w:t>
            </w:r>
          </w:p>
        </w:tc>
        <w:tc>
          <w:tcPr>
            <w:tcW w:w="8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820" w:type="dxa"/>
            <w:vAlign w:val="bottom"/>
          </w:tcPr>
          <w:p>
            <w:pPr>
              <w:ind w:left="400"/>
              <w:spacing w:after="0"/>
              <w:rPr>
                <w:sz w:val="20"/>
                <w:szCs w:val="20"/>
                <w:color w:val="auto"/>
              </w:rPr>
            </w:pPr>
            <w:r>
              <w:rPr>
                <w:rFonts w:ascii="Arial" w:cs="Arial" w:eastAsia="Arial" w:hAnsi="Arial"/>
                <w:sz w:val="18"/>
                <w:szCs w:val="18"/>
                <w:color w:val="auto"/>
              </w:rPr>
              <w:t>United States</w:t>
            </w:r>
          </w:p>
        </w:tc>
        <w:tc>
          <w:tcPr>
            <w:tcW w:w="880" w:type="dxa"/>
            <w:vAlign w:val="bottom"/>
          </w:tcPr>
          <w:p>
            <w:pPr>
              <w:jc w:val="right"/>
              <w:ind w:right="717"/>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6,987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2,221</w:t>
            </w:r>
          </w:p>
        </w:tc>
        <w:tc>
          <w:tcPr>
            <w:tcW w:w="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12,124</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4,622</w:t>
            </w:r>
          </w:p>
        </w:tc>
      </w:tr>
      <w:tr>
        <w:trPr>
          <w:trHeight w:val="216"/>
        </w:trPr>
        <w:tc>
          <w:tcPr>
            <w:tcW w:w="48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Taiwan</w:t>
            </w:r>
          </w:p>
        </w:tc>
        <w:tc>
          <w:tcPr>
            <w:tcW w:w="880" w:type="dxa"/>
            <w:vAlign w:val="bottom"/>
            <w:shd w:val="clear" w:color="auto" w:fill="EEEEEE"/>
          </w:tcPr>
          <w:p>
            <w:pPr>
              <w:spacing w:after="0"/>
              <w:rPr>
                <w:sz w:val="18"/>
                <w:szCs w:val="18"/>
                <w:color w:val="auto"/>
              </w:rPr>
            </w:pPr>
          </w:p>
        </w:tc>
        <w:tc>
          <w:tcPr>
            <w:tcW w:w="8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7"/>
              </w:rPr>
              <w:t>20,549</w:t>
            </w: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9,104</w:t>
            </w: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34,889</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15,039</w:t>
            </w:r>
          </w:p>
        </w:tc>
      </w:tr>
      <w:tr>
        <w:trPr>
          <w:trHeight w:val="230"/>
        </w:trPr>
        <w:tc>
          <w:tcPr>
            <w:tcW w:w="4820" w:type="dxa"/>
            <w:vAlign w:val="bottom"/>
          </w:tcPr>
          <w:p>
            <w:pPr>
              <w:ind w:left="400"/>
              <w:spacing w:after="0"/>
              <w:rPr>
                <w:sz w:val="20"/>
                <w:szCs w:val="20"/>
                <w:color w:val="auto"/>
              </w:rPr>
            </w:pPr>
            <w:r>
              <w:rPr>
                <w:rFonts w:ascii="Arial" w:cs="Arial" w:eastAsia="Arial" w:hAnsi="Arial"/>
                <w:sz w:val="18"/>
                <w:szCs w:val="18"/>
                <w:color w:val="auto"/>
              </w:rPr>
              <w:t>China</w:t>
            </w:r>
          </w:p>
        </w:tc>
        <w:tc>
          <w:tcPr>
            <w:tcW w:w="88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5,114</w:t>
            </w:r>
          </w:p>
        </w:tc>
        <w:tc>
          <w:tcPr>
            <w:tcW w:w="3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8,272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10,496</w:t>
            </w:r>
          </w:p>
        </w:tc>
        <w:tc>
          <w:tcPr>
            <w:tcW w:w="3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14,253</w:t>
            </w:r>
          </w:p>
        </w:tc>
      </w:tr>
      <w:tr>
        <w:trPr>
          <w:trHeight w:val="223"/>
        </w:trPr>
        <w:tc>
          <w:tcPr>
            <w:tcW w:w="4820" w:type="dxa"/>
            <w:vAlign w:val="bottom"/>
            <w:tcBorders>
              <w:top w:val="single" w:sz="8" w:color="EEEEEE"/>
              <w:bottom w:val="single" w:sz="8" w:color="EEEEEE"/>
            </w:tcBorders>
            <w:shd w:val="clear" w:color="auto" w:fill="EEEEEE"/>
          </w:tcPr>
          <w:p>
            <w:pPr>
              <w:spacing w:after="0"/>
              <w:rPr>
                <w:sz w:val="19"/>
                <w:szCs w:val="19"/>
                <w:color w:val="auto"/>
              </w:rPr>
            </w:pPr>
          </w:p>
        </w:tc>
        <w:tc>
          <w:tcPr>
            <w:tcW w:w="880" w:type="dxa"/>
            <w:vAlign w:val="bottom"/>
            <w:tcBorders>
              <w:top w:val="single" w:sz="8" w:color="auto"/>
              <w:bottom w:val="single" w:sz="8" w:color="auto"/>
            </w:tcBorders>
            <w:shd w:val="clear" w:color="auto" w:fill="EEEEEE"/>
          </w:tcPr>
          <w:p>
            <w:pPr>
              <w:jc w:val="right"/>
              <w:ind w:right="71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87"/>
              </w:rPr>
              <w:t>32,650</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19,597</w:t>
            </w: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57,509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33,914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60" w:type="dxa"/>
            <w:vAlign w:val="bottom"/>
            <w:gridSpan w:val="5"/>
          </w:tcPr>
          <w:p>
            <w:pPr>
              <w:ind w:left="440"/>
              <w:spacing w:after="0"/>
              <w:rPr>
                <w:sz w:val="20"/>
                <w:szCs w:val="20"/>
                <w:color w:val="auto"/>
              </w:rPr>
            </w:pPr>
            <w:r>
              <w:rPr>
                <w:rFonts w:ascii="Arial" w:cs="Arial" w:eastAsia="Arial" w:hAnsi="Arial"/>
                <w:sz w:val="18"/>
                <w:szCs w:val="18"/>
                <w:b w:val="1"/>
                <w:bCs w:val="1"/>
                <w:color w:val="auto"/>
              </w:rPr>
              <w:t>As of the period ended</w:t>
            </w:r>
          </w:p>
        </w:tc>
      </w:tr>
      <w:tr>
        <w:trPr>
          <w:trHeight w:val="205"/>
        </w:trPr>
        <w:tc>
          <w:tcPr>
            <w:tcW w:w="8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2"/>
          </w:tcPr>
          <w:p>
            <w:pPr>
              <w:ind w:left="140"/>
              <w:spacing w:after="0" w:line="205" w:lineRule="exact"/>
              <w:rPr>
                <w:sz w:val="20"/>
                <w:szCs w:val="20"/>
                <w:color w:val="auto"/>
              </w:rPr>
            </w:pPr>
            <w:r>
              <w:rPr>
                <w:rFonts w:ascii="Arial" w:cs="Arial" w:eastAsia="Arial" w:hAnsi="Arial"/>
                <w:sz w:val="18"/>
                <w:szCs w:val="18"/>
                <w:b w:val="1"/>
                <w:bCs w:val="1"/>
                <w:color w:val="auto"/>
              </w:rPr>
              <w:t>June 30,</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70"/>
              <w:spacing w:after="0" w:line="205"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7"/>
                <w:szCs w:val="17"/>
                <w:color w:val="auto"/>
              </w:rPr>
            </w:pPr>
          </w:p>
        </w:tc>
      </w:tr>
      <w:tr>
        <w:trPr>
          <w:trHeight w:val="234"/>
        </w:trPr>
        <w:tc>
          <w:tcPr>
            <w:tcW w:w="8240" w:type="dxa"/>
            <w:vAlign w:val="bottom"/>
            <w:tcBorders>
              <w:bottom w:val="single" w:sz="8" w:color="EEEEE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EEEEEE"/>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EEEEEE"/>
            </w:tcBorders>
          </w:tcPr>
          <w:p>
            <w:pPr>
              <w:spacing w:after="0"/>
              <w:rPr>
                <w:sz w:val="20"/>
                <w:szCs w:val="20"/>
                <w:color w:val="auto"/>
              </w:rPr>
            </w:pPr>
          </w:p>
        </w:tc>
      </w:tr>
      <w:tr>
        <w:trPr>
          <w:trHeight w:val="210"/>
        </w:trPr>
        <w:tc>
          <w:tcPr>
            <w:tcW w:w="8240" w:type="dxa"/>
            <w:vAlign w:val="bottom"/>
            <w:shd w:val="clear" w:color="auto" w:fill="EEEEEE"/>
          </w:tcPr>
          <w:p>
            <w:pPr>
              <w:spacing w:after="0"/>
              <w:rPr>
                <w:sz w:val="20"/>
                <w:szCs w:val="20"/>
                <w:color w:val="auto"/>
              </w:rPr>
            </w:pPr>
            <w:r>
              <w:rPr>
                <w:rFonts w:ascii="Arial" w:cs="Arial" w:eastAsia="Arial" w:hAnsi="Arial"/>
                <w:sz w:val="18"/>
                <w:szCs w:val="18"/>
                <w:color w:val="auto"/>
              </w:rPr>
              <w:t>Long-lived assets:</w:t>
            </w: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240" w:type="dxa"/>
            <w:vAlign w:val="bottom"/>
          </w:tcPr>
          <w:p>
            <w:pPr>
              <w:ind w:left="40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13,640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9,415</w:t>
            </w:r>
          </w:p>
        </w:tc>
      </w:tr>
      <w:tr>
        <w:trPr>
          <w:trHeight w:val="216"/>
        </w:trPr>
        <w:tc>
          <w:tcPr>
            <w:tcW w:w="8240" w:type="dxa"/>
            <w:vAlign w:val="bottom"/>
            <w:shd w:val="clear" w:color="auto" w:fill="EEEEEE"/>
          </w:tcPr>
          <w:p>
            <w:pPr>
              <w:ind w:left="400"/>
              <w:spacing w:after="0"/>
              <w:rPr>
                <w:sz w:val="20"/>
                <w:szCs w:val="20"/>
                <w:color w:val="auto"/>
              </w:rPr>
            </w:pPr>
            <w:r>
              <w:rPr>
                <w:rFonts w:ascii="Arial" w:cs="Arial" w:eastAsia="Arial" w:hAnsi="Arial"/>
                <w:sz w:val="18"/>
                <w:szCs w:val="18"/>
                <w:color w:val="auto"/>
              </w:rPr>
              <w:t>Taiwan</w:t>
            </w:r>
          </w:p>
        </w:tc>
        <w:tc>
          <w:tcPr>
            <w:tcW w:w="22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16,632</w:t>
            </w:r>
          </w:p>
        </w:tc>
        <w:tc>
          <w:tcPr>
            <w:tcW w:w="120" w:type="dxa"/>
            <w:vAlign w:val="bottom"/>
            <w:shd w:val="clear" w:color="auto" w:fill="EEEEEE"/>
          </w:tcPr>
          <w:p>
            <w:pPr>
              <w:spacing w:after="0"/>
              <w:rPr>
                <w:sz w:val="18"/>
                <w:szCs w:val="18"/>
                <w:color w:val="auto"/>
              </w:rPr>
            </w:pPr>
          </w:p>
        </w:tc>
        <w:tc>
          <w:tcPr>
            <w:tcW w:w="13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7,192</w:t>
            </w:r>
          </w:p>
        </w:tc>
      </w:tr>
      <w:tr>
        <w:trPr>
          <w:trHeight w:val="230"/>
        </w:trPr>
        <w:tc>
          <w:tcPr>
            <w:tcW w:w="8240" w:type="dxa"/>
            <w:vAlign w:val="bottom"/>
          </w:tcPr>
          <w:p>
            <w:pPr>
              <w:ind w:left="400"/>
              <w:spacing w:after="0"/>
              <w:rPr>
                <w:sz w:val="20"/>
                <w:szCs w:val="20"/>
                <w:color w:val="auto"/>
              </w:rPr>
            </w:pPr>
            <w:r>
              <w:rPr>
                <w:rFonts w:ascii="Arial" w:cs="Arial" w:eastAsia="Arial" w:hAnsi="Arial"/>
                <w:sz w:val="18"/>
                <w:szCs w:val="18"/>
                <w:color w:val="auto"/>
              </w:rPr>
              <w:t>China</w:t>
            </w:r>
          </w:p>
        </w:tc>
        <w:tc>
          <w:tcPr>
            <w:tcW w:w="220" w:type="dxa"/>
            <w:vAlign w:val="bottom"/>
          </w:tcPr>
          <w:p>
            <w:pPr>
              <w:spacing w:after="0"/>
              <w:rPr>
                <w:sz w:val="19"/>
                <w:szCs w:val="19"/>
                <w:color w:val="auto"/>
              </w:rPr>
            </w:pPr>
          </w:p>
        </w:tc>
        <w:tc>
          <w:tcPr>
            <w:tcW w:w="1500" w:type="dxa"/>
            <w:vAlign w:val="bottom"/>
            <w:gridSpan w:val="2"/>
          </w:tcPr>
          <w:p>
            <w:pPr>
              <w:jc w:val="right"/>
              <w:ind w:right="340"/>
              <w:spacing w:after="0"/>
              <w:rPr>
                <w:sz w:val="20"/>
                <w:szCs w:val="20"/>
                <w:color w:val="auto"/>
              </w:rPr>
            </w:pPr>
            <w:r>
              <w:rPr>
                <w:rFonts w:ascii="Arial" w:cs="Arial" w:eastAsia="Arial" w:hAnsi="Arial"/>
                <w:sz w:val="18"/>
                <w:szCs w:val="18"/>
                <w:color w:val="auto"/>
              </w:rPr>
              <w:t>16,159</w:t>
            </w:r>
          </w:p>
        </w:tc>
        <w:tc>
          <w:tcPr>
            <w:tcW w:w="12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16,337</w:t>
            </w:r>
          </w:p>
        </w:tc>
      </w:tr>
      <w:tr>
        <w:trPr>
          <w:trHeight w:val="223"/>
        </w:trPr>
        <w:tc>
          <w:tcPr>
            <w:tcW w:w="824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46,431</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32,944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ind w:right="180" w:firstLine="693"/>
        <w:spacing w:after="0" w:line="264" w:lineRule="auto"/>
        <w:rPr>
          <w:sz w:val="20"/>
          <w:szCs w:val="20"/>
          <w:color w:val="auto"/>
        </w:rPr>
      </w:pPr>
      <w:r>
        <w:rPr>
          <w:rFonts w:ascii="Arial" w:cs="Arial" w:eastAsia="Arial" w:hAnsi="Arial"/>
          <w:sz w:val="18"/>
          <w:szCs w:val="18"/>
          <w:color w:val="auto"/>
        </w:rPr>
        <w:t>On July 15, 2014, the Company entered into a new credit agreement with East West Bank to expand its borrowing capacity to $15 million in order to fund general working capital and manufacturing expansion needs. The new credit agreement replaces, in its entirety, the previous $7 million credit line. The maturity dated of this credit line is July 15, 2017.</w:t>
      </w:r>
    </w:p>
    <w:p>
      <w:pPr>
        <w:spacing w:after="0" w:line="181"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On July 31, 2014, the Company entered into a new $5.0 million credit agreement with East West Bank that replaces its existing $5.0 million credit line for the purpose of financing equipment. This new agreement provides for the same credit line and extends the maturity date to July 1, 2019.</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3" w:name="page14"/>
    <w:bookmarkEnd w:id="13"/>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the unaudited condensed consolidated financial statements and the related notes thereto included elsewhere in this Quarterly Report on Form 10-Q for the period ended June 30, 2014 and the audited consolidated financial statements and notes thereto and management’s discussion and analysis of financial condition and results of operations for the fiscal year ended December 31, 2013 included in our Annual Report on Form 10-K. References to “Applied Optoelectronics” “we,” “our” and “us” are to Applied Optoelectronics, Inc. and its subsidiaries unless otherwise specified or the context otherwise requires.</w:t>
      </w:r>
    </w:p>
    <w:p>
      <w:pPr>
        <w:spacing w:after="0" w:line="15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“might,” “objective,” “estimate,” “continue,” “anticipate,” “intend,” “should,” “plan,” “expect,” “predict,” “potential,” “will” or the negative of these terms or other similar expressions is intended to identify forward-looking statements.</w:t>
      </w:r>
    </w:p>
    <w:p>
      <w:pPr>
        <w:spacing w:after="0" w:line="193"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i w:val="1"/>
          <w:iCs w:val="1"/>
          <w:color w:val="auto"/>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and those discussed in other documents we file with the SEC.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We are a leading, vertically integrated provider of fiber-optic access networking products. We target three networking end-markets: Cable TV Broadband, or CATV, Fiber-to-the-Home, or FTTH, and internet data centers. In designing products for our customers, we begin with the fundamental building blocks of lasers and laser components. From these foundational products, we design and manufacture optical communications products at varying levels of integration, from components, subassemblies and modules to complete turn-key equipment. We tailor our products to our customers’ needs and specifications, but leverage fundamental laser technology across our different products.</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three end markets we target are all driven by increasing bandwidth demand fueled by the growth of network-connected devices, video traffic, cloud computing and online social networking. To address this increased bandwidth demand, CATV and FTTH service providers are investing to enhance the capacity and capability of their networks. The trend of rising bandwidth consumption also impacts the internet data center market, as reflected in the shift to higher speed server connections. As a result of these trends, fiber-optic networking technology is becoming essential in all three of our target markets, as it is often the only economic way to deliver the required bandwidth.</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vertically integrated manufacturing model provides us several advantages, including rapid product development, fast response times to customer requests and better control over product quality and manufacturing costs. The lasers we manufacture are proven to be reliable over time and highly tolerant of changes in temperature and humidity, making them well-suited to the CATV and FTTH markets where networking equipment is often installed outdoors.</w:t>
      </w:r>
    </w:p>
    <w:p>
      <w:pPr>
        <w:spacing w:after="0" w:line="14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have three manufacturing sites: Sugar Land, Texas, Ningbo, China and Taipei, Taiwan. Our research and development functions are partnered with our manufacturing locations. In our U.S. facility, we manufacture our laser chips, sub-assemblies and components. We manufacture our laser chips only within our U.S. facility, where our laser R&amp;D team is located. In our Taiwan location, we manufacture transceivers for the FTTH and internet data center markets, which incorporate our own laser chips and components made in the U.S. In our China facility, we take advantage of lower labor costs and manufacture most of our CATV equipment systems, such as headend transmitters and outdoor nodes. Each facility conducts testing on the components, modules or subsystems it manufactures and each facility is certified to ISO 9001:2000.</w:t>
      </w:r>
    </w:p>
    <w:p>
      <w:pPr>
        <w:spacing w:after="0" w:line="17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sales model focuses on direct engagement and close coordination with our customers to determine product design, qualifications, and performance through coordination of our sales, product engineering and manufacturing teams. Our strategy is to use our direct sales force to sell to key accounts within our markets, increasing product penetration within those customers while also growing our overall customer base in certain international and domestic markets. We have direct sales personnel in each of our U.S., Taiwan and China locations focusing on a direct and local interaction with our CATV, FTTH and internet data center customers. Throughout our sales cycle, we work closely with our customers to achieve design wins that we believe provide long-lasting relationships and promotes higher customer retention.</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14" w:name="page15"/>
    <w:bookmarkEnd w:id="14"/>
    <w:p>
      <w:pPr>
        <w:jc w:val="both"/>
        <w:ind w:right="240" w:firstLine="648"/>
        <w:spacing w:after="0" w:line="264" w:lineRule="auto"/>
        <w:rPr>
          <w:sz w:val="20"/>
          <w:szCs w:val="20"/>
          <w:color w:val="auto"/>
        </w:rPr>
      </w:pPr>
      <w:r>
        <w:rPr>
          <w:rFonts w:ascii="Arial" w:cs="Arial" w:eastAsia="Arial" w:hAnsi="Arial"/>
          <w:sz w:val="18"/>
          <w:szCs w:val="18"/>
          <w:color w:val="auto"/>
        </w:rPr>
        <w:t>We have grown our revenue at a 33.1% CAGR between 2009 and 2013, including 23.7% growth year-over-year from 2012 to 2013. Our revenue growth in 2013 was driven primarily by increasing revenue from our internet data center customers. Growth in the first six months of 2014 has been driven primarily by increasing revenue from our internet data center and FTTH customers.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principal executive offices are located at 13115 Jess Pirtle Blvd., Sugar Land, TX 77478, and our telephone number is (281) 295-1800.</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 forth our consolidated results of operations for the periods presented and as a percentage of our revenue for those periods.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2940" w:type="dxa"/>
            <w:vAlign w:val="bottom"/>
            <w:tcBorders>
              <w:bottom w:val="single" w:sz="8" w:color="auto"/>
            </w:tcBorders>
            <w:gridSpan w:val="4"/>
          </w:tcPr>
          <w:p>
            <w:pPr>
              <w:ind w:left="680"/>
              <w:spacing w:after="0"/>
              <w:rPr>
                <w:sz w:val="20"/>
                <w:szCs w:val="20"/>
                <w:color w:val="auto"/>
              </w:rPr>
            </w:pPr>
            <w:r>
              <w:rPr>
                <w:rFonts w:ascii="Arial" w:cs="Arial" w:eastAsia="Arial" w:hAnsi="Arial"/>
                <w:sz w:val="18"/>
                <w:szCs w:val="18"/>
                <w:b w:val="1"/>
                <w:bCs w:val="1"/>
                <w:color w:val="auto"/>
                <w:w w:val="88"/>
              </w:rPr>
              <w:t>Three months ended June 30,</w:t>
            </w:r>
          </w:p>
        </w:tc>
        <w:tc>
          <w:tcPr>
            <w:tcW w:w="660" w:type="dxa"/>
            <w:vAlign w:val="bottom"/>
            <w:tcBorders>
              <w:bottom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360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b w:val="1"/>
                <w:bCs w:val="1"/>
                <w:color w:val="auto"/>
              </w:rPr>
              <w:t>Six months ended June 30,</w:t>
            </w:r>
          </w:p>
        </w:tc>
      </w:tr>
      <w:tr>
        <w:trPr>
          <w:trHeight w:val="210"/>
        </w:trPr>
        <w:tc>
          <w:tcPr>
            <w:tcW w:w="3460" w:type="dxa"/>
            <w:vAlign w:val="bottom"/>
          </w:tcPr>
          <w:p>
            <w:pPr>
              <w:spacing w:after="0"/>
              <w:rPr>
                <w:sz w:val="18"/>
                <w:szCs w:val="18"/>
                <w:color w:val="auto"/>
              </w:rPr>
            </w:pPr>
          </w:p>
        </w:tc>
        <w:tc>
          <w:tcPr>
            <w:tcW w:w="1020" w:type="dxa"/>
            <w:vAlign w:val="bottom"/>
          </w:tcPr>
          <w:p>
            <w:pPr>
              <w:ind w:left="660"/>
              <w:spacing w:after="0"/>
              <w:rPr>
                <w:sz w:val="20"/>
                <w:szCs w:val="20"/>
                <w:color w:val="auto"/>
              </w:rPr>
            </w:pPr>
            <w:r>
              <w:rPr>
                <w:rFonts w:ascii="Arial" w:cs="Arial" w:eastAsia="Arial" w:hAnsi="Arial"/>
                <w:sz w:val="18"/>
                <w:szCs w:val="18"/>
                <w:color w:val="auto"/>
                <w:w w:val="84"/>
              </w:rPr>
              <w:t>2014</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2013</w:t>
            </w: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18"/>
                <w:szCs w:val="18"/>
                <w:color w:val="auto"/>
              </w:rPr>
            </w:pPr>
          </w:p>
        </w:tc>
        <w:tc>
          <w:tcPr>
            <w:tcW w:w="1680" w:type="dxa"/>
            <w:vAlign w:val="bottom"/>
          </w:tcPr>
          <w:p>
            <w:pPr>
              <w:jc w:val="right"/>
              <w:ind w:right="570"/>
              <w:spacing w:after="0"/>
              <w:rPr>
                <w:sz w:val="20"/>
                <w:szCs w:val="20"/>
                <w:color w:val="auto"/>
              </w:rPr>
            </w:pPr>
            <w:r>
              <w:rPr>
                <w:rFonts w:ascii="Arial" w:cs="Arial" w:eastAsia="Arial" w:hAnsi="Arial"/>
                <w:sz w:val="18"/>
                <w:szCs w:val="18"/>
                <w:color w:val="auto"/>
              </w:rPr>
              <w:t>2013</w:t>
            </w:r>
          </w:p>
        </w:tc>
      </w:tr>
      <w:tr>
        <w:trPr>
          <w:trHeight w:val="210"/>
        </w:trPr>
        <w:tc>
          <w:tcPr>
            <w:tcW w:w="34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Revenue, net</w:t>
            </w:r>
          </w:p>
        </w:tc>
        <w:tc>
          <w:tcPr>
            <w:tcW w:w="1020" w:type="dxa"/>
            <w:vAlign w:val="bottom"/>
            <w:tcBorders>
              <w:top w:val="single" w:sz="8" w:color="auto"/>
            </w:tcBorders>
            <w:shd w:val="clear" w:color="auto" w:fill="EEEEEE"/>
          </w:tcPr>
          <w:p>
            <w:pPr>
              <w:spacing w:after="0"/>
              <w:rPr>
                <w:sz w:val="18"/>
                <w:szCs w:val="18"/>
                <w:color w:val="auto"/>
              </w:rPr>
            </w:pPr>
          </w:p>
        </w:tc>
        <w:tc>
          <w:tcPr>
            <w:tcW w:w="660" w:type="dxa"/>
            <w:vAlign w:val="bottom"/>
            <w:tcBorders>
              <w:top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88"/>
              </w:rPr>
              <w:t>100.0%</w:t>
            </w:r>
          </w:p>
        </w:tc>
        <w:tc>
          <w:tcPr>
            <w:tcW w:w="24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tcBorders>
            <w:shd w:val="clear" w:color="auto" w:fill="EEEEEE"/>
          </w:tcPr>
          <w:p>
            <w:pPr>
              <w:spacing w:after="0"/>
              <w:rPr>
                <w:sz w:val="18"/>
                <w:szCs w:val="18"/>
                <w:color w:val="auto"/>
              </w:rPr>
            </w:pPr>
          </w:p>
        </w:tc>
        <w:tc>
          <w:tcPr>
            <w:tcW w:w="660" w:type="dxa"/>
            <w:vAlign w:val="bottom"/>
            <w:tcBorders>
              <w:top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w w:val="88"/>
              </w:rPr>
              <w:t>100.0%</w:t>
            </w:r>
          </w:p>
        </w:tc>
        <w:tc>
          <w:tcPr>
            <w:tcW w:w="76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100.0%</w:t>
            </w:r>
          </w:p>
        </w:tc>
        <w:tc>
          <w:tcPr>
            <w:tcW w:w="24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100.0%</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65.7%</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72.2%</w:t>
            </w:r>
          </w:p>
        </w:tc>
        <w:tc>
          <w:tcPr>
            <w:tcW w:w="76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65.5%</w:t>
            </w:r>
          </w:p>
        </w:tc>
        <w:tc>
          <w:tcPr>
            <w:tcW w:w="24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70.4%</w:t>
            </w:r>
          </w:p>
        </w:tc>
      </w:tr>
      <w:tr>
        <w:trPr>
          <w:trHeight w:val="210"/>
        </w:trPr>
        <w:tc>
          <w:tcPr>
            <w:tcW w:w="346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Gross profit</w:t>
            </w: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66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34.3%</w:t>
            </w:r>
          </w:p>
        </w:tc>
        <w:tc>
          <w:tcPr>
            <w:tcW w:w="240" w:type="dxa"/>
            <w:vAlign w:val="bottom"/>
            <w:tcBorders>
              <w:top w:val="single" w:sz="8" w:color="EEEEEE"/>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66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27.8%</w:t>
            </w:r>
          </w:p>
        </w:tc>
        <w:tc>
          <w:tcPr>
            <w:tcW w:w="76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34.5%</w:t>
            </w:r>
          </w:p>
        </w:tc>
        <w:tc>
          <w:tcPr>
            <w:tcW w:w="240" w:type="dxa"/>
            <w:vAlign w:val="bottom"/>
            <w:tcBorders>
              <w:top w:val="single" w:sz="8" w:color="EEEEEE"/>
            </w:tcBorders>
            <w:shd w:val="clear" w:color="auto" w:fill="EEEEEE"/>
          </w:tcPr>
          <w:p>
            <w:pPr>
              <w:spacing w:after="0"/>
              <w:rPr>
                <w:sz w:val="18"/>
                <w:szCs w:val="18"/>
                <w:color w:val="auto"/>
              </w:rPr>
            </w:pPr>
          </w:p>
        </w:tc>
        <w:tc>
          <w:tcPr>
            <w:tcW w:w="168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29.6%</w:t>
            </w:r>
          </w:p>
        </w:tc>
      </w:tr>
      <w:tr>
        <w:trPr>
          <w:trHeight w:val="210"/>
        </w:trPr>
        <w:tc>
          <w:tcPr>
            <w:tcW w:w="3460" w:type="dxa"/>
            <w:vAlign w:val="bottom"/>
          </w:tcPr>
          <w:p>
            <w:pPr>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4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Research and development</w:t>
            </w:r>
          </w:p>
        </w:tc>
        <w:tc>
          <w:tcPr>
            <w:tcW w:w="6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9.7%</w:t>
            </w:r>
          </w:p>
        </w:tc>
        <w:tc>
          <w:tcPr>
            <w:tcW w:w="760" w:type="dxa"/>
            <w:vAlign w:val="bottom"/>
            <w:shd w:val="clear" w:color="auto" w:fill="EEEEEE"/>
          </w:tcPr>
          <w:p>
            <w:pPr>
              <w:spacing w:after="0"/>
              <w:rPr>
                <w:sz w:val="18"/>
                <w:szCs w:val="18"/>
                <w:color w:val="auto"/>
              </w:rPr>
            </w:pPr>
          </w:p>
        </w:tc>
        <w:tc>
          <w:tcPr>
            <w:tcW w:w="16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EEEEEE"/>
          </w:tcPr>
          <w:p>
            <w:pPr>
              <w:spacing w:after="0"/>
              <w:rPr>
                <w:sz w:val="18"/>
                <w:szCs w:val="18"/>
                <w:color w:val="auto"/>
              </w:rPr>
            </w:pPr>
          </w:p>
        </w:tc>
        <w:tc>
          <w:tcPr>
            <w:tcW w:w="16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11.5%</w:t>
            </w:r>
          </w:p>
        </w:tc>
      </w:tr>
      <w:tr>
        <w:trPr>
          <w:trHeight w:val="216"/>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4.6%</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76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24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5.8%</w:t>
            </w:r>
          </w:p>
        </w:tc>
      </w:tr>
      <w:tr>
        <w:trPr>
          <w:trHeight w:val="216"/>
        </w:trPr>
        <w:tc>
          <w:tcPr>
            <w:tcW w:w="44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General and administrative</w:t>
            </w:r>
          </w:p>
        </w:tc>
        <w:tc>
          <w:tcPr>
            <w:tcW w:w="6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12.1%</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12.5%</w:t>
            </w:r>
          </w:p>
        </w:tc>
        <w:tc>
          <w:tcPr>
            <w:tcW w:w="760" w:type="dxa"/>
            <w:vAlign w:val="bottom"/>
            <w:shd w:val="clear" w:color="auto" w:fill="EEEEEE"/>
          </w:tcPr>
          <w:p>
            <w:pPr>
              <w:spacing w:after="0"/>
              <w:rPr>
                <w:sz w:val="18"/>
                <w:szCs w:val="18"/>
                <w:color w:val="auto"/>
              </w:rPr>
            </w:pPr>
          </w:p>
        </w:tc>
        <w:tc>
          <w:tcPr>
            <w:tcW w:w="16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EEEEEE"/>
          </w:tcPr>
          <w:p>
            <w:pPr>
              <w:spacing w:after="0"/>
              <w:rPr>
                <w:sz w:val="18"/>
                <w:szCs w:val="18"/>
                <w:color w:val="auto"/>
              </w:rPr>
            </w:pPr>
          </w:p>
        </w:tc>
        <w:tc>
          <w:tcPr>
            <w:tcW w:w="16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14.2%</w:t>
            </w:r>
          </w:p>
        </w:tc>
      </w:tr>
      <w:tr>
        <w:trPr>
          <w:trHeight w:val="210"/>
        </w:trPr>
        <w:tc>
          <w:tcPr>
            <w:tcW w:w="346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29.0%</w:t>
            </w:r>
          </w:p>
        </w:tc>
        <w:tc>
          <w:tcPr>
            <w:tcW w:w="240" w:type="dxa"/>
            <w:vAlign w:val="bottom"/>
            <w:tcBorders>
              <w:bottom w:val="single" w:sz="8" w:color="EEEEEE"/>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27.5%</w:t>
            </w:r>
          </w:p>
        </w:tc>
        <w:tc>
          <w:tcPr>
            <w:tcW w:w="760" w:type="dxa"/>
            <w:vAlign w:val="bottom"/>
            <w:tcBorders>
              <w:bottom w:val="single" w:sz="8" w:color="EEEEEE"/>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31.2%</w:t>
            </w:r>
          </w:p>
        </w:tc>
        <w:tc>
          <w:tcPr>
            <w:tcW w:w="240" w:type="dxa"/>
            <w:vAlign w:val="bottom"/>
            <w:tcBorders>
              <w:bottom w:val="single" w:sz="8" w:color="EEEEEE"/>
            </w:tcBorders>
          </w:tcPr>
          <w:p>
            <w:pPr>
              <w:spacing w:after="0"/>
              <w:rPr>
                <w:sz w:val="18"/>
                <w:szCs w:val="18"/>
                <w:color w:val="auto"/>
              </w:rPr>
            </w:pPr>
          </w:p>
        </w:tc>
        <w:tc>
          <w:tcPr>
            <w:tcW w:w="16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31.5%</w:t>
            </w:r>
          </w:p>
        </w:tc>
      </w:tr>
      <w:tr>
        <w:trPr>
          <w:trHeight w:val="210"/>
        </w:trPr>
        <w:tc>
          <w:tcPr>
            <w:tcW w:w="3460" w:type="dxa"/>
            <w:vAlign w:val="bottom"/>
            <w:shd w:val="clear" w:color="auto" w:fill="EEEEEE"/>
          </w:tcPr>
          <w:p>
            <w:pPr>
              <w:spacing w:after="0"/>
              <w:rPr>
                <w:sz w:val="20"/>
                <w:szCs w:val="20"/>
                <w:color w:val="auto"/>
              </w:rPr>
            </w:pPr>
            <w:r>
              <w:rPr>
                <w:rFonts w:ascii="Arial" w:cs="Arial" w:eastAsia="Arial" w:hAnsi="Arial"/>
                <w:sz w:val="18"/>
                <w:szCs w:val="18"/>
                <w:color w:val="auto"/>
              </w:rPr>
              <w:t>Income (loss) from operations</w:t>
            </w:r>
          </w:p>
        </w:tc>
        <w:tc>
          <w:tcPr>
            <w:tcW w:w="1020" w:type="dxa"/>
            <w:vAlign w:val="bottom"/>
            <w:tcBorders>
              <w:bottom w:val="single" w:sz="8" w:color="auto"/>
            </w:tcBorders>
            <w:shd w:val="clear" w:color="auto" w:fill="EEEEEE"/>
          </w:tcPr>
          <w:p>
            <w:pPr>
              <w:spacing w:after="0"/>
              <w:rPr>
                <w:sz w:val="18"/>
                <w:szCs w:val="18"/>
                <w:color w:val="auto"/>
              </w:rPr>
            </w:pPr>
          </w:p>
        </w:tc>
        <w:tc>
          <w:tcPr>
            <w:tcW w:w="660" w:type="dxa"/>
            <w:vAlign w:val="bottom"/>
            <w:tcBorders>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5.3%</w:t>
            </w:r>
          </w:p>
        </w:tc>
        <w:tc>
          <w:tcPr>
            <w:tcW w:w="240" w:type="dxa"/>
            <w:vAlign w:val="bottom"/>
            <w:shd w:val="clear" w:color="auto" w:fill="EEEEEE"/>
          </w:tcPr>
          <w:p>
            <w:pPr>
              <w:spacing w:after="0"/>
              <w:rPr>
                <w:sz w:val="18"/>
                <w:szCs w:val="18"/>
                <w:color w:val="auto"/>
              </w:rPr>
            </w:pPr>
          </w:p>
        </w:tc>
        <w:tc>
          <w:tcPr>
            <w:tcW w:w="1020" w:type="dxa"/>
            <w:vAlign w:val="bottom"/>
            <w:tcBorders>
              <w:bottom w:val="single" w:sz="8" w:color="auto"/>
            </w:tcBorders>
            <w:shd w:val="clear" w:color="auto" w:fill="EEEEEE"/>
          </w:tcPr>
          <w:p>
            <w:pPr>
              <w:spacing w:after="0"/>
              <w:rPr>
                <w:sz w:val="18"/>
                <w:szCs w:val="18"/>
                <w:color w:val="auto"/>
              </w:rPr>
            </w:pPr>
          </w:p>
        </w:tc>
        <w:tc>
          <w:tcPr>
            <w:tcW w:w="660" w:type="dxa"/>
            <w:vAlign w:val="bottom"/>
            <w:tcBorders>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0.3%</w:t>
            </w:r>
          </w:p>
        </w:tc>
        <w:tc>
          <w:tcPr>
            <w:tcW w:w="760" w:type="dxa"/>
            <w:vAlign w:val="bottom"/>
            <w:shd w:val="clear" w:color="auto" w:fill="EEEEEE"/>
          </w:tcPr>
          <w:p>
            <w:pPr>
              <w:spacing w:after="0"/>
              <w:rPr>
                <w:sz w:val="18"/>
                <w:szCs w:val="18"/>
                <w:color w:val="auto"/>
              </w:rPr>
            </w:pPr>
          </w:p>
        </w:tc>
        <w:tc>
          <w:tcPr>
            <w:tcW w:w="1680" w:type="dxa"/>
            <w:vAlign w:val="bottom"/>
            <w:tcBorders>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3.3%</w:t>
            </w:r>
          </w:p>
        </w:tc>
        <w:tc>
          <w:tcPr>
            <w:tcW w:w="240" w:type="dxa"/>
            <w:vAlign w:val="bottom"/>
            <w:shd w:val="clear" w:color="auto" w:fill="EEEEEE"/>
          </w:tcPr>
          <w:p>
            <w:pPr>
              <w:spacing w:after="0"/>
              <w:rPr>
                <w:sz w:val="18"/>
                <w:szCs w:val="18"/>
                <w:color w:val="auto"/>
              </w:rPr>
            </w:pPr>
          </w:p>
        </w:tc>
        <w:tc>
          <w:tcPr>
            <w:tcW w:w="1680" w:type="dxa"/>
            <w:vAlign w:val="bottom"/>
            <w:tcBorders>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-1.9%</w:t>
            </w:r>
          </w:p>
        </w:tc>
      </w:tr>
      <w:tr>
        <w:trPr>
          <w:trHeight w:val="210"/>
        </w:trPr>
        <w:tc>
          <w:tcPr>
            <w:tcW w:w="34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4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Interest income</w:t>
            </w:r>
          </w:p>
        </w:tc>
        <w:tc>
          <w:tcPr>
            <w:tcW w:w="6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0.1%</w:t>
            </w:r>
          </w:p>
        </w:tc>
        <w:tc>
          <w:tcPr>
            <w:tcW w:w="760" w:type="dxa"/>
            <w:vAlign w:val="bottom"/>
            <w:shd w:val="clear" w:color="auto" w:fill="EEEEEE"/>
          </w:tcPr>
          <w:p>
            <w:pPr>
              <w:spacing w:after="0"/>
              <w:rPr>
                <w:sz w:val="18"/>
                <w:szCs w:val="18"/>
                <w:color w:val="auto"/>
              </w:rPr>
            </w:pPr>
          </w:p>
        </w:tc>
        <w:tc>
          <w:tcPr>
            <w:tcW w:w="16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EEEEEE"/>
          </w:tcPr>
          <w:p>
            <w:pPr>
              <w:spacing w:after="0"/>
              <w:rPr>
                <w:sz w:val="18"/>
                <w:szCs w:val="18"/>
                <w:color w:val="auto"/>
              </w:rPr>
            </w:pPr>
          </w:p>
        </w:tc>
        <w:tc>
          <w:tcPr>
            <w:tcW w:w="16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0.1%</w:t>
            </w:r>
          </w:p>
        </w:tc>
      </w:tr>
      <w:tr>
        <w:trPr>
          <w:trHeight w:val="216"/>
        </w:trPr>
        <w:tc>
          <w:tcPr>
            <w:tcW w:w="4480" w:type="dxa"/>
            <w:vAlign w:val="bottom"/>
            <w:gridSpan w:val="2"/>
          </w:tcPr>
          <w:p>
            <w:pPr>
              <w:ind w:left="180"/>
              <w:spacing w:after="0"/>
              <w:rPr>
                <w:sz w:val="20"/>
                <w:szCs w:val="20"/>
                <w:color w:val="auto"/>
              </w:rPr>
            </w:pPr>
            <w:r>
              <w:rPr>
                <w:rFonts w:ascii="Arial" w:cs="Arial" w:eastAsia="Arial" w:hAnsi="Arial"/>
                <w:sz w:val="18"/>
                <w:szCs w:val="18"/>
                <w:color w:val="auto"/>
              </w:rPr>
              <w:t>Interest expense</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76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-1.8%</w:t>
            </w:r>
          </w:p>
        </w:tc>
      </w:tr>
      <w:tr>
        <w:trPr>
          <w:trHeight w:val="216"/>
        </w:trPr>
        <w:tc>
          <w:tcPr>
            <w:tcW w:w="4480" w:type="dxa"/>
            <w:vAlign w:val="bottom"/>
            <w:gridSpan w:val="2"/>
            <w:shd w:val="clear" w:color="auto" w:fill="EEEEEE"/>
          </w:tcPr>
          <w:p>
            <w:pPr>
              <w:ind w:left="180"/>
              <w:spacing w:after="0"/>
              <w:rPr>
                <w:sz w:val="20"/>
                <w:szCs w:val="20"/>
                <w:color w:val="auto"/>
              </w:rPr>
            </w:pPr>
            <w:r>
              <w:rPr>
                <w:rFonts w:ascii="Arial" w:cs="Arial" w:eastAsia="Arial" w:hAnsi="Arial"/>
                <w:sz w:val="18"/>
                <w:szCs w:val="18"/>
                <w:color w:val="auto"/>
              </w:rPr>
              <w:t>Other expense, net</w:t>
            </w:r>
          </w:p>
        </w:tc>
        <w:tc>
          <w:tcPr>
            <w:tcW w:w="6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-0.3%</w:t>
            </w:r>
          </w:p>
        </w:tc>
        <w:tc>
          <w:tcPr>
            <w:tcW w:w="760" w:type="dxa"/>
            <w:vAlign w:val="bottom"/>
            <w:shd w:val="clear" w:color="auto" w:fill="EEEEEE"/>
          </w:tcPr>
          <w:p>
            <w:pPr>
              <w:spacing w:after="0"/>
              <w:rPr>
                <w:sz w:val="18"/>
                <w:szCs w:val="18"/>
                <w:color w:val="auto"/>
              </w:rPr>
            </w:pPr>
          </w:p>
        </w:tc>
        <w:tc>
          <w:tcPr>
            <w:tcW w:w="16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0.3%</w:t>
            </w:r>
          </w:p>
        </w:tc>
        <w:tc>
          <w:tcPr>
            <w:tcW w:w="240" w:type="dxa"/>
            <w:vAlign w:val="bottom"/>
            <w:shd w:val="clear" w:color="auto" w:fill="EEEEEE"/>
          </w:tcPr>
          <w:p>
            <w:pPr>
              <w:spacing w:after="0"/>
              <w:rPr>
                <w:sz w:val="18"/>
                <w:szCs w:val="18"/>
                <w:color w:val="auto"/>
              </w:rPr>
            </w:pPr>
          </w:p>
        </w:tc>
        <w:tc>
          <w:tcPr>
            <w:tcW w:w="16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-0.2%</w:t>
            </w:r>
          </w:p>
        </w:tc>
      </w:tr>
      <w:tr>
        <w:trPr>
          <w:trHeight w:val="210"/>
        </w:trPr>
        <w:tc>
          <w:tcPr>
            <w:tcW w:w="3460" w:type="dxa"/>
            <w:vAlign w:val="bottom"/>
          </w:tcPr>
          <w:p>
            <w:pPr>
              <w:spacing w:after="0"/>
              <w:rPr>
                <w:sz w:val="20"/>
                <w:szCs w:val="20"/>
                <w:color w:val="auto"/>
              </w:rPr>
            </w:pPr>
            <w:r>
              <w:rPr>
                <w:rFonts w:ascii="Arial" w:cs="Arial" w:eastAsia="Arial" w:hAnsi="Arial"/>
                <w:sz w:val="18"/>
                <w:szCs w:val="18"/>
                <w:color w:val="auto"/>
              </w:rPr>
              <w:t>Total other expense</w:t>
            </w:r>
          </w:p>
        </w:tc>
        <w:tc>
          <w:tcPr>
            <w:tcW w:w="10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0.8%</w:t>
            </w:r>
          </w:p>
        </w:tc>
        <w:tc>
          <w:tcPr>
            <w:tcW w:w="24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w:t>
            </w:r>
          </w:p>
        </w:tc>
        <w:tc>
          <w:tcPr>
            <w:tcW w:w="760" w:type="dxa"/>
            <w:vAlign w:val="bottom"/>
          </w:tcPr>
          <w:p>
            <w:pPr>
              <w:spacing w:after="0"/>
              <w:rPr>
                <w:sz w:val="18"/>
                <w:szCs w:val="18"/>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w:t>
            </w:r>
          </w:p>
        </w:tc>
      </w:tr>
      <w:tr>
        <w:trPr>
          <w:trHeight w:val="216"/>
        </w:trPr>
        <w:tc>
          <w:tcPr>
            <w:tcW w:w="44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Income (loss) before income taxes</w:t>
            </w:r>
          </w:p>
        </w:tc>
        <w:tc>
          <w:tcPr>
            <w:tcW w:w="6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6.1%</w:t>
            </w: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6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-1.4%</w:t>
            </w:r>
          </w:p>
        </w:tc>
        <w:tc>
          <w:tcPr>
            <w:tcW w:w="760" w:type="dxa"/>
            <w:vAlign w:val="bottom"/>
            <w:shd w:val="clear" w:color="auto" w:fill="EEEEEE"/>
          </w:tcPr>
          <w:p>
            <w:pPr>
              <w:spacing w:after="0"/>
              <w:rPr>
                <w:sz w:val="18"/>
                <w:szCs w:val="18"/>
                <w:color w:val="auto"/>
              </w:rPr>
            </w:pPr>
          </w:p>
        </w:tc>
        <w:tc>
          <w:tcPr>
            <w:tcW w:w="16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3.6%</w:t>
            </w:r>
          </w:p>
        </w:tc>
        <w:tc>
          <w:tcPr>
            <w:tcW w:w="240" w:type="dxa"/>
            <w:vAlign w:val="bottom"/>
            <w:shd w:val="clear" w:color="auto" w:fill="EEEEEE"/>
          </w:tcPr>
          <w:p>
            <w:pPr>
              <w:spacing w:after="0"/>
              <w:rPr>
                <w:sz w:val="18"/>
                <w:szCs w:val="18"/>
                <w:color w:val="auto"/>
              </w:rPr>
            </w:pPr>
          </w:p>
        </w:tc>
        <w:tc>
          <w:tcPr>
            <w:tcW w:w="168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-3.9%</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0.0%</w:t>
            </w:r>
          </w:p>
        </w:tc>
        <w:tc>
          <w:tcPr>
            <w:tcW w:w="76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0.0%</w:t>
            </w:r>
          </w:p>
        </w:tc>
      </w:tr>
      <w:tr>
        <w:trPr>
          <w:trHeight w:val="210"/>
        </w:trPr>
        <w:tc>
          <w:tcPr>
            <w:tcW w:w="346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income (loss)</w:t>
            </w: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66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5.8%</w:t>
            </w:r>
          </w:p>
        </w:tc>
        <w:tc>
          <w:tcPr>
            <w:tcW w:w="240" w:type="dxa"/>
            <w:vAlign w:val="bottom"/>
            <w:tcBorders>
              <w:top w:val="single" w:sz="8" w:color="EEEEEE"/>
              <w:bottom w:val="single" w:sz="8" w:color="EEEEEE"/>
            </w:tcBorders>
            <w:shd w:val="clear" w:color="auto" w:fill="EEEEEE"/>
          </w:tcPr>
          <w:p>
            <w:pPr>
              <w:spacing w:after="0"/>
              <w:rPr>
                <w:sz w:val="18"/>
                <w:szCs w:val="18"/>
                <w:color w:val="auto"/>
              </w:rPr>
            </w:pPr>
          </w:p>
        </w:tc>
        <w:tc>
          <w:tcPr>
            <w:tcW w:w="1020" w:type="dxa"/>
            <w:vAlign w:val="bottom"/>
            <w:tcBorders>
              <w:top w:val="single" w:sz="8" w:color="auto"/>
              <w:bottom w:val="single" w:sz="8" w:color="auto"/>
            </w:tcBorders>
            <w:shd w:val="clear" w:color="auto" w:fill="EEEEEE"/>
          </w:tcPr>
          <w:p>
            <w:pPr>
              <w:spacing w:after="0"/>
              <w:rPr>
                <w:sz w:val="18"/>
                <w:szCs w:val="18"/>
                <w:color w:val="auto"/>
              </w:rPr>
            </w:pPr>
          </w:p>
        </w:tc>
        <w:tc>
          <w:tcPr>
            <w:tcW w:w="66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-1.4%</w:t>
            </w:r>
          </w:p>
        </w:tc>
        <w:tc>
          <w:tcPr>
            <w:tcW w:w="760" w:type="dxa"/>
            <w:vAlign w:val="bottom"/>
            <w:tcBorders>
              <w:top w:val="single" w:sz="8" w:color="EEEEEE"/>
              <w:bottom w:val="single" w:sz="8" w:color="EEEEEE"/>
            </w:tcBorders>
            <w:shd w:val="clear" w:color="auto" w:fill="EEEEEE"/>
          </w:tcPr>
          <w:p>
            <w:pPr>
              <w:spacing w:after="0"/>
              <w:rPr>
                <w:sz w:val="18"/>
                <w:szCs w:val="18"/>
                <w:color w:val="auto"/>
              </w:rPr>
            </w:pPr>
          </w:p>
        </w:tc>
        <w:tc>
          <w:tcPr>
            <w:tcW w:w="168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3.4%</w:t>
            </w:r>
          </w:p>
        </w:tc>
        <w:tc>
          <w:tcPr>
            <w:tcW w:w="240" w:type="dxa"/>
            <w:vAlign w:val="bottom"/>
            <w:tcBorders>
              <w:top w:val="single" w:sz="8" w:color="EEEEEE"/>
              <w:bottom w:val="single" w:sz="8" w:color="EEEEEE"/>
            </w:tcBorders>
            <w:shd w:val="clear" w:color="auto" w:fill="EEEEEE"/>
          </w:tcPr>
          <w:p>
            <w:pPr>
              <w:spacing w:after="0"/>
              <w:rPr>
                <w:sz w:val="18"/>
                <w:szCs w:val="18"/>
                <w:color w:val="auto"/>
              </w:rPr>
            </w:pPr>
          </w:p>
        </w:tc>
        <w:tc>
          <w:tcPr>
            <w:tcW w:w="168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-4.0%</w:t>
            </w:r>
          </w:p>
        </w:tc>
      </w:tr>
      <w:tr>
        <w:trPr>
          <w:trHeight w:val="20"/>
        </w:trPr>
        <w:tc>
          <w:tcPr>
            <w:tcW w:w="3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We generate revenue through the sale of our products to equipment providers for the CATV, FTTH and internet data center markets. We derive a significant portion of our revenue from our top ten customers, and we anticipate that we will continue to do so for the foreseeable future. We also anticipate that our revenue derived from the FTTH and internet data center markets will increase as a percentage of our revenue as we further penetrate and extend our products into these markets. The following charts provide the revenue contribution from each of the markets we served for the three and six months ended June 30, 2014 and 2013: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4320" w:type="dxa"/>
            <w:vAlign w:val="bottom"/>
            <w:gridSpan w:val="4"/>
          </w:tcPr>
          <w:p>
            <w:pPr>
              <w:ind w:left="680"/>
              <w:spacing w:after="0"/>
              <w:rPr>
                <w:sz w:val="20"/>
                <w:szCs w:val="20"/>
                <w:color w:val="auto"/>
              </w:rPr>
            </w:pPr>
            <w:r>
              <w:rPr>
                <w:rFonts w:ascii="Arial" w:cs="Arial" w:eastAsia="Arial" w:hAnsi="Arial"/>
                <w:sz w:val="18"/>
                <w:szCs w:val="18"/>
                <w:b w:val="1"/>
                <w:bCs w:val="1"/>
                <w:color w:val="auto"/>
              </w:rPr>
              <w:t>Three months ended June 30,</w:t>
            </w:r>
          </w:p>
        </w:tc>
        <w:tc>
          <w:tcPr>
            <w:tcW w:w="376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Six months ended June 30,</w:t>
            </w:r>
          </w:p>
        </w:tc>
      </w:tr>
      <w:tr>
        <w:trPr>
          <w:trHeight w:val="210"/>
        </w:trPr>
        <w:tc>
          <w:tcPr>
            <w:tcW w:w="3340" w:type="dxa"/>
            <w:vAlign w:val="bottom"/>
            <w:tcBorders>
              <w:bottom w:val="single" w:sz="8" w:color="EEEEEE"/>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top w:val="single" w:sz="8" w:color="auto"/>
              <w:bottom w:val="single" w:sz="8" w:color="EEEEEE"/>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680" w:type="dxa"/>
            <w:vAlign w:val="bottom"/>
            <w:tcBorders>
              <w:bottom w:val="single" w:sz="8" w:color="EEEEEE"/>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top w:val="single" w:sz="8" w:color="auto"/>
              <w:bottom w:val="single" w:sz="8" w:color="EEEEEE"/>
            </w:tcBorders>
          </w:tcPr>
          <w:p>
            <w:pPr>
              <w:spacing w:after="0"/>
              <w:rPr>
                <w:sz w:val="18"/>
                <w:szCs w:val="18"/>
                <w:color w:val="auto"/>
              </w:rPr>
            </w:pPr>
          </w:p>
        </w:tc>
        <w:tc>
          <w:tcPr>
            <w:tcW w:w="182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2013</w:t>
            </w:r>
          </w:p>
        </w:tc>
      </w:tr>
      <w:tr>
        <w:trPr>
          <w:trHeight w:val="210"/>
        </w:trPr>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CATV</w:t>
            </w:r>
          </w:p>
        </w:tc>
        <w:tc>
          <w:tcPr>
            <w:tcW w:w="16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32.6%</w:t>
            </w:r>
          </w:p>
        </w:tc>
        <w:tc>
          <w:tcPr>
            <w:tcW w:w="340" w:type="dxa"/>
            <w:vAlign w:val="bottom"/>
            <w:shd w:val="clear" w:color="auto" w:fill="EEEEEE"/>
          </w:tcPr>
          <w:p>
            <w:pPr>
              <w:spacing w:after="0"/>
              <w:rPr>
                <w:sz w:val="18"/>
                <w:szCs w:val="18"/>
                <w:color w:val="auto"/>
              </w:rPr>
            </w:pPr>
          </w:p>
        </w:tc>
        <w:tc>
          <w:tcPr>
            <w:tcW w:w="17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53.7%</w:t>
            </w:r>
          </w:p>
        </w:tc>
        <w:tc>
          <w:tcPr>
            <w:tcW w:w="680" w:type="dxa"/>
            <w:vAlign w:val="bottom"/>
            <w:shd w:val="clear" w:color="auto" w:fill="EEEEEE"/>
          </w:tcPr>
          <w:p>
            <w:pPr>
              <w:spacing w:after="0"/>
              <w:rPr>
                <w:sz w:val="18"/>
                <w:szCs w:val="18"/>
                <w:color w:val="auto"/>
              </w:rPr>
            </w:pPr>
          </w:p>
        </w:tc>
        <w:tc>
          <w:tcPr>
            <w:tcW w:w="17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35.5%</w:t>
            </w:r>
          </w:p>
        </w:tc>
        <w:tc>
          <w:tcPr>
            <w:tcW w:w="240" w:type="dxa"/>
            <w:vAlign w:val="bottom"/>
            <w:shd w:val="clear" w:color="auto" w:fill="EEEEEE"/>
          </w:tcPr>
          <w:p>
            <w:pPr>
              <w:spacing w:after="0"/>
              <w:rPr>
                <w:sz w:val="18"/>
                <w:szCs w:val="18"/>
                <w:color w:val="auto"/>
              </w:rPr>
            </w:pPr>
          </w:p>
        </w:tc>
        <w:tc>
          <w:tcPr>
            <w:tcW w:w="18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55.4%</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Data Center</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54.8%</w:t>
            </w:r>
          </w:p>
        </w:tc>
        <w:tc>
          <w:tcPr>
            <w:tcW w:w="340" w:type="dxa"/>
            <w:vAlign w:val="bottom"/>
          </w:tcPr>
          <w:p>
            <w:pPr>
              <w:spacing w:after="0"/>
              <w:rPr>
                <w:sz w:val="18"/>
                <w:szCs w:val="18"/>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33.9%</w:t>
            </w:r>
          </w:p>
        </w:tc>
        <w:tc>
          <w:tcPr>
            <w:tcW w:w="680" w:type="dxa"/>
            <w:vAlign w:val="bottom"/>
          </w:tcPr>
          <w:p>
            <w:pPr>
              <w:spacing w:after="0"/>
              <w:rPr>
                <w:sz w:val="18"/>
                <w:szCs w:val="18"/>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51.3%</w:t>
            </w:r>
          </w:p>
        </w:tc>
        <w:tc>
          <w:tcPr>
            <w:tcW w:w="240" w:type="dxa"/>
            <w:vAlign w:val="bottom"/>
          </w:tcPr>
          <w:p>
            <w:pPr>
              <w:spacing w:after="0"/>
              <w:rPr>
                <w:sz w:val="18"/>
                <w:szCs w:val="18"/>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30.3%</w:t>
            </w:r>
          </w:p>
        </w:tc>
      </w:tr>
      <w:tr>
        <w:trPr>
          <w:trHeight w:val="216"/>
        </w:trPr>
        <w:tc>
          <w:tcPr>
            <w:tcW w:w="3340" w:type="dxa"/>
            <w:vAlign w:val="bottom"/>
            <w:shd w:val="clear" w:color="auto" w:fill="EEEEEE"/>
          </w:tcPr>
          <w:p>
            <w:pPr>
              <w:spacing w:after="0"/>
              <w:rPr>
                <w:sz w:val="20"/>
                <w:szCs w:val="20"/>
                <w:color w:val="auto"/>
              </w:rPr>
            </w:pPr>
            <w:r>
              <w:rPr>
                <w:rFonts w:ascii="Arial" w:cs="Arial" w:eastAsia="Arial" w:hAnsi="Arial"/>
                <w:sz w:val="18"/>
                <w:szCs w:val="18"/>
                <w:color w:val="auto"/>
              </w:rPr>
              <w:t>FTTH</w:t>
            </w:r>
          </w:p>
        </w:tc>
        <w:tc>
          <w:tcPr>
            <w:tcW w:w="16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9.5%</w:t>
            </w:r>
          </w:p>
        </w:tc>
        <w:tc>
          <w:tcPr>
            <w:tcW w:w="340" w:type="dxa"/>
            <w:vAlign w:val="bottom"/>
            <w:shd w:val="clear" w:color="auto" w:fill="EEEEEE"/>
          </w:tcPr>
          <w:p>
            <w:pPr>
              <w:spacing w:after="0"/>
              <w:rPr>
                <w:sz w:val="18"/>
                <w:szCs w:val="18"/>
                <w:color w:val="auto"/>
              </w:rPr>
            </w:pPr>
          </w:p>
        </w:tc>
        <w:tc>
          <w:tcPr>
            <w:tcW w:w="17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3.6%</w:t>
            </w:r>
          </w:p>
        </w:tc>
        <w:tc>
          <w:tcPr>
            <w:tcW w:w="680" w:type="dxa"/>
            <w:vAlign w:val="bottom"/>
            <w:shd w:val="clear" w:color="auto" w:fill="EEEEEE"/>
          </w:tcPr>
          <w:p>
            <w:pPr>
              <w:spacing w:after="0"/>
              <w:rPr>
                <w:sz w:val="18"/>
                <w:szCs w:val="18"/>
                <w:color w:val="auto"/>
              </w:rPr>
            </w:pPr>
          </w:p>
        </w:tc>
        <w:tc>
          <w:tcPr>
            <w:tcW w:w="170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9.2%</w:t>
            </w:r>
          </w:p>
        </w:tc>
        <w:tc>
          <w:tcPr>
            <w:tcW w:w="240" w:type="dxa"/>
            <w:vAlign w:val="bottom"/>
            <w:shd w:val="clear" w:color="auto" w:fill="EEEEEE"/>
          </w:tcPr>
          <w:p>
            <w:pPr>
              <w:spacing w:after="0"/>
              <w:rPr>
                <w:sz w:val="18"/>
                <w:szCs w:val="18"/>
                <w:color w:val="auto"/>
              </w:rPr>
            </w:pPr>
          </w:p>
        </w:tc>
        <w:tc>
          <w:tcPr>
            <w:tcW w:w="1820" w:type="dxa"/>
            <w:vAlign w:val="bottom"/>
            <w:shd w:val="clear" w:color="auto" w:fill="EEEEEE"/>
          </w:tcPr>
          <w:p>
            <w:pPr>
              <w:jc w:val="right"/>
              <w:ind w:right="10"/>
              <w:spacing w:after="0"/>
              <w:rPr>
                <w:sz w:val="20"/>
                <w:szCs w:val="20"/>
                <w:color w:val="auto"/>
              </w:rPr>
            </w:pPr>
            <w:r>
              <w:rPr>
                <w:rFonts w:ascii="Arial" w:cs="Arial" w:eastAsia="Arial" w:hAnsi="Arial"/>
                <w:sz w:val="18"/>
                <w:szCs w:val="18"/>
                <w:color w:val="auto"/>
              </w:rPr>
              <w:t>5.3%</w:t>
            </w:r>
          </w:p>
        </w:tc>
      </w:tr>
      <w:tr>
        <w:trPr>
          <w:trHeight w:val="216"/>
        </w:trPr>
        <w:tc>
          <w:tcPr>
            <w:tcW w:w="3340" w:type="dxa"/>
            <w:vAlign w:val="bottom"/>
            <w:tcBorders>
              <w:bottom w:val="single" w:sz="8" w:color="EEEEEE"/>
            </w:tcBorders>
          </w:tcPr>
          <w:p>
            <w:pPr>
              <w:spacing w:after="0"/>
              <w:rPr>
                <w:sz w:val="20"/>
                <w:szCs w:val="20"/>
                <w:color w:val="auto"/>
              </w:rPr>
            </w:pPr>
            <w:r>
              <w:rPr>
                <w:rFonts w:ascii="Arial" w:cs="Arial" w:eastAsia="Arial" w:hAnsi="Arial"/>
                <w:sz w:val="18"/>
                <w:szCs w:val="18"/>
                <w:color w:val="auto"/>
              </w:rPr>
              <w:t>Other</w:t>
            </w:r>
          </w:p>
        </w:tc>
        <w:tc>
          <w:tcPr>
            <w:tcW w:w="1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w:t>
            </w:r>
          </w:p>
        </w:tc>
        <w:tc>
          <w:tcPr>
            <w:tcW w:w="340" w:type="dxa"/>
            <w:vAlign w:val="bottom"/>
            <w:tcBorders>
              <w:bottom w:val="single" w:sz="8" w:color="EEEEEE"/>
            </w:tcBorders>
          </w:tcPr>
          <w:p>
            <w:pPr>
              <w:spacing w:after="0"/>
              <w:rPr>
                <w:sz w:val="18"/>
                <w:szCs w:val="18"/>
                <w:color w:val="auto"/>
              </w:rPr>
            </w:pP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w:t>
            </w:r>
          </w:p>
        </w:tc>
        <w:tc>
          <w:tcPr>
            <w:tcW w:w="680" w:type="dxa"/>
            <w:vAlign w:val="bottom"/>
            <w:tcBorders>
              <w:bottom w:val="single" w:sz="8" w:color="EEEEEE"/>
            </w:tcBorders>
          </w:tcPr>
          <w:p>
            <w:pPr>
              <w:spacing w:after="0"/>
              <w:rPr>
                <w:sz w:val="18"/>
                <w:szCs w:val="18"/>
                <w:color w:val="auto"/>
              </w:rPr>
            </w:pPr>
          </w:p>
        </w:tc>
        <w:tc>
          <w:tcPr>
            <w:tcW w:w="1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240" w:type="dxa"/>
            <w:vAlign w:val="bottom"/>
            <w:tcBorders>
              <w:bottom w:val="single" w:sz="8" w:color="EEEEEE"/>
            </w:tcBorders>
          </w:tcPr>
          <w:p>
            <w:pPr>
              <w:spacing w:after="0"/>
              <w:rPr>
                <w:sz w:val="18"/>
                <w:szCs w:val="18"/>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w:t>
            </w:r>
          </w:p>
        </w:tc>
      </w:tr>
      <w:tr>
        <w:trPr>
          <w:trHeight w:val="210"/>
        </w:trPr>
        <w:tc>
          <w:tcPr>
            <w:tcW w:w="3340" w:type="dxa"/>
            <w:vAlign w:val="bottom"/>
            <w:tcBorders>
              <w:bottom w:val="single" w:sz="8" w:color="EEEEEE"/>
            </w:tcBorders>
            <w:shd w:val="clear" w:color="auto" w:fill="EEEEEE"/>
          </w:tcPr>
          <w:p>
            <w:pPr>
              <w:spacing w:after="0"/>
              <w:rPr>
                <w:sz w:val="18"/>
                <w:szCs w:val="18"/>
                <w:color w:val="auto"/>
              </w:rPr>
            </w:pPr>
          </w:p>
        </w:tc>
        <w:tc>
          <w:tcPr>
            <w:tcW w:w="1600" w:type="dxa"/>
            <w:vAlign w:val="bottom"/>
            <w:tcBorders>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100.0%</w:t>
            </w:r>
          </w:p>
        </w:tc>
        <w:tc>
          <w:tcPr>
            <w:tcW w:w="340" w:type="dxa"/>
            <w:vAlign w:val="bottom"/>
            <w:tcBorders>
              <w:bottom w:val="single" w:sz="8" w:color="EEEEEE"/>
            </w:tcBorders>
            <w:shd w:val="clear" w:color="auto" w:fill="EEEEEE"/>
          </w:tcPr>
          <w:p>
            <w:pPr>
              <w:spacing w:after="0"/>
              <w:rPr>
                <w:sz w:val="18"/>
                <w:szCs w:val="18"/>
                <w:color w:val="auto"/>
              </w:rPr>
            </w:pPr>
          </w:p>
        </w:tc>
        <w:tc>
          <w:tcPr>
            <w:tcW w:w="1700" w:type="dxa"/>
            <w:vAlign w:val="bottom"/>
            <w:tcBorders>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100.0%</w:t>
            </w:r>
          </w:p>
        </w:tc>
        <w:tc>
          <w:tcPr>
            <w:tcW w:w="680" w:type="dxa"/>
            <w:vAlign w:val="bottom"/>
            <w:tcBorders>
              <w:bottom w:val="single" w:sz="8" w:color="EEEEEE"/>
            </w:tcBorders>
            <w:shd w:val="clear" w:color="auto" w:fill="EEEEEE"/>
          </w:tcPr>
          <w:p>
            <w:pPr>
              <w:spacing w:after="0"/>
              <w:rPr>
                <w:sz w:val="18"/>
                <w:szCs w:val="18"/>
                <w:color w:val="auto"/>
              </w:rPr>
            </w:pPr>
          </w:p>
        </w:tc>
        <w:tc>
          <w:tcPr>
            <w:tcW w:w="1700" w:type="dxa"/>
            <w:vAlign w:val="bottom"/>
            <w:tcBorders>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EEEEEE"/>
            </w:tcBorders>
            <w:shd w:val="clear" w:color="auto" w:fill="EEEEEE"/>
          </w:tcPr>
          <w:p>
            <w:pPr>
              <w:spacing w:after="0"/>
              <w:rPr>
                <w:sz w:val="18"/>
                <w:szCs w:val="18"/>
                <w:color w:val="auto"/>
              </w:rPr>
            </w:pPr>
          </w:p>
        </w:tc>
        <w:tc>
          <w:tcPr>
            <w:tcW w:w="1820" w:type="dxa"/>
            <w:vAlign w:val="bottom"/>
            <w:tcBorders>
              <w:bottom w:val="single" w:sz="8" w:color="auto"/>
            </w:tcBorders>
            <w:shd w:val="clear" w:color="auto" w:fill="EEEEEE"/>
          </w:tcPr>
          <w:p>
            <w:pPr>
              <w:jc w:val="right"/>
              <w:ind w:right="10"/>
              <w:spacing w:after="0"/>
              <w:rPr>
                <w:sz w:val="20"/>
                <w:szCs w:val="20"/>
                <w:color w:val="auto"/>
              </w:rPr>
            </w:pPr>
            <w:r>
              <w:rPr>
                <w:rFonts w:ascii="Arial" w:cs="Arial" w:eastAsia="Arial" w:hAnsi="Arial"/>
                <w:sz w:val="18"/>
                <w:szCs w:val="18"/>
                <w:color w:val="auto"/>
              </w:rPr>
              <w:t>100.0%</w:t>
            </w:r>
          </w:p>
        </w:tc>
      </w:tr>
      <w:tr>
        <w:trPr>
          <w:trHeight w:val="20"/>
        </w:trPr>
        <w:tc>
          <w:tcPr>
            <w:tcW w:w="33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413"/>
        </w:trPr>
        <w:tc>
          <w:tcPr>
            <w:tcW w:w="3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1090"/>
              <w:spacing w:after="0"/>
              <w:rPr>
                <w:sz w:val="20"/>
                <w:szCs w:val="20"/>
                <w:color w:val="auto"/>
              </w:rPr>
            </w:pPr>
            <w:r>
              <w:rPr>
                <w:rFonts w:ascii="Arial" w:cs="Arial" w:eastAsia="Arial" w:hAnsi="Arial"/>
                <w:sz w:val="18"/>
                <w:szCs w:val="18"/>
                <w:color w:val="auto"/>
              </w:rPr>
              <w:t>15</w:t>
            </w:r>
          </w:p>
        </w:tc>
        <w:tc>
          <w:tcPr>
            <w:tcW w:w="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81"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80" w:type="dxa"/>
            <w:vAlign w:val="bottom"/>
            <w:gridSpan w:val="5"/>
          </w:tcPr>
          <w:p>
            <w:pPr>
              <w:ind w:left="180"/>
              <w:spacing w:after="0"/>
              <w:rPr>
                <w:sz w:val="20"/>
                <w:szCs w:val="20"/>
                <w:color w:val="auto"/>
              </w:rPr>
            </w:pPr>
            <w:r>
              <w:rPr>
                <w:rFonts w:ascii="Arial" w:cs="Arial" w:eastAsia="Arial" w:hAnsi="Arial"/>
                <w:sz w:val="18"/>
                <w:szCs w:val="18"/>
                <w:b w:val="1"/>
                <w:bCs w:val="1"/>
                <w:color w:val="auto"/>
              </w:rPr>
              <w:t>Six months ended</w:t>
            </w: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6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8"/>
                <w:szCs w:val="18"/>
                <w:b w:val="1"/>
                <w:bCs w:val="1"/>
                <w:color w:val="auto"/>
              </w:rPr>
              <w:t>June 30,</w:t>
            </w:r>
          </w:p>
        </w:tc>
        <w:tc>
          <w:tcPr>
            <w:tcW w:w="7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700"/>
              <w:spacing w:after="0"/>
              <w:rPr>
                <w:sz w:val="20"/>
                <w:szCs w:val="20"/>
                <w:color w:val="auto"/>
              </w:rPr>
            </w:pPr>
            <w:r>
              <w:rPr>
                <w:rFonts w:ascii="Arial" w:cs="Arial" w:eastAsia="Arial" w:hAnsi="Arial"/>
                <w:sz w:val="18"/>
                <w:szCs w:val="18"/>
                <w:b w:val="1"/>
                <w:bCs w:val="1"/>
                <w:color w:val="auto"/>
              </w:rPr>
              <w:t>Change</w:t>
            </w:r>
          </w:p>
        </w:tc>
        <w:tc>
          <w:tcPr>
            <w:tcW w:w="6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tcBorders>
              <w:bottom w:val="single" w:sz="8" w:color="auto"/>
            </w:tcBorders>
            <w:gridSpan w:val="3"/>
          </w:tcPr>
          <w:p>
            <w:pPr>
              <w:ind w:left="780"/>
              <w:spacing w:after="0"/>
              <w:rPr>
                <w:sz w:val="20"/>
                <w:szCs w:val="20"/>
                <w:color w:val="auto"/>
              </w:rPr>
            </w:pPr>
            <w:r>
              <w:rPr>
                <w:rFonts w:ascii="Arial" w:cs="Arial" w:eastAsia="Arial" w:hAnsi="Arial"/>
                <w:sz w:val="18"/>
                <w:szCs w:val="18"/>
                <w:b w:val="1"/>
                <w:bCs w:val="1"/>
                <w:color w:val="auto"/>
                <w:w w:val="99"/>
              </w:rPr>
              <w:t>Change</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b w:val="1"/>
                <w:bCs w:val="1"/>
                <w:color w:val="auto"/>
              </w:rPr>
              <w:t>2014</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2013</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3"/>
          </w:tcPr>
          <w:p>
            <w:pPr>
              <w:ind w:left="40"/>
              <w:spacing w:after="0"/>
              <w:rPr>
                <w:sz w:val="20"/>
                <w:szCs w:val="20"/>
                <w:color w:val="auto"/>
              </w:rPr>
            </w:pPr>
            <w:r>
              <w:rPr>
                <w:rFonts w:ascii="Arial" w:cs="Arial" w:eastAsia="Arial" w:hAnsi="Arial"/>
                <w:sz w:val="18"/>
                <w:szCs w:val="18"/>
                <w:b w:val="1"/>
                <w:bCs w:val="1"/>
                <w:color w:val="auto"/>
              </w:rPr>
              <w:t>Amount</w:t>
            </w:r>
          </w:p>
        </w:tc>
        <w:tc>
          <w:tcPr>
            <w:tcW w:w="68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2013</w:t>
            </w:r>
          </w:p>
        </w:tc>
        <w:tc>
          <w:tcPr>
            <w:tcW w:w="32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68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0"/>
        </w:trPr>
        <w:tc>
          <w:tcPr>
            <w:tcW w:w="1620" w:type="dxa"/>
            <w:vAlign w:val="bottom"/>
            <w:tcBorders>
              <w:top w:val="single" w:sz="8" w:color="EEEEEE"/>
            </w:tcBorders>
            <w:shd w:val="clear" w:color="auto" w:fill="EEEEEE"/>
          </w:tcPr>
          <w:p>
            <w:pPr>
              <w:spacing w:after="0"/>
              <w:rPr>
                <w:sz w:val="20"/>
                <w:szCs w:val="20"/>
                <w:color w:val="auto"/>
              </w:rPr>
            </w:pPr>
            <w:r>
              <w:rPr>
                <w:rFonts w:ascii="Arial" w:cs="Arial" w:eastAsia="Arial" w:hAnsi="Arial"/>
                <w:sz w:val="18"/>
                <w:szCs w:val="18"/>
                <w:color w:val="auto"/>
              </w:rPr>
              <w:t>CATV</w:t>
            </w:r>
          </w:p>
        </w:tc>
        <w:tc>
          <w:tcPr>
            <w:tcW w:w="180" w:type="dxa"/>
            <w:vAlign w:val="bottom"/>
            <w:tcBorders>
              <w:top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10,646</w:t>
            </w:r>
          </w:p>
        </w:tc>
        <w:tc>
          <w:tcPr>
            <w:tcW w:w="36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10,514</w:t>
            </w:r>
          </w:p>
        </w:tc>
        <w:tc>
          <w:tcPr>
            <w:tcW w:w="3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132</w:t>
            </w:r>
          </w:p>
        </w:tc>
        <w:tc>
          <w:tcPr>
            <w:tcW w:w="34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6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w:t>
            </w:r>
          </w:p>
        </w:tc>
        <w:tc>
          <w:tcPr>
            <w:tcW w:w="320" w:type="dxa"/>
            <w:vAlign w:val="bottom"/>
            <w:tcBorders>
              <w:top w:val="single" w:sz="8" w:color="EEEEEE"/>
            </w:tcBorders>
            <w:shd w:val="clear" w:color="auto" w:fill="EEEEEE"/>
          </w:tcPr>
          <w:p>
            <w:pPr>
              <w:spacing w:after="0"/>
              <w:rPr>
                <w:sz w:val="18"/>
                <w:szCs w:val="18"/>
                <w:color w:val="auto"/>
              </w:rPr>
            </w:pPr>
          </w:p>
        </w:tc>
        <w:tc>
          <w:tcPr>
            <w:tcW w:w="1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20,394</w:t>
            </w:r>
          </w:p>
        </w:tc>
        <w:tc>
          <w:tcPr>
            <w:tcW w:w="3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18,773</w:t>
            </w:r>
          </w:p>
        </w:tc>
        <w:tc>
          <w:tcPr>
            <w:tcW w:w="32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1,621</w:t>
            </w:r>
          </w:p>
        </w:tc>
        <w:tc>
          <w:tcPr>
            <w:tcW w:w="3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68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Data Center</w:t>
            </w: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17,899</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11,259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169.6%</w:t>
            </w:r>
          </w:p>
        </w:tc>
        <w:tc>
          <w:tcPr>
            <w:tcW w:w="1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29,474</w:t>
            </w:r>
          </w:p>
        </w:tc>
        <w:tc>
          <w:tcPr>
            <w:tcW w:w="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10,260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19,214</w:t>
            </w:r>
          </w:p>
        </w:tc>
        <w:tc>
          <w:tcPr>
            <w:tcW w:w="2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187.3%</w:t>
            </w:r>
          </w:p>
        </w:tc>
      </w:tr>
      <w:tr>
        <w:trPr>
          <w:trHeight w:val="216"/>
        </w:trPr>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rPr>
              <w:t>FTTH</w:t>
            </w:r>
          </w:p>
        </w:tc>
        <w:tc>
          <w:tcPr>
            <w:tcW w:w="180" w:type="dxa"/>
            <w:vAlign w:val="bottom"/>
            <w:shd w:val="clear" w:color="auto" w:fill="EEEEEE"/>
          </w:tcPr>
          <w:p>
            <w:pPr>
              <w:spacing w:after="0"/>
              <w:rPr>
                <w:sz w:val="18"/>
                <w:szCs w:val="18"/>
                <w:color w:val="auto"/>
              </w:rPr>
            </w:pP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3,096</w:t>
            </w:r>
          </w:p>
        </w:tc>
        <w:tc>
          <w:tcPr>
            <w:tcW w:w="3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705</w:t>
            </w:r>
          </w:p>
        </w:tc>
        <w:tc>
          <w:tcPr>
            <w:tcW w:w="12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2,391</w:t>
            </w: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339.1%</w:t>
            </w:r>
          </w:p>
        </w:tc>
        <w:tc>
          <w:tcPr>
            <w:tcW w:w="18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5,312</w:t>
            </w: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1,792</w:t>
            </w:r>
          </w:p>
        </w:tc>
        <w:tc>
          <w:tcPr>
            <w:tcW w:w="122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3,520</w:t>
            </w:r>
          </w:p>
        </w:tc>
        <w:tc>
          <w:tcPr>
            <w:tcW w:w="2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196.4%</w:t>
            </w: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1,009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1,738</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(729)</w:t>
            </w:r>
          </w:p>
        </w:tc>
        <w:tc>
          <w:tcPr>
            <w:tcW w:w="260" w:type="dxa"/>
            <w:vAlign w:val="bottom"/>
          </w:tcPr>
          <w:p>
            <w:pPr>
              <w:spacing w:after="0"/>
              <w:rPr>
                <w:sz w:val="19"/>
                <w:szCs w:val="19"/>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(41.9%)</w:t>
            </w:r>
          </w:p>
        </w:tc>
        <w:tc>
          <w:tcPr>
            <w:tcW w:w="180" w:type="dxa"/>
            <w:vAlign w:val="bottom"/>
          </w:tcPr>
          <w:p>
            <w:pPr>
              <w:spacing w:after="0"/>
              <w:rPr>
                <w:sz w:val="19"/>
                <w:szCs w:val="19"/>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2,329</w:t>
            </w:r>
          </w:p>
        </w:tc>
        <w:tc>
          <w:tcPr>
            <w:tcW w:w="22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3,089</w:t>
            </w: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(760)</w:t>
            </w:r>
          </w:p>
        </w:tc>
        <w:tc>
          <w:tcPr>
            <w:tcW w:w="24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r>
      <w:tr>
        <w:trPr>
          <w:trHeight w:val="223"/>
        </w:trPr>
        <w:tc>
          <w:tcPr>
            <w:tcW w:w="1620" w:type="dxa"/>
            <w:vAlign w:val="bottom"/>
            <w:tcBorders>
              <w:top w:val="single" w:sz="8" w:color="EEEEEE"/>
              <w:bottom w:val="single" w:sz="8" w:color="EEEEEE"/>
            </w:tcBorders>
            <w:shd w:val="clear" w:color="auto" w:fill="EEEEEE"/>
          </w:tcPr>
          <w:p>
            <w:pPr>
              <w:ind w:left="34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shd w:val="clear" w:color="auto" w:fill="EEEEEE"/>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32,650</w:t>
            </w:r>
          </w:p>
        </w:tc>
        <w:tc>
          <w:tcPr>
            <w:tcW w:w="36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19,597</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13,053</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auto"/>
              <w:bottom w:val="single" w:sz="8" w:color="auto"/>
            </w:tcBorders>
            <w:shd w:val="clear" w:color="auto" w:fill="EEEEEE"/>
          </w:tcPr>
          <w:p>
            <w:pPr>
              <w:spacing w:after="0"/>
              <w:rPr>
                <w:sz w:val="19"/>
                <w:szCs w:val="19"/>
                <w:color w:val="auto"/>
              </w:rPr>
            </w:pPr>
          </w:p>
        </w:tc>
        <w:tc>
          <w:tcPr>
            <w:tcW w:w="6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66.6%</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57,509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33,914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9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23,595</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auto"/>
              <w:bottom w:val="single" w:sz="8" w:color="auto"/>
            </w:tcBorders>
            <w:shd w:val="clear" w:color="auto" w:fill="EEEEEE"/>
          </w:tcPr>
          <w:p>
            <w:pPr>
              <w:spacing w:after="0"/>
              <w:rPr>
                <w:sz w:val="19"/>
                <w:szCs w:val="19"/>
                <w:color w:val="auto"/>
              </w:rPr>
            </w:pPr>
          </w:p>
        </w:tc>
        <w:tc>
          <w:tcPr>
            <w:tcW w:w="6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Revenues in the internet data center market were driven primarily by increasing demand for our 10 gigabits per second transceivers as our customers continued to upgrade their technology infrastructure. Revenues in the FTTH and other markets were driven primarily by increasing demand for our WDM-PON products to existing customers in the FTTH market. The increase in revenues in the CATV market for the year was a result of market wide weakness in 2013, particularly in China, as well as delays in orders as a consequence of mergers among several of our CATV customers.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three and six months ended June 30, 2014, our top ten customers represented 88.0% and 85.7% of our revenue,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sold and gross margin</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gridSpan w:val="6"/>
          </w:tcPr>
          <w:p>
            <w:pPr>
              <w:jc w:val="right"/>
              <w:ind w:right="310"/>
              <w:spacing w:after="0"/>
              <w:rPr>
                <w:sz w:val="20"/>
                <w:szCs w:val="20"/>
                <w:color w:val="auto"/>
              </w:rPr>
            </w:pPr>
            <w:r>
              <w:rPr>
                <w:rFonts w:ascii="Arial" w:cs="Arial" w:eastAsia="Arial" w:hAnsi="Arial"/>
                <w:sz w:val="18"/>
                <w:szCs w:val="18"/>
                <w:b w:val="1"/>
                <w:bCs w:val="1"/>
                <w:color w:val="auto"/>
              </w:rPr>
              <w:t>Three months ended 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Amount</w:t>
            </w:r>
          </w:p>
        </w:tc>
        <w:tc>
          <w:tcPr>
            <w:tcW w:w="9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7"/>
              </w:rPr>
              <w:t>Revenue</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Amount</w:t>
            </w:r>
          </w:p>
        </w:tc>
        <w:tc>
          <w:tcPr>
            <w:tcW w:w="10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87"/>
              </w:rPr>
              <w:t>Revenue</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1"/>
              </w:rPr>
              <w:t>Amount</w:t>
            </w:r>
          </w:p>
        </w:tc>
        <w:tc>
          <w:tcPr>
            <w:tcW w:w="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88"/>
              </w:rPr>
              <w:t>(in thousands, except percentages)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rPr>
              <w:t>21,462</w:t>
            </w:r>
          </w:p>
        </w:tc>
        <w:tc>
          <w:tcPr>
            <w:tcW w:w="9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65.7%</w:t>
            </w:r>
          </w:p>
        </w:tc>
        <w:tc>
          <w:tcPr>
            <w:tcW w:w="4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ind w:right="310"/>
              <w:spacing w:after="0"/>
              <w:rPr>
                <w:sz w:val="20"/>
                <w:szCs w:val="20"/>
                <w:color w:val="auto"/>
              </w:rPr>
            </w:pPr>
            <w:r>
              <w:rPr>
                <w:rFonts w:ascii="Arial" w:cs="Arial" w:eastAsia="Arial" w:hAnsi="Arial"/>
                <w:sz w:val="18"/>
                <w:szCs w:val="18"/>
                <w:color w:val="auto"/>
              </w:rPr>
              <w:t>14,150</w:t>
            </w: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72.2%</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ind w:right="430"/>
              <w:spacing w:after="0"/>
              <w:rPr>
                <w:sz w:val="20"/>
                <w:szCs w:val="20"/>
                <w:color w:val="auto"/>
              </w:rPr>
            </w:pPr>
            <w:r>
              <w:rPr>
                <w:rFonts w:ascii="Arial" w:cs="Arial" w:eastAsia="Arial" w:hAnsi="Arial"/>
                <w:sz w:val="18"/>
                <w:szCs w:val="18"/>
                <w:color w:val="auto"/>
              </w:rPr>
              <w:t>7,312</w:t>
            </w:r>
          </w:p>
        </w:tc>
        <w:tc>
          <w:tcPr>
            <w:tcW w:w="8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34.3%</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right"/>
              <w:ind w:right="410"/>
              <w:spacing w:after="0"/>
              <w:rPr>
                <w:sz w:val="20"/>
                <w:szCs w:val="20"/>
                <w:color w:val="auto"/>
              </w:rPr>
            </w:pPr>
            <w:r>
              <w:rPr>
                <w:rFonts w:ascii="Arial" w:cs="Arial" w:eastAsia="Arial" w:hAnsi="Arial"/>
                <w:sz w:val="18"/>
                <w:szCs w:val="18"/>
                <w:b w:val="1"/>
                <w:bCs w:val="1"/>
                <w:color w:val="auto"/>
                <w:w w:val="88"/>
              </w:rPr>
              <w:t>Six months ended June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Change</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Amount</w:t>
            </w:r>
          </w:p>
        </w:tc>
        <w:tc>
          <w:tcPr>
            <w:tcW w:w="9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8"/>
                <w:szCs w:val="18"/>
                <w:b w:val="1"/>
                <w:bCs w:val="1"/>
                <w:color w:val="auto"/>
                <w:w w:val="87"/>
              </w:rPr>
              <w:t>Revenue</w:t>
            </w: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Amount</w:t>
            </w:r>
          </w:p>
        </w:tc>
        <w:tc>
          <w:tcPr>
            <w:tcW w:w="108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8"/>
                <w:szCs w:val="18"/>
                <w:b w:val="1"/>
                <w:bCs w:val="1"/>
                <w:color w:val="auto"/>
                <w:w w:val="87"/>
              </w:rPr>
              <w:t>Revenue</w:t>
            </w: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1"/>
              </w:rPr>
              <w:t>Amount</w:t>
            </w:r>
          </w:p>
        </w:tc>
        <w:tc>
          <w:tcPr>
            <w:tcW w:w="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20" w:type="dxa"/>
            <w:vAlign w:val="bottom"/>
            <w:gridSpan w:val="6"/>
          </w:tcPr>
          <w:p>
            <w:pPr>
              <w:ind w:left="20"/>
              <w:spacing w:after="0"/>
              <w:rPr>
                <w:sz w:val="20"/>
                <w:szCs w:val="20"/>
                <w:color w:val="auto"/>
              </w:rPr>
            </w:pPr>
            <w:r>
              <w:rPr>
                <w:rFonts w:ascii="Arial" w:cs="Arial" w:eastAsia="Arial" w:hAnsi="Arial"/>
                <w:sz w:val="18"/>
                <w:szCs w:val="18"/>
                <w:b w:val="1"/>
                <w:bCs w:val="1"/>
                <w:color w:val="auto"/>
                <w:w w:val="88"/>
              </w:rPr>
              <w:t>(in thousands, except percentages)</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44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94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EEEEEE"/>
          </w:tcPr>
          <w:p>
            <w:pPr>
              <w:spacing w:after="0"/>
              <w:rPr>
                <w:sz w:val="20"/>
                <w:szCs w:val="20"/>
                <w:color w:val="auto"/>
              </w:rPr>
            </w:pPr>
            <w:r>
              <w:rPr>
                <w:rFonts w:ascii="Arial" w:cs="Arial" w:eastAsia="Arial" w:hAnsi="Arial"/>
                <w:sz w:val="18"/>
                <w:szCs w:val="18"/>
                <w:color w:val="auto"/>
              </w:rPr>
              <w:t>Cost of goods sold</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EEEEEE"/>
          </w:tcPr>
          <w:p>
            <w:pPr>
              <w:jc w:val="right"/>
              <w:ind w:right="290"/>
              <w:spacing w:after="0"/>
              <w:rPr>
                <w:sz w:val="20"/>
                <w:szCs w:val="20"/>
                <w:color w:val="auto"/>
              </w:rPr>
            </w:pPr>
            <w:r>
              <w:rPr>
                <w:rFonts w:ascii="Arial" w:cs="Arial" w:eastAsia="Arial" w:hAnsi="Arial"/>
                <w:sz w:val="18"/>
                <w:szCs w:val="18"/>
                <w:color w:val="auto"/>
              </w:rPr>
              <w:t>37,668</w:t>
            </w:r>
          </w:p>
        </w:tc>
        <w:tc>
          <w:tcPr>
            <w:tcW w:w="9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65.5%</w:t>
            </w:r>
          </w:p>
        </w:tc>
        <w:tc>
          <w:tcPr>
            <w:tcW w:w="4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EEEEEE"/>
          </w:tcPr>
          <w:p>
            <w:pPr>
              <w:jc w:val="right"/>
              <w:ind w:right="310"/>
              <w:spacing w:after="0"/>
              <w:rPr>
                <w:sz w:val="20"/>
                <w:szCs w:val="20"/>
                <w:color w:val="auto"/>
              </w:rPr>
            </w:pPr>
            <w:r>
              <w:rPr>
                <w:rFonts w:ascii="Arial" w:cs="Arial" w:eastAsia="Arial" w:hAnsi="Arial"/>
                <w:sz w:val="18"/>
                <w:szCs w:val="18"/>
                <w:color w:val="auto"/>
              </w:rPr>
              <w:t>23,882</w:t>
            </w:r>
          </w:p>
        </w:tc>
        <w:tc>
          <w:tcPr>
            <w:tcW w:w="9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70.4%</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ind w:right="430"/>
              <w:spacing w:after="0"/>
              <w:rPr>
                <w:sz w:val="20"/>
                <w:szCs w:val="20"/>
                <w:color w:val="auto"/>
              </w:rPr>
            </w:pPr>
            <w:r>
              <w:rPr>
                <w:rFonts w:ascii="Arial" w:cs="Arial" w:eastAsia="Arial" w:hAnsi="Arial"/>
                <w:sz w:val="18"/>
                <w:szCs w:val="18"/>
                <w:color w:val="auto"/>
              </w:rPr>
              <w:t>13,786</w:t>
            </w:r>
          </w:p>
        </w:tc>
        <w:tc>
          <w:tcPr>
            <w:tcW w:w="8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34.5%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Cost of goods sold increased by $7.3 million, or 51.7%, from the three months ended June 30, 2014 to the three months ended June 30, 2013, primarily due to a $13.1 million or 66.6% increase in sales over the prior year.</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Cost of goods sold increased by $13.8 million, or 57.7%, from the six months ended June 30, 2014 to the six months ended June 30, 2013, primarily due to a $23.6 million or 69.6% increase in sales over the prior year.</w:t>
      </w:r>
    </w:p>
    <w:p>
      <w:pPr>
        <w:spacing w:after="0" w:line="170"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Within our markets, we sell similar products in different geographic regions at different prices, and therefore realize different gross margins among these similar products. The increase in gross margin from 27.8% to 34.3% for the three months ended June 30, 2014 and 29.6% to 34.5% for the six months ended June 30, 2014, was the result of favorable vertical integration effect in our data center products.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Sales and marketing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operating expenses</w:t>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Research and development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8"/>
                <w:szCs w:val="18"/>
                <w:b w:val="1"/>
                <w:bCs w:val="1"/>
                <w:color w:val="auto"/>
                <w:w w:val="99"/>
              </w:rPr>
              <w:t>Three months ended June 30,</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23"/>
        </w:trPr>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2013</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Change</w:t>
            </w:r>
          </w:p>
        </w:tc>
        <w:tc>
          <w:tcPr>
            <w:tcW w:w="720" w:type="dxa"/>
            <w:vAlign w:val="bottom"/>
            <w:tcBorders>
              <w:bottom w:val="single" w:sz="8" w:color="auto"/>
            </w:tcBorders>
          </w:tcPr>
          <w:p>
            <w:pPr>
              <w:spacing w:after="0"/>
              <w:rPr>
                <w:sz w:val="19"/>
                <w:szCs w:val="19"/>
                <w:color w:val="auto"/>
              </w:rPr>
            </w:pPr>
          </w:p>
        </w:tc>
      </w:tr>
      <w:tr>
        <w:trPr>
          <w:trHeight w:val="191"/>
        </w:trPr>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4"/>
        </w:trPr>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Amount</w:t>
            </w:r>
          </w:p>
        </w:tc>
        <w:tc>
          <w:tcPr>
            <w:tcW w:w="3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revenue</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Amount</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revenue</w:t>
            </w:r>
          </w:p>
        </w:tc>
        <w:tc>
          <w:tcPr>
            <w:tcW w:w="2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r>
      <w:tr>
        <w:trPr>
          <w:trHeight w:val="411"/>
        </w:trPr>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20" w:type="dxa"/>
            <w:vAlign w:val="bottom"/>
            <w:gridSpan w:val="8"/>
          </w:tcPr>
          <w:p>
            <w:pPr>
              <w:ind w:left="20"/>
              <w:spacing w:after="0"/>
              <w:rPr>
                <w:sz w:val="20"/>
                <w:szCs w:val="20"/>
                <w:color w:val="auto"/>
              </w:rPr>
            </w:pPr>
            <w:r>
              <w:rPr>
                <w:rFonts w:ascii="Arial" w:cs="Arial" w:eastAsia="Arial" w:hAnsi="Arial"/>
                <w:sz w:val="18"/>
                <w:szCs w:val="18"/>
                <w:b w:val="1"/>
                <w:bCs w:val="1"/>
                <w:color w:val="auto"/>
                <w:w w:val="88"/>
              </w:rPr>
              <w:t>(in thousands, except percentages)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70"/>
              <w:spacing w:after="0"/>
              <w:rPr>
                <w:sz w:val="20"/>
                <w:szCs w:val="20"/>
                <w:color w:val="auto"/>
              </w:rPr>
            </w:pPr>
            <w:r>
              <w:rPr>
                <w:rFonts w:ascii="Arial" w:cs="Arial" w:eastAsia="Arial" w:hAnsi="Arial"/>
                <w:sz w:val="18"/>
                <w:szCs w:val="18"/>
                <w:color w:val="auto"/>
              </w:rPr>
              <w:t>4,009</w:t>
            </w:r>
          </w:p>
        </w:tc>
        <w:tc>
          <w:tcPr>
            <w:tcW w:w="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1,898</w:t>
            </w: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2,111</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111.2%</w:t>
            </w:r>
          </w:p>
        </w:tc>
      </w:tr>
      <w:tr>
        <w:trPr>
          <w:trHeight w:val="230"/>
        </w:trPr>
        <w:tc>
          <w:tcPr>
            <w:tcW w:w="120" w:type="dxa"/>
            <w:vAlign w:val="bottom"/>
          </w:tcPr>
          <w:p>
            <w:pPr>
              <w:spacing w:after="0"/>
              <w:rPr>
                <w:sz w:val="19"/>
                <w:szCs w:val="19"/>
                <w:color w:val="auto"/>
              </w:rPr>
            </w:pPr>
          </w:p>
        </w:tc>
        <w:tc>
          <w:tcPr>
            <w:tcW w:w="1180" w:type="dxa"/>
            <w:vAlign w:val="bottom"/>
            <w:gridSpan w:val="2"/>
          </w:tcPr>
          <w:p>
            <w:pPr>
              <w:jc w:val="right"/>
              <w:ind w:right="270"/>
              <w:spacing w:after="0"/>
              <w:rPr>
                <w:sz w:val="20"/>
                <w:szCs w:val="20"/>
                <w:color w:val="auto"/>
              </w:rPr>
            </w:pPr>
            <w:r>
              <w:rPr>
                <w:rFonts w:ascii="Arial" w:cs="Arial" w:eastAsia="Arial" w:hAnsi="Arial"/>
                <w:sz w:val="18"/>
                <w:szCs w:val="18"/>
                <w:color w:val="auto"/>
              </w:rPr>
              <w:t>1,497</w:t>
            </w:r>
          </w:p>
        </w:tc>
        <w:tc>
          <w:tcPr>
            <w:tcW w:w="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1,053</w:t>
            </w:r>
          </w:p>
        </w:tc>
        <w:tc>
          <w:tcPr>
            <w:tcW w:w="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444</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30"/>
        </w:trPr>
        <w:tc>
          <w:tcPr>
            <w:tcW w:w="120" w:type="dxa"/>
            <w:vAlign w:val="bottom"/>
          </w:tcPr>
          <w:p>
            <w:pPr>
              <w:spacing w:after="0"/>
              <w:rPr>
                <w:sz w:val="20"/>
                <w:szCs w:val="20"/>
                <w:color w:val="auto"/>
              </w:rPr>
            </w:pPr>
          </w:p>
        </w:tc>
        <w:tc>
          <w:tcPr>
            <w:tcW w:w="1180" w:type="dxa"/>
            <w:vAlign w:val="bottom"/>
            <w:gridSpan w:val="2"/>
          </w:tcPr>
          <w:p>
            <w:pPr>
              <w:jc w:val="right"/>
              <w:ind w:right="270"/>
              <w:spacing w:after="0"/>
              <w:rPr>
                <w:sz w:val="20"/>
                <w:szCs w:val="20"/>
                <w:color w:val="auto"/>
              </w:rPr>
            </w:pPr>
            <w:r>
              <w:rPr>
                <w:rFonts w:ascii="Arial" w:cs="Arial" w:eastAsia="Arial" w:hAnsi="Arial"/>
                <w:sz w:val="18"/>
                <w:szCs w:val="18"/>
                <w:color w:val="auto"/>
              </w:rPr>
              <w:t>3,952</w:t>
            </w:r>
          </w:p>
        </w:tc>
        <w:tc>
          <w:tcPr>
            <w:tcW w:w="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2,447</w:t>
            </w:r>
          </w:p>
        </w:tc>
        <w:tc>
          <w:tcPr>
            <w:tcW w:w="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1,505</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61.5%</w:t>
            </w: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9,458</w:t>
            </w:r>
          </w:p>
        </w:tc>
        <w:tc>
          <w:tcPr>
            <w:tcW w:w="3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5,398</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4,060</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447"/>
        </w:trPr>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8"/>
                <w:szCs w:val="18"/>
                <w:b w:val="1"/>
                <w:bCs w:val="1"/>
                <w:color w:val="auto"/>
                <w:w w:val="88"/>
              </w:rPr>
              <w:t>Six months ended June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0"/>
        </w:trPr>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2013</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Change</w:t>
            </w:r>
          </w:p>
        </w:tc>
        <w:tc>
          <w:tcPr>
            <w:tcW w:w="720" w:type="dxa"/>
            <w:vAlign w:val="bottom"/>
            <w:tcBorders>
              <w:bottom w:val="single" w:sz="8" w:color="auto"/>
            </w:tcBorders>
          </w:tcPr>
          <w:p>
            <w:pPr>
              <w:spacing w:after="0"/>
              <w:rPr>
                <w:sz w:val="19"/>
                <w:szCs w:val="19"/>
                <w:color w:val="auto"/>
              </w:rPr>
            </w:pPr>
          </w:p>
        </w:tc>
      </w:tr>
      <w:tr>
        <w:trPr>
          <w:trHeight w:val="191"/>
        </w:trPr>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4"/>
        </w:trPr>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Amount</w:t>
            </w:r>
          </w:p>
        </w:tc>
        <w:tc>
          <w:tcPr>
            <w:tcW w:w="3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revenue</w:t>
            </w: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Amount</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revenue</w:t>
            </w:r>
          </w:p>
        </w:tc>
        <w:tc>
          <w:tcPr>
            <w:tcW w:w="2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r>
      <w:tr>
        <w:trPr>
          <w:trHeight w:val="411"/>
        </w:trPr>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20" w:type="dxa"/>
            <w:vAlign w:val="bottom"/>
            <w:gridSpan w:val="8"/>
          </w:tcPr>
          <w:p>
            <w:pPr>
              <w:ind w:left="20"/>
              <w:spacing w:after="0"/>
              <w:rPr>
                <w:sz w:val="20"/>
                <w:szCs w:val="20"/>
                <w:color w:val="auto"/>
              </w:rPr>
            </w:pPr>
            <w:r>
              <w:rPr>
                <w:rFonts w:ascii="Arial" w:cs="Arial" w:eastAsia="Arial" w:hAnsi="Arial"/>
                <w:sz w:val="18"/>
                <w:szCs w:val="18"/>
                <w:b w:val="1"/>
                <w:bCs w:val="1"/>
                <w:color w:val="auto"/>
                <w:w w:val="88"/>
              </w:rPr>
              <w:t>(in thousands, except percentages)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70"/>
              <w:spacing w:after="0"/>
              <w:rPr>
                <w:sz w:val="20"/>
                <w:szCs w:val="20"/>
                <w:color w:val="auto"/>
              </w:rPr>
            </w:pPr>
            <w:r>
              <w:rPr>
                <w:rFonts w:ascii="Arial" w:cs="Arial" w:eastAsia="Arial" w:hAnsi="Arial"/>
                <w:sz w:val="18"/>
                <w:szCs w:val="18"/>
                <w:color w:val="auto"/>
              </w:rPr>
              <w:t>7,555</w:t>
            </w:r>
          </w:p>
        </w:tc>
        <w:tc>
          <w:tcPr>
            <w:tcW w:w="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3,902</w:t>
            </w: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3,653</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93.6%</w:t>
            </w:r>
          </w:p>
        </w:tc>
      </w:tr>
      <w:tr>
        <w:trPr>
          <w:trHeight w:val="230"/>
        </w:trPr>
        <w:tc>
          <w:tcPr>
            <w:tcW w:w="120" w:type="dxa"/>
            <w:vAlign w:val="bottom"/>
          </w:tcPr>
          <w:p>
            <w:pPr>
              <w:spacing w:after="0"/>
              <w:rPr>
                <w:sz w:val="19"/>
                <w:szCs w:val="19"/>
                <w:color w:val="auto"/>
              </w:rPr>
            </w:pPr>
          </w:p>
        </w:tc>
        <w:tc>
          <w:tcPr>
            <w:tcW w:w="1180" w:type="dxa"/>
            <w:vAlign w:val="bottom"/>
            <w:gridSpan w:val="2"/>
          </w:tcPr>
          <w:p>
            <w:pPr>
              <w:jc w:val="right"/>
              <w:ind w:right="270"/>
              <w:spacing w:after="0"/>
              <w:rPr>
                <w:sz w:val="20"/>
                <w:szCs w:val="20"/>
                <w:color w:val="auto"/>
              </w:rPr>
            </w:pPr>
            <w:r>
              <w:rPr>
                <w:rFonts w:ascii="Arial" w:cs="Arial" w:eastAsia="Arial" w:hAnsi="Arial"/>
                <w:sz w:val="18"/>
                <w:szCs w:val="18"/>
                <w:color w:val="auto"/>
              </w:rPr>
              <w:t>2,830</w:t>
            </w:r>
          </w:p>
        </w:tc>
        <w:tc>
          <w:tcPr>
            <w:tcW w:w="2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1,960</w:t>
            </w:r>
          </w:p>
        </w:tc>
        <w:tc>
          <w:tcPr>
            <w:tcW w:w="8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870</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44.4%</w:t>
            </w:r>
          </w:p>
        </w:tc>
      </w:tr>
      <w:tr>
        <w:trPr>
          <w:trHeight w:val="230"/>
        </w:trPr>
        <w:tc>
          <w:tcPr>
            <w:tcW w:w="120" w:type="dxa"/>
            <w:vAlign w:val="bottom"/>
          </w:tcPr>
          <w:p>
            <w:pPr>
              <w:spacing w:after="0"/>
              <w:rPr>
                <w:sz w:val="20"/>
                <w:szCs w:val="20"/>
                <w:color w:val="auto"/>
              </w:rPr>
            </w:pPr>
          </w:p>
        </w:tc>
        <w:tc>
          <w:tcPr>
            <w:tcW w:w="1180" w:type="dxa"/>
            <w:vAlign w:val="bottom"/>
            <w:gridSpan w:val="2"/>
          </w:tcPr>
          <w:p>
            <w:pPr>
              <w:jc w:val="right"/>
              <w:ind w:right="270"/>
              <w:spacing w:after="0"/>
              <w:rPr>
                <w:sz w:val="20"/>
                <w:szCs w:val="20"/>
                <w:color w:val="auto"/>
              </w:rPr>
            </w:pPr>
            <w:r>
              <w:rPr>
                <w:rFonts w:ascii="Arial" w:cs="Arial" w:eastAsia="Arial" w:hAnsi="Arial"/>
                <w:sz w:val="18"/>
                <w:szCs w:val="18"/>
                <w:color w:val="auto"/>
              </w:rPr>
              <w:t>7,506</w:t>
            </w:r>
          </w:p>
        </w:tc>
        <w:tc>
          <w:tcPr>
            <w:tcW w:w="2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4,821</w:t>
            </w:r>
          </w:p>
        </w:tc>
        <w:tc>
          <w:tcPr>
            <w:tcW w:w="8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2,685</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55.7%</w:t>
            </w:r>
          </w:p>
        </w:tc>
      </w:tr>
      <w:tr>
        <w:trPr>
          <w:trHeight w:val="223"/>
        </w:trPr>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17,891</w:t>
            </w:r>
          </w:p>
        </w:tc>
        <w:tc>
          <w:tcPr>
            <w:tcW w:w="3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10,683</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7,208</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-2220595</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-1946275</wp:posOffset>
            </wp:positionV>
            <wp:extent cx="724662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-599440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-325120</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574" w:lineRule="exact"/>
        <w:rPr>
          <w:sz w:val="20"/>
          <w:szCs w:val="20"/>
          <w:color w:val="auto"/>
        </w:rPr>
      </w:pPr>
    </w:p>
    <w:p>
      <w:pPr>
        <w:sectPr>
          <w:pgSz w:w="11900" w:h="16838" w:orient="portrait"/>
          <w:cols w:equalWidth="0" w:num="2">
            <w:col w:w="3400" w:space="720"/>
            <w:col w:w="7280"/>
          </w:cols>
          <w:pgMar w:left="240" w:top="881" w:right="259" w:bottom="1440" w:gutter="0" w:footer="0" w:header="0"/>
        </w:sectPr>
      </w:pPr>
    </w:p>
    <w:p>
      <w:pPr>
        <w:spacing w:after="0" w:line="60" w:lineRule="exact"/>
        <w:rPr>
          <w:sz w:val="20"/>
          <w:szCs w:val="20"/>
          <w:color w:val="auto"/>
        </w:rPr>
      </w:pPr>
    </w:p>
    <w:p>
      <w:pPr>
        <w:ind w:right="60" w:firstLine="1189"/>
        <w:spacing w:after="0" w:line="257" w:lineRule="auto"/>
        <w:rPr>
          <w:sz w:val="20"/>
          <w:szCs w:val="20"/>
          <w:color w:val="auto"/>
        </w:rPr>
      </w:pPr>
      <w:r>
        <w:rPr>
          <w:rFonts w:ascii="Arial" w:cs="Arial" w:eastAsia="Arial" w:hAnsi="Arial"/>
          <w:sz w:val="18"/>
          <w:szCs w:val="18"/>
          <w:color w:val="auto"/>
        </w:rPr>
        <w:t>Research and development expense increased by $2.1 million, or 111.2%, from the three months ended June 30, 2013 compared to the three months ended June 30, 2014. Research and development expense increased by $3.7 million, or 93.6%, from the six months ended June 30, 2013 compared to the six months ended June 30, 2014. This was primarily due to increases in personnel costs, R&amp;D work orders and project costs related to FTTH WDM-PON products, 100G data center products and other new product development, and increase in depreciation expenses resulting from additional R&amp;D equipment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Sales and marketing expense increased by $0.4 million, or 42.2%, from the three months ended June 30, 2013 compared to the three months ended June 30, 2014. Sales and marketing expense increased by $0.9 million, or 44.4%, from the six months ended June 30, 2013 compared to the six months ended June 30, 2014. This was due to an increase in personnel costs from additional sales and marketing staff to better serve our customers, expenses for a new sales incentive program and an increase in sales commissions directly related to our revenue growth.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General and administrative expense increased by $1.5 million, or 61.5%, from the three months ended June 30, 2013 compared to the three months ended June 30, 2014. General and administrative expense increased by $2.7 million, or 55.7%, from the six months ended June 30, 2013 compared to the six months ended June 30, 2014. This was primarily due to an increase in share-based compensation expense as well as an increase in rent expense in Taiwan, personnel costs, amortization of intangible assets and professional fees.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r>
              <w:rPr>
                <w:rFonts w:ascii="Arial" w:cs="Arial" w:eastAsia="Arial" w:hAnsi="Arial"/>
                <w:sz w:val="18"/>
                <w:szCs w:val="18"/>
                <w:i w:val="1"/>
                <w:iCs w:val="1"/>
                <w:color w:val="auto"/>
              </w:rPr>
              <w:t>Other income (expense), net</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655"/>
        </w:trPr>
        <w:tc>
          <w:tcPr>
            <w:tcW w:w="4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8"/>
                <w:szCs w:val="18"/>
                <w:b w:val="1"/>
                <w:bCs w:val="1"/>
                <w:color w:val="auto"/>
                <w:w w:val="99"/>
              </w:rPr>
              <w:t>Three months ended June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4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2013</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Change</w:t>
            </w:r>
          </w:p>
        </w:tc>
        <w:tc>
          <w:tcPr>
            <w:tcW w:w="7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1"/>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4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Amount</w:t>
            </w:r>
          </w:p>
        </w:tc>
        <w:tc>
          <w:tcPr>
            <w:tcW w:w="3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revenue</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Amount</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revenue</w:t>
            </w:r>
          </w:p>
        </w:tc>
        <w:tc>
          <w:tcPr>
            <w:tcW w:w="2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6"/>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00" w:type="dxa"/>
            <w:vAlign w:val="bottom"/>
            <w:gridSpan w:val="8"/>
          </w:tcPr>
          <w:p>
            <w:pPr>
              <w:spacing w:after="0"/>
              <w:rPr>
                <w:sz w:val="20"/>
                <w:szCs w:val="20"/>
                <w:color w:val="auto"/>
              </w:rPr>
            </w:pPr>
            <w:r>
              <w:rPr>
                <w:rFonts w:ascii="Arial" w:cs="Arial" w:eastAsia="Arial" w:hAnsi="Arial"/>
                <w:sz w:val="18"/>
                <w:szCs w:val="18"/>
                <w:b w:val="1"/>
                <w:bCs w:val="1"/>
                <w:color w:val="auto"/>
                <w:w w:val="88"/>
              </w:rPr>
              <w:t>(in thousands, except percentages)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106</w:t>
            </w:r>
          </w:p>
        </w:tc>
        <w:tc>
          <w:tcPr>
            <w:tcW w:w="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0.3%</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15</w:t>
            </w:r>
          </w:p>
        </w:tc>
        <w:tc>
          <w:tcPr>
            <w:tcW w:w="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EEEEEE"/>
          </w:tcPr>
          <w:p>
            <w:pPr>
              <w:spacing w:after="0"/>
              <w:rPr>
                <w:sz w:val="18"/>
                <w:szCs w:val="18"/>
                <w:color w:val="auto"/>
              </w:rPr>
            </w:pPr>
          </w:p>
        </w:tc>
        <w:tc>
          <w:tcPr>
            <w:tcW w:w="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91</w:t>
            </w:r>
          </w:p>
        </w:tc>
        <w:tc>
          <w:tcPr>
            <w:tcW w:w="1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606.7%</w:t>
            </w:r>
          </w:p>
        </w:tc>
        <w:tc>
          <w:tcPr>
            <w:tcW w:w="80" w:type="dxa"/>
            <w:vAlign w:val="bottom"/>
            <w:shd w:val="clear" w:color="auto" w:fill="EEEEEE"/>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(296)</w:t>
            </w: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236</w:t>
            </w:r>
          </w:p>
        </w:tc>
        <w:tc>
          <w:tcPr>
            <w:tcW w:w="1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(79.7%)</w:t>
            </w:r>
          </w:p>
        </w:tc>
      </w:tr>
      <w:tr>
        <w:trPr>
          <w:trHeight w:val="230"/>
        </w:trPr>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228</w:t>
            </w:r>
          </w:p>
        </w:tc>
        <w:tc>
          <w:tcPr>
            <w:tcW w:w="20" w:type="dxa"/>
            <w:vAlign w:val="bottom"/>
            <w:shd w:val="clear" w:color="auto" w:fill="EEEEEE"/>
          </w:tcPr>
          <w:p>
            <w:pPr>
              <w:spacing w:after="0"/>
              <w:rPr>
                <w:sz w:val="19"/>
                <w:szCs w:val="19"/>
                <w:color w:val="auto"/>
              </w:rPr>
            </w:pPr>
          </w:p>
        </w:tc>
        <w:tc>
          <w:tcPr>
            <w:tcW w:w="9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0.7%</w:t>
            </w:r>
          </w:p>
        </w:tc>
        <w:tc>
          <w:tcPr>
            <w:tcW w:w="3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(50)</w:t>
            </w:r>
          </w:p>
        </w:tc>
        <w:tc>
          <w:tcPr>
            <w:tcW w:w="8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(0.3%)</w:t>
            </w:r>
          </w:p>
        </w:tc>
        <w:tc>
          <w:tcPr>
            <w:tcW w:w="14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EEEEEE"/>
          </w:tcPr>
          <w:p>
            <w:pPr>
              <w:spacing w:after="0"/>
              <w:rPr>
                <w:sz w:val="19"/>
                <w:szCs w:val="19"/>
                <w:color w:val="auto"/>
              </w:rPr>
            </w:pPr>
          </w:p>
        </w:tc>
        <w:tc>
          <w:tcPr>
            <w:tcW w:w="8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(556.0%)</w:t>
            </w:r>
          </w:p>
        </w:tc>
      </w:tr>
      <w:tr>
        <w:trPr>
          <w:trHeight w:val="223"/>
        </w:trPr>
        <w:tc>
          <w:tcPr>
            <w:tcW w:w="4120" w:type="dxa"/>
            <w:vAlign w:val="bottom"/>
          </w:tcPr>
          <w:p>
            <w:pPr>
              <w:ind w:left="18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3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(182.8%</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47"/>
        </w:trPr>
        <w:tc>
          <w:tcPr>
            <w:tcW w:w="4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7"/>
          </w:tcPr>
          <w:p>
            <w:pPr>
              <w:jc w:val="right"/>
              <w:ind w:right="500"/>
              <w:spacing w:after="0"/>
              <w:rPr>
                <w:sz w:val="20"/>
                <w:szCs w:val="20"/>
                <w:color w:val="auto"/>
              </w:rPr>
            </w:pPr>
            <w:r>
              <w:rPr>
                <w:rFonts w:ascii="Arial" w:cs="Arial" w:eastAsia="Arial" w:hAnsi="Arial"/>
                <w:sz w:val="18"/>
                <w:szCs w:val="18"/>
                <w:b w:val="1"/>
                <w:bCs w:val="1"/>
                <w:color w:val="auto"/>
                <w:w w:val="88"/>
              </w:rPr>
              <w:t>Six months ended June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4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2013</w:t>
            </w: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rPr>
              <w:t>Change</w:t>
            </w:r>
          </w:p>
        </w:tc>
        <w:tc>
          <w:tcPr>
            <w:tcW w:w="7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1"/>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 of</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4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4"/>
              </w:rPr>
              <w:t>Amount</w:t>
            </w:r>
          </w:p>
        </w:tc>
        <w:tc>
          <w:tcPr>
            <w:tcW w:w="3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revenue</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4"/>
              </w:rPr>
              <w:t>Amount</w:t>
            </w:r>
          </w:p>
        </w:tc>
        <w:tc>
          <w:tcPr>
            <w:tcW w:w="3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revenue</w:t>
            </w:r>
          </w:p>
        </w:tc>
        <w:tc>
          <w:tcPr>
            <w:tcW w:w="240" w:type="dxa"/>
            <w:vAlign w:val="bottom"/>
            <w:gridSpan w:val="2"/>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Amount</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6"/>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00" w:type="dxa"/>
            <w:vAlign w:val="bottom"/>
            <w:gridSpan w:val="8"/>
          </w:tcPr>
          <w:p>
            <w:pPr>
              <w:spacing w:after="0"/>
              <w:rPr>
                <w:sz w:val="20"/>
                <w:szCs w:val="20"/>
                <w:color w:val="auto"/>
              </w:rPr>
            </w:pPr>
            <w:r>
              <w:rPr>
                <w:rFonts w:ascii="Arial" w:cs="Arial" w:eastAsia="Arial" w:hAnsi="Arial"/>
                <w:sz w:val="18"/>
                <w:szCs w:val="18"/>
                <w:b w:val="1"/>
                <w:bCs w:val="1"/>
                <w:color w:val="auto"/>
                <w:w w:val="88"/>
              </w:rPr>
              <w:t>(in thousands, except percentages)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185</w:t>
            </w:r>
          </w:p>
        </w:tc>
        <w:tc>
          <w:tcPr>
            <w:tcW w:w="2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0.3%</w:t>
            </w:r>
          </w:p>
        </w:tc>
        <w:tc>
          <w:tcPr>
            <w:tcW w:w="4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35</w:t>
            </w:r>
          </w:p>
        </w:tc>
        <w:tc>
          <w:tcPr>
            <w:tcW w:w="8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EEEEEE"/>
          </w:tcPr>
          <w:p>
            <w:pPr>
              <w:spacing w:after="0"/>
              <w:rPr>
                <w:sz w:val="18"/>
                <w:szCs w:val="18"/>
                <w:color w:val="auto"/>
              </w:rPr>
            </w:pPr>
          </w:p>
        </w:tc>
        <w:tc>
          <w:tcPr>
            <w:tcW w:w="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428.6%</w:t>
            </w:r>
          </w:p>
        </w:tc>
        <w:tc>
          <w:tcPr>
            <w:tcW w:w="80" w:type="dxa"/>
            <w:vAlign w:val="bottom"/>
            <w:shd w:val="clear" w:color="auto" w:fill="EEEEEE"/>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180" w:type="dxa"/>
            <w:vAlign w:val="bottom"/>
            <w:gridSpan w:val="2"/>
          </w:tcPr>
          <w:p>
            <w:pPr>
              <w:jc w:val="right"/>
              <w:ind w:right="210"/>
              <w:spacing w:after="0"/>
              <w:rPr>
                <w:sz w:val="20"/>
                <w:szCs w:val="20"/>
                <w:color w:val="auto"/>
              </w:rPr>
            </w:pPr>
            <w:r>
              <w:rPr>
                <w:rFonts w:ascii="Arial" w:cs="Arial" w:eastAsia="Arial" w:hAnsi="Arial"/>
                <w:sz w:val="18"/>
                <w:szCs w:val="18"/>
                <w:color w:val="auto"/>
              </w:rPr>
              <w:t>(222)</w:t>
            </w:r>
          </w:p>
        </w:tc>
        <w:tc>
          <w:tcPr>
            <w:tcW w:w="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(602)</w:t>
            </w: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(63.1%)</w:t>
            </w:r>
          </w:p>
        </w:tc>
      </w:tr>
      <w:tr>
        <w:trPr>
          <w:trHeight w:val="230"/>
        </w:trPr>
        <w:tc>
          <w:tcPr>
            <w:tcW w:w="4120" w:type="dxa"/>
            <w:vAlign w:val="bottom"/>
            <w:shd w:val="clear" w:color="auto" w:fill="EEEEEE"/>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270"/>
              <w:spacing w:after="0"/>
              <w:rPr>
                <w:sz w:val="20"/>
                <w:szCs w:val="20"/>
                <w:color w:val="auto"/>
              </w:rPr>
            </w:pPr>
            <w:r>
              <w:rPr>
                <w:rFonts w:ascii="Arial" w:cs="Arial" w:eastAsia="Arial" w:hAnsi="Arial"/>
                <w:sz w:val="18"/>
                <w:szCs w:val="18"/>
                <w:color w:val="auto"/>
              </w:rPr>
              <w:t>201</w:t>
            </w:r>
          </w:p>
        </w:tc>
        <w:tc>
          <w:tcPr>
            <w:tcW w:w="20" w:type="dxa"/>
            <w:vAlign w:val="bottom"/>
            <w:shd w:val="clear" w:color="auto" w:fill="EEEEEE"/>
          </w:tcPr>
          <w:p>
            <w:pPr>
              <w:spacing w:after="0"/>
              <w:rPr>
                <w:sz w:val="19"/>
                <w:szCs w:val="19"/>
                <w:color w:val="auto"/>
              </w:rPr>
            </w:pPr>
          </w:p>
        </w:tc>
        <w:tc>
          <w:tcPr>
            <w:tcW w:w="9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180"/>
              <w:spacing w:after="0"/>
              <w:rPr>
                <w:sz w:val="20"/>
                <w:szCs w:val="20"/>
                <w:color w:val="auto"/>
              </w:rPr>
            </w:pPr>
            <w:r>
              <w:rPr>
                <w:rFonts w:ascii="Arial" w:cs="Arial" w:eastAsia="Arial" w:hAnsi="Arial"/>
                <w:sz w:val="18"/>
                <w:szCs w:val="18"/>
                <w:color w:val="auto"/>
              </w:rPr>
              <w:t>(58)</w:t>
            </w:r>
          </w:p>
        </w:tc>
        <w:tc>
          <w:tcPr>
            <w:tcW w:w="8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320"/>
              <w:spacing w:after="0"/>
              <w:rPr>
                <w:sz w:val="20"/>
                <w:szCs w:val="20"/>
                <w:color w:val="auto"/>
              </w:rPr>
            </w:pPr>
            <w:r>
              <w:rPr>
                <w:rFonts w:ascii="Arial" w:cs="Arial" w:eastAsia="Arial" w:hAnsi="Arial"/>
                <w:sz w:val="18"/>
                <w:szCs w:val="18"/>
                <w:color w:val="auto"/>
              </w:rPr>
              <w:t>259</w:t>
            </w:r>
          </w:p>
        </w:tc>
        <w:tc>
          <w:tcPr>
            <w:tcW w:w="160" w:type="dxa"/>
            <w:vAlign w:val="bottom"/>
            <w:shd w:val="clear" w:color="auto" w:fill="EEEEEE"/>
          </w:tcPr>
          <w:p>
            <w:pPr>
              <w:spacing w:after="0"/>
              <w:rPr>
                <w:sz w:val="19"/>
                <w:szCs w:val="19"/>
                <w:color w:val="auto"/>
              </w:rPr>
            </w:pPr>
          </w:p>
        </w:tc>
        <w:tc>
          <w:tcPr>
            <w:tcW w:w="86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color w:val="auto"/>
              </w:rPr>
              <w:t>(446.6%)</w:t>
            </w:r>
          </w:p>
        </w:tc>
      </w:tr>
      <w:tr>
        <w:trPr>
          <w:trHeight w:val="223"/>
        </w:trPr>
        <w:tc>
          <w:tcPr>
            <w:tcW w:w="4120" w:type="dxa"/>
            <w:vAlign w:val="bottom"/>
          </w:tcPr>
          <w:p>
            <w:pPr>
              <w:ind w:left="180"/>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3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(126.2%</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4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net other expense decreased by $0.6 million from the three months ended June 30, 2013 compared to the three months ended June 30, 2014.</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Total net other expense decreased by $0.8 million from the six months ended June 30, 2013 compared to the six months ended June 30, 2014.</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income increased over the same prior year periods due to higher cash and investment balances.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decreased overall for the periods due to the benefit of lower interest rates as well as lower loan balances.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Other net expense decreased due to unrealized foreign exchange gains recognized resulting from the appreciation of the Asia currencies against the U.S. dollar compared to unrealized foreign exchange losses in the same prior year periods. These decreases were offset by a decrease in government subsidies received in China. We qualify as a high-tech enterprise in China and are paid subsidies from time to time by the Chinese government to foster local high-tech manufacturing, based upon the revenue earned in China.</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i w:val="1"/>
                <w:iCs w:val="1"/>
                <w:color w:val="auto"/>
              </w:rPr>
              <w:t>Provision for income taxes</w:t>
            </w: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4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jc w:val="center"/>
              <w:ind w:left="70"/>
              <w:spacing w:after="0"/>
              <w:rPr>
                <w:sz w:val="20"/>
                <w:szCs w:val="20"/>
                <w:color w:val="auto"/>
              </w:rPr>
            </w:pPr>
            <w:r>
              <w:rPr>
                <w:rFonts w:ascii="Arial" w:cs="Arial" w:eastAsia="Arial" w:hAnsi="Arial"/>
                <w:sz w:val="18"/>
                <w:szCs w:val="18"/>
                <w:b w:val="1"/>
                <w:bCs w:val="1"/>
                <w:color w:val="auto"/>
                <w:w w:val="88"/>
              </w:rPr>
              <w:t>Three months ended June 30,</w:t>
            </w:r>
          </w:p>
        </w:tc>
        <w:tc>
          <w:tcPr>
            <w:tcW w:w="1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ind w:right="1770"/>
              <w:spacing w:after="0"/>
              <w:rPr>
                <w:sz w:val="20"/>
                <w:szCs w:val="20"/>
                <w:color w:val="auto"/>
              </w:rPr>
            </w:pPr>
            <w:r>
              <w:rPr>
                <w:rFonts w:ascii="Arial" w:cs="Arial" w:eastAsia="Arial" w:hAnsi="Arial"/>
                <w:sz w:val="18"/>
                <w:szCs w:val="18"/>
                <w:b w:val="1"/>
                <w:bCs w:val="1"/>
                <w:color w:val="auto"/>
              </w:rPr>
              <w:t>2013</w:t>
            </w: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20" w:type="dxa"/>
            <w:vAlign w:val="bottom"/>
            <w:gridSpan w:val="2"/>
          </w:tcPr>
          <w:p>
            <w:pPr>
              <w:jc w:val="center"/>
              <w:ind w:right="890"/>
              <w:spacing w:after="0"/>
              <w:rPr>
                <w:sz w:val="20"/>
                <w:szCs w:val="20"/>
                <w:color w:val="auto"/>
              </w:rPr>
            </w:pPr>
            <w:r>
              <w:rPr>
                <w:rFonts w:ascii="Arial" w:cs="Arial" w:eastAsia="Arial" w:hAnsi="Arial"/>
                <w:sz w:val="18"/>
                <w:szCs w:val="18"/>
                <w:b w:val="1"/>
                <w:bCs w:val="1"/>
                <w:color w:val="auto"/>
                <w:w w:val="86"/>
              </w:rPr>
              <w:t>(in thousands, except percentages)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85</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580" w:type="dxa"/>
            <w:vAlign w:val="bottom"/>
            <w:shd w:val="clear" w:color="auto" w:fill="EEEEEE"/>
          </w:tcPr>
          <w:p>
            <w:pPr>
              <w:jc w:val="right"/>
              <w:ind w:right="12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ind w:right="690"/>
              <w:spacing w:after="0"/>
              <w:rPr>
                <w:sz w:val="20"/>
                <w:szCs w:val="20"/>
                <w:color w:val="auto"/>
              </w:rPr>
            </w:pPr>
            <w:r>
              <w:rPr>
                <w:rFonts w:ascii="Arial" w:cs="Arial" w:eastAsia="Arial" w:hAnsi="Arial"/>
                <w:sz w:val="18"/>
                <w:szCs w:val="18"/>
                <w:color w:val="auto"/>
              </w:rPr>
              <w:t>85</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100.0%</w:t>
            </w:r>
          </w:p>
        </w:tc>
      </w:tr>
      <w:tr>
        <w:trPr>
          <w:trHeight w:val="689"/>
        </w:trPr>
        <w:tc>
          <w:tcPr>
            <w:tcW w:w="4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7"/>
              </w:rPr>
              <w:t>Six months ended June 30,</w:t>
            </w:r>
          </w:p>
        </w:tc>
        <w:tc>
          <w:tcPr>
            <w:tcW w:w="1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48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auto"/>
            </w:tcBorders>
          </w:tcPr>
          <w:p>
            <w:pPr>
              <w:spacing w:after="0"/>
              <w:rPr>
                <w:sz w:val="19"/>
                <w:szCs w:val="19"/>
                <w:color w:val="auto"/>
              </w:rPr>
            </w:pPr>
          </w:p>
        </w:tc>
        <w:tc>
          <w:tcPr>
            <w:tcW w:w="2580" w:type="dxa"/>
            <w:vAlign w:val="bottom"/>
            <w:tcBorders>
              <w:bottom w:val="single" w:sz="8" w:color="auto"/>
            </w:tcBorders>
          </w:tcPr>
          <w:p>
            <w:pPr>
              <w:jc w:val="right"/>
              <w:ind w:right="1770"/>
              <w:spacing w:after="0"/>
              <w:rPr>
                <w:sz w:val="20"/>
                <w:szCs w:val="20"/>
                <w:color w:val="auto"/>
              </w:rPr>
            </w:pPr>
            <w:r>
              <w:rPr>
                <w:rFonts w:ascii="Arial" w:cs="Arial" w:eastAsia="Arial" w:hAnsi="Arial"/>
                <w:sz w:val="18"/>
                <w:szCs w:val="18"/>
                <w:b w:val="1"/>
                <w:bCs w:val="1"/>
                <w:color w:val="auto"/>
              </w:rPr>
              <w:t>2013</w:t>
            </w: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0"/>
        </w:trPr>
        <w:tc>
          <w:tcPr>
            <w:tcW w:w="4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20" w:type="dxa"/>
            <w:vAlign w:val="bottom"/>
            <w:gridSpan w:val="2"/>
          </w:tcPr>
          <w:p>
            <w:pPr>
              <w:jc w:val="center"/>
              <w:ind w:right="890"/>
              <w:spacing w:after="0"/>
              <w:rPr>
                <w:sz w:val="20"/>
                <w:szCs w:val="20"/>
                <w:color w:val="auto"/>
              </w:rPr>
            </w:pPr>
            <w:r>
              <w:rPr>
                <w:rFonts w:ascii="Arial" w:cs="Arial" w:eastAsia="Arial" w:hAnsi="Arial"/>
                <w:sz w:val="18"/>
                <w:szCs w:val="18"/>
                <w:b w:val="1"/>
                <w:bCs w:val="1"/>
                <w:color w:val="auto"/>
                <w:w w:val="86"/>
              </w:rPr>
              <w:t>(in thousands, except percentages)</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EEEEEE"/>
          </w:tcPr>
          <w:p>
            <w:pPr>
              <w:ind w:left="10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110</w:t>
            </w:r>
          </w:p>
        </w:tc>
        <w:tc>
          <w:tcPr>
            <w:tcW w:w="3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580" w:type="dxa"/>
            <w:vAlign w:val="bottom"/>
            <w:shd w:val="clear" w:color="auto" w:fill="EEEEEE"/>
          </w:tcPr>
          <w:p>
            <w:pPr>
              <w:jc w:val="right"/>
              <w:ind w:right="12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EEEEEE"/>
          </w:tcPr>
          <w:p>
            <w:pPr>
              <w:jc w:val="right"/>
              <w:ind w:right="690"/>
              <w:spacing w:after="0"/>
              <w:rPr>
                <w:sz w:val="20"/>
                <w:szCs w:val="20"/>
                <w:color w:val="auto"/>
              </w:rPr>
            </w:pPr>
            <w:r>
              <w:rPr>
                <w:rFonts w:ascii="Arial" w:cs="Arial" w:eastAsia="Arial" w:hAnsi="Arial"/>
                <w:sz w:val="18"/>
                <w:szCs w:val="18"/>
                <w:color w:val="auto"/>
              </w:rPr>
              <w:t>110</w:t>
            </w:r>
          </w:p>
        </w:tc>
        <w:tc>
          <w:tcPr>
            <w:tcW w:w="100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100.0%</w:t>
            </w:r>
          </w:p>
        </w:tc>
      </w:tr>
      <w:tr>
        <w:trPr>
          <w:trHeight w:val="864"/>
        </w:trPr>
        <w:tc>
          <w:tcPr>
            <w:tcW w:w="48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65" w:right="239" w:bottom="1440" w:gutter="0" w:footer="0" w:header="0"/>
        </w:sectPr>
      </w:pPr>
    </w:p>
    <w:bookmarkStart w:id="18" w:name="page19"/>
    <w:bookmarkEnd w:id="18"/>
    <w:p>
      <w:pPr>
        <w:ind w:right="100" w:firstLine="648"/>
        <w:spacing w:after="0" w:line="277" w:lineRule="auto"/>
        <w:rPr>
          <w:sz w:val="20"/>
          <w:szCs w:val="20"/>
          <w:color w:val="auto"/>
        </w:rPr>
      </w:pPr>
      <w:r>
        <w:rPr>
          <w:rFonts w:ascii="Arial" w:cs="Arial" w:eastAsia="Arial" w:hAnsi="Arial"/>
          <w:sz w:val="18"/>
          <w:szCs w:val="18"/>
          <w:color w:val="auto"/>
        </w:rPr>
        <w:t>Our income tax expense for the three and six month ended June 30, 2014 consists of U.S. alternative minimum tax recorded during the periods. Due to historic losses in the U.S., our net deferred tax assets are fully offset by a deferred tax valuation allowance.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From inception until our initial public offering, we financed our operations through private sales of equity securities, cash generated from operations and from various lending arrangements. On October 1, 2013, we completed our initial public offering, in which we issued and sold 3.6 million shares of our common stock at a public offering price of $10.00 per share, providing proceeds of $31.5 million, net of underwriting discounts and commissions and offering expenses. On March 25, 2014, we completed a secondary offering, in which we issued and sold 1.6 million shares of our common stock at an offering price of $24.25 per share, and on March 28, 2014, we sold an additional 0.4 million shares as a result of the underwriters’ exercise of their option to purchase additional shares, providing proceeds of $45.6 million, net of underwriting discounts and commissions and offering expenses. As of June 30, 2014, our cash, cash equivalents, restricted cash and short-term investments totaled $43.0 million. Cash and cash equivalents are held for working capital purposes and are invested primarily in money market or time deposit funds. We do not enter into investments for trading or speculative purposes.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40" w:type="dxa"/>
            <w:vAlign w:val="bottom"/>
          </w:tcPr>
          <w:p>
            <w:pPr>
              <w:ind w:left="660"/>
              <w:spacing w:after="0"/>
              <w:rPr>
                <w:sz w:val="20"/>
                <w:szCs w:val="20"/>
                <w:color w:val="auto"/>
              </w:rPr>
            </w:pPr>
            <w:r>
              <w:rPr>
                <w:rFonts w:ascii="Arial" w:cs="Arial" w:eastAsia="Arial" w:hAnsi="Arial"/>
                <w:sz w:val="18"/>
                <w:szCs w:val="18"/>
                <w:color w:val="auto"/>
              </w:rPr>
              <w:t>The table below sets forth selected cash flow data for the periods presented (in thousands):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8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8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23"/>
        </w:trPr>
        <w:tc>
          <w:tcPr>
            <w:tcW w:w="8240" w:type="dxa"/>
            <w:vAlign w:val="bottom"/>
            <w:tcBorders>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34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100" w:type="dxa"/>
            <w:vAlign w:val="bottom"/>
            <w:tcBorders>
              <w:bottom w:val="single" w:sz="8" w:color="EEEEEE"/>
            </w:tcBorders>
          </w:tcPr>
          <w:p>
            <w:pPr>
              <w:spacing w:after="0"/>
              <w:rPr>
                <w:sz w:val="19"/>
                <w:szCs w:val="19"/>
                <w:color w:val="auto"/>
              </w:rPr>
            </w:pPr>
          </w:p>
        </w:tc>
      </w:tr>
      <w:tr>
        <w:trPr>
          <w:trHeight w:val="210"/>
        </w:trPr>
        <w:tc>
          <w:tcPr>
            <w:tcW w:w="824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1,499</w:t>
            </w:r>
          </w:p>
        </w:tc>
        <w:tc>
          <w:tcPr>
            <w:tcW w:w="100" w:type="dxa"/>
            <w:vAlign w:val="bottom"/>
            <w:shd w:val="clear" w:color="auto" w:fill="EEEEEE"/>
          </w:tcPr>
          <w:p>
            <w:pPr>
              <w:spacing w:after="0"/>
              <w:rPr>
                <w:sz w:val="18"/>
                <w:szCs w:val="18"/>
                <w:color w:val="auto"/>
              </w:rPr>
            </w:pP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(17,108)</w:t>
            </w:r>
          </w:p>
        </w:tc>
        <w:tc>
          <w:tcPr>
            <w:tcW w:w="3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(3,573)</w:t>
            </w:r>
          </w:p>
        </w:tc>
      </w:tr>
      <w:tr>
        <w:trPr>
          <w:trHeight w:val="216"/>
        </w:trPr>
        <w:tc>
          <w:tcPr>
            <w:tcW w:w="8240" w:type="dxa"/>
            <w:vAlign w:val="bottom"/>
            <w:shd w:val="clear" w:color="auto" w:fill="EEEEEE"/>
          </w:tcPr>
          <w:p>
            <w:pPr>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EEEEEE"/>
          </w:tcPr>
          <w:p>
            <w:pPr>
              <w:spacing w:after="0"/>
              <w:rPr>
                <w:sz w:val="18"/>
                <w:szCs w:val="18"/>
                <w:color w:val="auto"/>
              </w:rPr>
            </w:pPr>
          </w:p>
        </w:tc>
        <w:tc>
          <w:tcPr>
            <w:tcW w:w="142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29,271</w:t>
            </w:r>
          </w:p>
        </w:tc>
        <w:tc>
          <w:tcPr>
            <w:tcW w:w="30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913</w:t>
            </w:r>
          </w:p>
        </w:tc>
      </w:tr>
      <w:tr>
        <w:trPr>
          <w:trHeight w:val="230"/>
        </w:trPr>
        <w:tc>
          <w:tcPr>
            <w:tcW w:w="824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30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r>
      <w:tr>
        <w:trPr>
          <w:trHeight w:val="223"/>
        </w:trPr>
        <w:tc>
          <w:tcPr>
            <w:tcW w:w="8240" w:type="dxa"/>
            <w:vAlign w:val="bottom"/>
            <w:tcBorders>
              <w:top w:val="single" w:sz="8" w:color="EEEEEE"/>
              <w:bottom w:val="single" w:sz="8" w:color="EEEEEE"/>
            </w:tcBorders>
            <w:shd w:val="clear" w:color="auto" w:fill="EEEEEE"/>
          </w:tcPr>
          <w:p>
            <w:pPr>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Borders>
              <w:top w:val="single" w:sz="8" w:color="auto"/>
              <w:bottom w:val="single" w:sz="8" w:color="auto"/>
            </w:tcBorders>
            <w:shd w:val="clear" w:color="auto" w:fill="EEEEEE"/>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12,073</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(955</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8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ind w:right="220" w:firstLine="648"/>
        <w:spacing w:after="0" w:line="276" w:lineRule="auto"/>
        <w:rPr>
          <w:sz w:val="20"/>
          <w:szCs w:val="20"/>
          <w:color w:val="auto"/>
        </w:rPr>
      </w:pPr>
      <w:r>
        <w:rPr>
          <w:rFonts w:ascii="Arial" w:cs="Arial" w:eastAsia="Arial" w:hAnsi="Arial"/>
          <w:sz w:val="17"/>
          <w:szCs w:val="17"/>
          <w:color w:val="auto"/>
        </w:rPr>
        <w:t>For the six months ended June 30, 2014, net cash used in operating activities was $0.03 million. During the six months ended June 30, 2014, we recorded net income of $2.0 million. The net income incorporated non-cash charges, including depreciation and amortization of $2.7 million, share-based compensation expenses of $1.0 million and non-cash increases to our inventory reserve account of $0.8 million. Cash used in operating activities primarily related to an increase in accounts receivable from the sale of our products and an increase in inventory related to sales orders, offset by cash provided by an increase in accounts payable to our vendors and an increase in accrued liabilities.</w:t>
      </w:r>
    </w:p>
    <w:p>
      <w:pPr>
        <w:spacing w:after="0" w:line="173"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For the six months ended June 30, 2013, net cash provided by operating activities was $1.5 million. During the six months ended June 30, 2013, we recognized a net loss of $1.3 million. The net loss incorporated non-cash charges, including depreciation and amortization of $1.6 million, share-based compensation expenses of $0.2 million and non-cash increases to our inventory reserve account of $0.4 million. Cash used in operating activities primarily related to an increase in accounts receivable from the sale of our products, an increase in inventory related to sales orders and increases in accrued liabilities and other current assets, offset by cash provided by an increase in accounts payable to our vendors and the decrease in notes receivable from our customers.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For the six months ended June 30, 2014, net cash used in investing activities was $17.1 million for the purchase of additional machinery and equipment and the payment for intellectual property licenses to support new product development efforts and manufacturing activities as well as an increase in deferred charges.</w:t>
      </w:r>
    </w:p>
    <w:p>
      <w:pPr>
        <w:spacing w:after="0" w:line="181"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For the six months ended June 30, 2013, net cash used in investing activities was $3.6 million for the purchase of additional machinery and equipment to support new product development efforts and manufacturing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Our financing activities consisted primarily of proceeds from the issuance of common stock and activity associated with our various lending arrangements.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For the six months ended June 30, 2014, our financing activities provided $29.3 million in cash. We received $45.6 million in net proceeds from a secondary offering of common stock. We received $0.2 million from the exercise of stock options. These increases were offset by the repayment of $16.5 million in net borrowings associated with our bank loans and an increase in our restricted cash by $0.2 million, related to the compensating balances required for bank acceptance notes in China.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jc w:val="both"/>
        <w:ind w:right="600" w:firstLine="648"/>
        <w:spacing w:after="0" w:line="312" w:lineRule="auto"/>
        <w:rPr>
          <w:sz w:val="20"/>
          <w:szCs w:val="20"/>
          <w:color w:val="auto"/>
        </w:rPr>
      </w:pPr>
      <w:r>
        <w:rPr>
          <w:rFonts w:ascii="Arial" w:cs="Arial" w:eastAsia="Arial" w:hAnsi="Arial"/>
          <w:sz w:val="16"/>
          <w:szCs w:val="16"/>
          <w:color w:val="auto"/>
        </w:rPr>
        <w:t>For the six months ended June 30, 2013, our financing activities provided $0.1 million in cash. We borrowed $1.0 million in net borrowings associated with our bank acceptance payable and increased our restricted cash by $0.6 million, related to the compensating balances required for bank acceptance notes in China. Cash used was offset by $0.4 million received from the exercise of stock options and warrants.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Loans and commitments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have lending arrangements with several financial institutions, including a loan and security agreement with East West Bank in the U.S., several lines of credit arrangements for our China subsidiary and lines of credit and financing agreements for our Taiwan location.</w:t>
      </w:r>
    </w:p>
    <w:p>
      <w:pPr>
        <w:spacing w:after="0" w:line="170"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As of June 30, 2014, our loan and security agreement in the U.S. included a $7.0 million revolving line of credit which matures on November 15, 2015. Also included with the same bank is a term loan with monthly payments of principal and interest that matures on November 15, 2014. As of June 30, 2014, we had no outstanding balances under the revolving line of credit or the term loan.</w:t>
      </w:r>
    </w:p>
    <w:p>
      <w:pPr>
        <w:spacing w:after="0" w:line="181"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On July 15, 2014, we entered into a new credit agreement with our bank in the U.S. to expand our borrowing capacity to $15.0 million, which matures on July 15, 2017. This agreement replaces, in its entirety, the previous $7.0 million credit line.</w:t>
      </w:r>
    </w:p>
    <w:p>
      <w:pPr>
        <w:spacing w:after="0" w:line="17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On September 10, 2013, our loan and security agreement in the U.S. was amended to add $5.0 million of borrowing capability to the existing credit line, for the purpose of financing equipment. The additional equipment term loan allows us to draw up to the lesser of (i) $5.0 million, or (ii) 90% of the costs of equipment purchased between March 31, 2013 and March 10, 2014. Through March 10, 2014, we are required to pay interest only on the then-outstanding balance, and then pay equal principal payments plus accrued interest monthly for the following 42 months. The interest rate for such equipment term loan is the bank’s prime lending rate plus 0.75%, currently a total of 4.0%. As of June 30, 2014, we had no outstanding balances under this equipment term loan.</w:t>
      </w:r>
    </w:p>
    <w:p>
      <w:pPr>
        <w:spacing w:after="0" w:line="158"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On July 31, 2014, we entered into a new $5.0 million credit agreement with East West Bank that replaces our existing $5.0 million credit line for the purpose of financing equipment. This new agreement provides for the same credit line, lower interest rate and extends the maturity date to July 1, 2019.</w:t>
      </w:r>
    </w:p>
    <w:p>
      <w:pPr>
        <w:spacing w:after="0" w:line="12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Our loan and security agreement requires us to maintain certain financial covenants, including a minimum current ratio, maximum debt over net worth ratio and minimum debt service coverage. The agreement also restricts our minimum cash deposits and the percentage of deposit with other banks. As of June 30, 2014, we were in compliance with all covenants contained in this agreement.</w:t>
      </w:r>
    </w:p>
    <w:p>
      <w:pPr>
        <w:spacing w:after="0" w:line="181"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As of June 30, 2014, our China subsidiary had two lines of credit facility with a China bank totaling $15.3 million. As of June 30, 2014, we had no outstanding balances under one of the credit facility. With respect to the other credit facility, we had a U.S. currency based loan of $1.2 million outstanding under various notes with three-month terms, maturing from July to September 2014.</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Taiwan location had an outstanding note payable with a financing company that matures on July 31, 2015.</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December 2013, our Taiwan location entered into two separate one year revolving credit facility agreements with Taiwan banks, for a total of $8.0 million. Borrowings under these credit facilities will be used for general corporate purposes. Our obligations under the credit facilities are secured by our $8.0 million cash deposit in a one-year CD with such banks. The two revolving lines of credit bear interest at a rate (which adjusts quarterly) equal to the Taiwan Time Deposit Interest Rate Index plus 0.41%, currently 1.78%, and at a base rate equal to TAIBOR plus 1%, currently 1.75%. As of June 30, 2014, $7.6 million was outstanding under these credit facilities.</w:t>
      </w:r>
    </w:p>
    <w:p>
      <w:pPr>
        <w:spacing w:after="0" w:line="188"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 customary business practice in China is for customers to exchange accounts receivable with notes receivable issued by their bank. From time to time we accept notes receivable from certain of our customers in China. These notes receivable are non-interest bearing and are generally due within six months, and such notes receivable may be redeemed with the issuing bank prior to maturity at a discount. Historically, we have collected on the notes receivable in full at the time of maturity.</w:t>
      </w:r>
    </w:p>
    <w:p>
      <w:pPr>
        <w:spacing w:after="0" w:line="187"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Frequently, we also direct our banking partners to issue bank acceptance notes payable to our suppliers in China in exchange for accounts payable. Our China subsidiary’s banks issue the notes to vendors and issue payment to vendors upon redemption. We owe the payable balance to the issuing bank. The notes payable are non-interest bearing and are generally due within six months of issuance. As a condition of the notes payable lending arrangements, we are required to keep a compensating balance at the issuing banks that is a percentage of the total notes payable balance until the notes payable are paid by our China subsidiary. These balances are classified as restricted cash on our consolidated balance sheets. As of June 30, 2014, our restricted cash totaled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$0.9 million, and our outstanding bank acceptance notes payable was $2.4 million.</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Future liquidity needs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believe that our existing cash and cash equivalents, and cash flows from our operating activities, will be sufficient to meet our anticipated cash needs for the next 12 to 24 months. Our future capital requirements will depend on many factors including our growth rate, the timing and extent of spending to support our research and development efforts, the expansion of our sales and marketing activities, the introduction of new and enhanced products, the expansion of our manufacturing capacity and the continuing market acceptance of our products. In the event that additional financing is required from outside sources, we may not be able to raise it on terms acceptable to us, if at all. If we are unable to raise additional capital when desired, our business, operating results and financial condition would be adversely affected.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summarizes our contractual obligations as of June 30, 2014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2"/>
              </w:rPr>
              <w:t>Less than 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spacing w:after="0" w:line="191" w:lineRule="exact"/>
              <w:rPr>
                <w:sz w:val="20"/>
                <w:szCs w:val="20"/>
                <w:color w:val="auto"/>
              </w:rPr>
            </w:pPr>
            <w:r>
              <w:rPr>
                <w:rFonts w:ascii="Arial" w:cs="Arial" w:eastAsia="Arial" w:hAnsi="Arial"/>
                <w:sz w:val="18"/>
                <w:szCs w:val="18"/>
                <w:b w:val="1"/>
                <w:bCs w:val="1"/>
                <w:color w:val="auto"/>
              </w:rPr>
              <w:t>More than 5</w:t>
            </w: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40" w:type="dxa"/>
            <w:vAlign w:val="bottom"/>
            <w:tcBorders>
              <w:bottom w:val="single" w:sz="8" w:color="EEEEEE"/>
            </w:tcBorders>
          </w:tcPr>
          <w:p>
            <w:pPr>
              <w:spacing w:after="0"/>
              <w:rPr>
                <w:sz w:val="20"/>
                <w:szCs w:val="20"/>
                <w:color w:val="auto"/>
              </w:rPr>
            </w:pPr>
          </w:p>
        </w:tc>
        <w:tc>
          <w:tcPr>
            <w:tcW w:w="54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Total</w:t>
            </w:r>
          </w:p>
        </w:tc>
        <w:tc>
          <w:tcPr>
            <w:tcW w:w="140" w:type="dxa"/>
            <w:vAlign w:val="bottom"/>
            <w:tcBorders>
              <w:bottom w:val="single" w:sz="8" w:color="EEEEEE"/>
            </w:tcBorders>
          </w:tcPr>
          <w:p>
            <w:pPr>
              <w:spacing w:after="0"/>
              <w:rPr>
                <w:sz w:val="20"/>
                <w:szCs w:val="20"/>
                <w:color w:val="auto"/>
              </w:rPr>
            </w:pPr>
          </w:p>
        </w:tc>
        <w:tc>
          <w:tcPr>
            <w:tcW w:w="120" w:type="dxa"/>
            <w:vAlign w:val="bottom"/>
            <w:tcBorders>
              <w:bottom w:val="single" w:sz="8" w:color="EEEEEE"/>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Year</w:t>
            </w:r>
          </w:p>
        </w:tc>
        <w:tc>
          <w:tcPr>
            <w:tcW w:w="100" w:type="dxa"/>
            <w:vAlign w:val="bottom"/>
            <w:tcBorders>
              <w:bottom w:val="single" w:sz="8" w:color="EEEEEE"/>
            </w:tcBorders>
          </w:tcPr>
          <w:p>
            <w:pPr>
              <w:spacing w:after="0"/>
              <w:rPr>
                <w:sz w:val="20"/>
                <w:szCs w:val="20"/>
                <w:color w:val="auto"/>
              </w:rPr>
            </w:pPr>
          </w:p>
        </w:tc>
        <w:tc>
          <w:tcPr>
            <w:tcW w:w="120" w:type="dxa"/>
            <w:vAlign w:val="bottom"/>
            <w:tcBorders>
              <w:bottom w:val="single" w:sz="8" w:color="EEEEEE"/>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1-3 Years</w:t>
            </w:r>
          </w:p>
        </w:tc>
        <w:tc>
          <w:tcPr>
            <w:tcW w:w="200" w:type="dxa"/>
            <w:vAlign w:val="bottom"/>
            <w:tcBorders>
              <w:bottom w:val="single" w:sz="8" w:color="EEEEEE"/>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3-5 Years</w:t>
            </w:r>
          </w:p>
        </w:tc>
        <w:tc>
          <w:tcPr>
            <w:tcW w:w="220" w:type="dxa"/>
            <w:vAlign w:val="bottom"/>
            <w:tcBorders>
              <w:bottom w:val="single" w:sz="8" w:color="EEEEE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Years</w:t>
            </w:r>
          </w:p>
        </w:tc>
        <w:tc>
          <w:tcPr>
            <w:tcW w:w="100" w:type="dxa"/>
            <w:vAlign w:val="bottom"/>
            <w:tcBorders>
              <w:bottom w:val="single" w:sz="8" w:color="EEEEEE"/>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40" w:type="dxa"/>
            <w:vAlign w:val="bottom"/>
            <w:shd w:val="clear" w:color="auto" w:fill="EEEEEE"/>
          </w:tcPr>
          <w:p>
            <w:pPr>
              <w:ind w:left="160"/>
              <w:spacing w:after="0" w:line="236" w:lineRule="exact"/>
              <w:rPr>
                <w:sz w:val="20"/>
                <w:szCs w:val="20"/>
                <w:color w:val="auto"/>
              </w:rPr>
            </w:pPr>
            <w:r>
              <w:rPr>
                <w:rFonts w:ascii="Arial" w:cs="Arial" w:eastAsia="Arial" w:hAnsi="Arial"/>
                <w:sz w:val="17"/>
                <w:szCs w:val="17"/>
                <w:color w:val="auto"/>
              </w:rPr>
              <w:t>Bank acceptance payable and long-term debt</w:t>
            </w:r>
            <w:r>
              <w:rPr>
                <w:rFonts w:ascii="Arial" w:cs="Arial" w:eastAsia="Arial" w:hAnsi="Arial"/>
                <w:sz w:val="27"/>
                <w:szCs w:val="27"/>
                <w:color w:val="auto"/>
                <w:vertAlign w:val="superscript"/>
              </w:rPr>
              <w:t>(1)</w:t>
            </w:r>
          </w:p>
        </w:tc>
        <w:tc>
          <w:tcPr>
            <w:tcW w:w="7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12,006</w:t>
            </w:r>
          </w:p>
        </w:tc>
        <w:tc>
          <w:tcPr>
            <w:tcW w:w="2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11,939</w:t>
            </w:r>
          </w:p>
        </w:tc>
        <w:tc>
          <w:tcPr>
            <w:tcW w:w="26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EEEEEE"/>
          </w:tcPr>
          <w:p>
            <w:pPr>
              <w:spacing w:after="0"/>
              <w:rPr>
                <w:sz w:val="20"/>
                <w:szCs w:val="20"/>
                <w:color w:val="auto"/>
              </w:rPr>
            </w:pPr>
          </w:p>
        </w:tc>
        <w:tc>
          <w:tcPr>
            <w:tcW w:w="160" w:type="dxa"/>
            <w:vAlign w:val="bottom"/>
            <w:shd w:val="clear" w:color="auto" w:fill="EEEEEE"/>
          </w:tcPr>
          <w:p>
            <w:pPr>
              <w:spacing w:after="0"/>
              <w:rPr>
                <w:sz w:val="20"/>
                <w:szCs w:val="20"/>
                <w:color w:val="auto"/>
              </w:rPr>
            </w:pPr>
          </w:p>
        </w:tc>
        <w:tc>
          <w:tcPr>
            <w:tcW w:w="9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92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140" w:type="dxa"/>
            <w:vAlign w:val="bottom"/>
          </w:tcPr>
          <w:p>
            <w:pPr>
              <w:ind w:left="160"/>
              <w:spacing w:after="0" w:line="269" w:lineRule="exact"/>
              <w:rPr>
                <w:sz w:val="20"/>
                <w:szCs w:val="20"/>
                <w:color w:val="auto"/>
              </w:rPr>
            </w:pPr>
            <w:r>
              <w:rPr>
                <w:rFonts w:ascii="Arial" w:cs="Arial" w:eastAsia="Arial" w:hAnsi="Arial"/>
                <w:sz w:val="18"/>
                <w:szCs w:val="18"/>
                <w:color w:val="auto"/>
              </w:rPr>
              <w:t>Operating leases</w:t>
            </w:r>
            <w:r>
              <w:rPr>
                <w:rFonts w:ascii="Arial" w:cs="Arial" w:eastAsia="Arial" w:hAnsi="Arial"/>
                <w:sz w:val="30"/>
                <w:szCs w:val="30"/>
                <w:color w:val="auto"/>
                <w:vertAlign w:val="superscript"/>
              </w:rPr>
              <w:t>(2)</w:t>
            </w: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15,547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1,805</w:t>
            </w:r>
          </w:p>
        </w:tc>
        <w:tc>
          <w:tcPr>
            <w:tcW w:w="16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1,820</w:t>
            </w:r>
          </w:p>
        </w:tc>
        <w:tc>
          <w:tcPr>
            <w:tcW w:w="220" w:type="dxa"/>
            <w:vAlign w:val="bottom"/>
          </w:tcPr>
          <w:p>
            <w:pPr>
              <w:spacing w:after="0"/>
              <w:rPr>
                <w:sz w:val="23"/>
                <w:szCs w:val="23"/>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11,084</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40" w:type="dxa"/>
            <w:vAlign w:val="bottom"/>
            <w:tcBorders>
              <w:top w:val="single" w:sz="8" w:color="EEEEEE"/>
            </w:tcBorders>
            <w:shd w:val="clear" w:color="auto" w:fill="EEEEEE"/>
          </w:tcPr>
          <w:p>
            <w:pPr>
              <w:spacing w:after="0"/>
              <w:rPr>
                <w:sz w:val="18"/>
                <w:szCs w:val="18"/>
                <w:color w:val="auto"/>
              </w:rPr>
            </w:pPr>
          </w:p>
        </w:tc>
        <w:tc>
          <w:tcPr>
            <w:tcW w:w="54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04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spacing w:after="0"/>
              <w:rPr>
                <w:sz w:val="18"/>
                <w:szCs w:val="18"/>
                <w:color w:val="auto"/>
              </w:rPr>
            </w:pPr>
          </w:p>
        </w:tc>
        <w:tc>
          <w:tcPr>
            <w:tcW w:w="22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92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Total commitments</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27,553</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12,777</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1,872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1,820</w:t>
            </w:r>
          </w:p>
        </w:tc>
        <w:tc>
          <w:tcPr>
            <w:tcW w:w="220" w:type="dxa"/>
            <w:vAlign w:val="bottom"/>
          </w:tcPr>
          <w:p>
            <w:pPr>
              <w:jc w:val="right"/>
              <w:ind w:right="5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11,084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60" w:hanging="572"/>
        <w:spacing w:after="0" w:line="258"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several loan and security agreements in China, Taiwan and the U.S. that provide various credit facilities, including lines of credit, term loans and bank acceptance notes. The amount presented in the table represents the principal portion of the obligations.</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entered into various non-cancellable operating lease agreements for our offices in Taiwan and the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the three months ended June 30, 2014, we did not, and we do not currently, have any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In our annual report on Form 10-K for the year ended December 31, 2013, we identified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under long-term construction contracts; allowance for doubtful accounts; inventory reserves; impairment of long-lived assets (excluding goodwill and other indefinite-lived intangible assets); goodwill and other indefinite-lived intangible assets; purchase price allocation of acquisitions; service and product warranties;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ind w:right="60" w:firstLine="441"/>
        <w:spacing w:after="0" w:line="312" w:lineRule="auto"/>
        <w:rPr>
          <w:sz w:val="20"/>
          <w:szCs w:val="20"/>
          <w:color w:val="auto"/>
        </w:rPr>
      </w:pPr>
      <w:r>
        <w:rPr>
          <w:rFonts w:ascii="Arial" w:cs="Arial" w:eastAsia="Arial" w:hAnsi="Arial"/>
          <w:sz w:val="16"/>
          <w:szCs w:val="16"/>
          <w:color w:val="auto"/>
        </w:rPr>
        <w:t>The Jumpstart Our Business Startups Act of 2012, or JOBS Act, contains provisions that, among other things, reduce certain reporting requirements for qualifying public companies. As defined in the JOBS Act, a public company whose initial public offering of common equity securities occurred after December 8, 2011 and whose annual gross revenues are less than $1.0 billion will, in general, qualify as an “emerging growth company” until the earliest of:</w:t>
      </w:r>
    </w:p>
    <w:p>
      <w:pPr>
        <w:spacing w:after="0" w:line="147" w:lineRule="exact"/>
        <w:rPr>
          <w:sz w:val="20"/>
          <w:szCs w:val="20"/>
          <w:color w:val="auto"/>
        </w:rPr>
      </w:pPr>
    </w:p>
    <w:p>
      <w:pPr>
        <w:ind w:left="1080" w:hanging="316"/>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last day of its fiscal year following the fifth anniversary of the date of its initial public offering of common equity securities;</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last day of its fiscal year in which it has annual gross revenue of $1.0 billion or more;</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on which it has, during the previous three-year period, issued more than $1.0 billion in non-convertible debt; and</w:t>
      </w:r>
    </w:p>
    <w:p>
      <w:pPr>
        <w:spacing w:after="0" w:line="252" w:lineRule="exact"/>
        <w:rPr>
          <w:rFonts w:ascii="Arial" w:cs="Arial" w:eastAsia="Arial" w:hAnsi="Arial"/>
          <w:sz w:val="18"/>
          <w:szCs w:val="18"/>
          <w:color w:val="auto"/>
        </w:rPr>
      </w:pPr>
    </w:p>
    <w:p>
      <w:pPr>
        <w:ind w:left="1080" w:right="180" w:hanging="316"/>
        <w:spacing w:after="0" w:line="279"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date on which it is deemed to be a “large accelerated filer,” which will occur at such time as the company (a) has an aggregate worldwide market value of common equity securities held by non-affiliates of $700 million or more as of the last business day of its most recently completed second fiscal quarter, (b) has been required to file annual and quarterly reports under the Exchange Act for a period of at least 12 months and (c) has filed at least one annual report pursuant to the Securities Act of 1934, as amended.</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21" w:name="page22"/>
    <w:bookmarkEnd w:id="21"/>
    <w:p>
      <w:pPr>
        <w:ind w:left="440"/>
        <w:spacing w:after="0"/>
        <w:rPr>
          <w:sz w:val="20"/>
          <w:szCs w:val="20"/>
          <w:color w:val="auto"/>
        </w:rPr>
      </w:pPr>
      <w:r>
        <w:rPr>
          <w:rFonts w:ascii="Arial" w:cs="Arial" w:eastAsia="Arial" w:hAnsi="Arial"/>
          <w:sz w:val="18"/>
          <w:szCs w:val="18"/>
          <w:color w:val="auto"/>
        </w:rPr>
        <w:t>Under this definition, we are an “emerging growth company” and could remain one until as late as December 31, 2018.</w:t>
      </w:r>
    </w:p>
    <w:p>
      <w:pPr>
        <w:spacing w:after="0" w:line="225"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As an “emerging growth company” we have chosen to rely on such exemptions and are therefore not required to, among other things, (i) provide an auditor’s attestation report on our system of internal controls over financial reporting pursuant to Section 404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or PCAOB, regarding mandatory audit firm rotation or a supplement to the auditor’s report providing additional information about the audit and the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74"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Market risk represents the risk of loss that may impact our financial statements through adverse changes in interest rates, foreign exchange rates and inflation. Our market risk exposure results primarily from fluctuations in foreign exchange rates. We manage our exposure to these market risks through our regular operating and financing activities. We have not historically attempted to reduce our market risks through hedging instruments; we may, however, do so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cash equivalents consisted primarily of money market funds, and interest and non-interest bearing bank deposits. Our primary objective is to maintain the security of our principal balances and ensure liquidity. We attempt to maximize the return on these balances without significantly increasing risk, but have little opportunity to do so given the short-term nature of our investments and current interest rate environments. We do not anticipate any material effect on our cash balances or investment portfolio due to fluctuations in interest rates.</w:t>
      </w:r>
    </w:p>
    <w:p>
      <w:pPr>
        <w:spacing w:after="0" w:line="18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are exposed to market risk due to the possibility of changing interest rates associated with certain debt instruments. As of June 30, 2014, a portion of our U.S. debt bears a fixed rate of interest, and a portion of our U.S. debt bears a variable rate of interest that is based on the prime rate. The debt subject to variable rates is subject to fluctuation in the prime rate. As of June 30, 2014, the interest on our China debt varied based on when each term loan is drawn. Once drawn the interest remains fixed for the term of that draw, and is therefore subject to fluctuations. As of June 30, 2014, we had not hedged our interest rate risk.</w:t>
      </w:r>
    </w:p>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With respect to our interest expense for the six months ended June 30, 2014, an increase of 1.0% in each of our interest rates would have resulted in an increase of $0.1 million in our interest expense for such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Rates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operate on an international basis with a portion of our revenue and expenses being incurred in currencies other than the U.S. dollar. Fluctuations in the value of these foreign currencies in which we conduct our business relative to the U.S. dollar affects our results and will cause U.S. dollar translation of such currencies to vary from one period to another. We cannot predict the effect of exchange rate fluctuations upon our future operating results. The effect on our results of operations from currency fluctuations is reduced, because we have revenue and expenses in each of these foreign currencies. We maintain certain assets, including certain bank accounts, accounts receivables, land and building, in RMB and the NT dollar, which are sensitive to foreign currency exchange rate fluctuations. Certain of our current and long-term liabilities are denominated in these currencies. Additionally, the value of the RMB against the U.S. dollar and other currencies fluctuates and is affected by, among other things, changes in political and economic conditions in China. Under China’s current exchange rate regime, the RMB may appreciate or depreciate significantly in value against the U.S. dollar in the medium to long term.</w:t>
      </w:r>
    </w:p>
    <w:p>
      <w:pPr>
        <w:spacing w:after="0" w:line="166" w:lineRule="exact"/>
        <w:rPr>
          <w:sz w:val="20"/>
          <w:szCs w:val="20"/>
          <w:color w:val="auto"/>
        </w:rPr>
      </w:pPr>
    </w:p>
    <w:p>
      <w:pPr>
        <w:ind w:right="120" w:firstLine="648"/>
        <w:spacing w:after="0" w:line="289" w:lineRule="auto"/>
        <w:rPr>
          <w:sz w:val="20"/>
          <w:szCs w:val="20"/>
          <w:color w:val="auto"/>
        </w:rPr>
      </w:pPr>
      <w:r>
        <w:rPr>
          <w:rFonts w:ascii="Arial" w:cs="Arial" w:eastAsia="Arial" w:hAnsi="Arial"/>
          <w:sz w:val="16"/>
          <w:szCs w:val="16"/>
          <w:color w:val="auto"/>
        </w:rPr>
        <w:t>We use the U.S. dollar as our functional and reporting currency for our financial statements. All transactions in currencies other than the U.S. dollar during the year are re-measured at the exchange rates prevailing on the respective relevant dates of such transactions. Monetary assets and liabilities existing at the balance sheet date denominated in currencies other than the U.S. dollar are re-measured at the exchange rates prevailing on such date. Exchange differences are recorded in our consolidated income statement. The financial records of our China subsidiary and our Taiwan location are maintained in their respective local currencies, the RMB and the NT dollar, which are the functional currencies for our China subsidiary and our Taiwan location, respectively. Assets and liabilities are translated at the exchange rates at the balance sheet date, equity accounts are translated at historical exchange rates and revenues, expenses, gains and losses are translated using the average rate for the then current period using a monthly average. Translation adjustments are reported as cumulative translation adjustments and are shown as a separate component of accumulated other comprehensive income in our statement of stockholders’ equity (deficit) and comprehensive income. Transaction gains and losses are recognized in our statements of operations in other income (expense).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2" w:name="page23"/>
    <w:bookmarkEnd w:id="22"/>
    <w:p>
      <w:pPr>
        <w:ind w:right="100" w:firstLine="648"/>
        <w:spacing w:after="0" w:line="257" w:lineRule="auto"/>
        <w:rPr>
          <w:sz w:val="20"/>
          <w:szCs w:val="20"/>
          <w:color w:val="auto"/>
        </w:rPr>
      </w:pPr>
      <w:r>
        <w:rPr>
          <w:rFonts w:ascii="Arial" w:cs="Arial" w:eastAsia="Arial" w:hAnsi="Arial"/>
          <w:sz w:val="18"/>
          <w:szCs w:val="18"/>
          <w:color w:val="auto"/>
        </w:rPr>
        <w:t>During the six months ended June 30, 2014, 5.7% of our revenue was denominated in RMB and no revenue was denominated in NT dollars. In the six months ended June 30, 2014, 16.1% of our operating expenses were denominated in RMB and 28.6% of our operating expenses were denominated in NT dollars. Accordingly, fluctuations in exchange rates directly affect our cost of goods sold and net income, and have a significant impact on our operating margins. If exchange rates for RMB and NT dollars for U.S. dollars were 1% higher during the six months ended June 30, 2014, our operating expenses would have been higher by $0.1 million.</w:t>
      </w:r>
    </w:p>
    <w:p>
      <w:pPr>
        <w:spacing w:after="0" w:line="188"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As of June 30, 2014, we held the U.S. dollar equivalent of approximately $11.1 million in RMB and $0.1 million in NT dollars, including cash and cash equivalents. With respect to our cash and cash equivalents as of June 30, 2014, a 1.0% change in the exchange rates between the RMB and the U.S. dollar or the NT dollar and the U.S. dollar would result in an immaterial change in our total cash and cash equivalents.</w:t>
      </w:r>
    </w:p>
    <w:p>
      <w:pPr>
        <w:spacing w:after="0" w:line="166"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During the six months ended June 30, 2014 and 2013, we recognized an immaterial foreign currency transaction gain and a $0.3 million loss,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believe that the relatively low rate of inflation in the U.S. over the past few years has not had a significant impact on our sales or operating results or on the prices of raw materials. However, an increase in the rate of inflation in the future may have an adverse effect on our levels of gross profit if material prices rise and if sales prices for our products do not proportionately increase. Changes in the proportion of our operations in China or Taiwan may result in the rate of inflation having a more significant impact on our operating results in the future.</w:t>
      </w:r>
    </w:p>
    <w:p>
      <w:pPr>
        <w:spacing w:after="0" w:line="1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29"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78" w:lineRule="exact"/>
        <w:rPr>
          <w:sz w:val="20"/>
          <w:szCs w:val="20"/>
          <w:color w:val="auto"/>
        </w:rPr>
      </w:pPr>
    </w:p>
    <w:p>
      <w:pPr>
        <w:jc w:val="both"/>
        <w:ind w:right="300" w:firstLine="648"/>
        <w:spacing w:after="0" w:line="312"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as of June 30, 2014,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2014, we were not involved in any material pending legal proceedings.</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 factors and all other information contained in this Quarterly Report on Form 10-Q, including our condensed consolidated financial statements and related notes. If any of the following risks actually occur, we may be unable to conduct our business as currently planned and our financial condition and results of operations could be seriously harmed. In addition, the trading price of our common stock could decline due to the occurrence of any of these risks and you may lose all or part of your investment.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Inherent in Our Business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dependent on our key customers for a significant portion of our revenue and the loss of, or a significant reduction in orders from, any of our key customers would adversely impact our revenue and results of operations.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generate much of our revenue from a limited number of customers. In 2011, 2012 and 2013 and the six months ended June 30, 2014, our top ten customers represented 76.6%, 77.6% 76.9% and 85.7% of our revenue, respectively. In 2013, Cisco Systems, Inc. represented 21.8% of our revenue, Amazon represented 18.2% of our revenue and Biogenomics Corp., a distributor, represented 8.7% of our total revenue. For the six months ended June 30, 2014, a data center customer represented 47.1% of our revenue. As a result, the loss of, or a significant reduction in orders from any of our key customers would materially and adversely affect our revenue and results of operations. We typically do not have long-term contracts with our customers and instead rely on recurring purchase orders. If our key customers do not continue to purchase our existing products or fail to purchase additional products from us, our revenue would decline and our results of operations would be adversely affected.</w:t>
      </w:r>
    </w:p>
    <w:p>
      <w:pPr>
        <w:spacing w:after="0" w:line="17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Adverse events affecting our key customers could also negatively affect our ability to retain their business and obtain new purchase orders, which could adversely affect our revenue and results of operations. For example, in recent years, there has been consolidation among various network equipment manufacturers and this trend is expected to continue. We are unable to predict the impact that industry consolidation would have on our existing or potential customers. We may not be able to offset any potential decline in revenue arising from the consolidation of our existing customers with revenue from new customers or additional revenue from the merged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customers do not qualify our products for use on a timely basis, our results of operations may suffer.</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Prior to the sale of new products, our customers typically require us to obtain their approval and qualify our products for use in their applications. Additionally, new customers often audit our manufacturing facilities and perform other evaluations during this process. The qualification process involves product sampling and reliability testing and collaboration with our product management and engineering teams in the design and manufacturing stages. If we are unable to accurately predict the amount of time required to qualify our products with customers, or are unable to qualify our products with certain customers at all, then our ability to generate revenue could be delayed or our revenue would be lower than expected and we may not be able to recover the costs associated with the qualification process or with our product development efforts, which would have an adverse effect on our results of operations.</w:t>
      </w:r>
    </w:p>
    <w:p>
      <w:pPr>
        <w:spacing w:after="0" w:line="16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In addition, due to rapid technological changes in our markets, a customer may cancel or modify a design project before we have qualified our product or begun volume manufacturing of a qualified product. It is unlikely that we would be able to recover the expenses for cancelled or unutilized custom design projects. It is difficult to predict with any certainty whether our customers will delay or terminate product qualification or the frequency with which customers will cancel or modify their projects, but any such delay, cancellation or modification would have a negative effect on our results of operations.</w:t>
      </w:r>
    </w:p>
    <w:p>
      <w:pPr>
        <w:spacing w:after="0" w:line="154"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Our ability to successfully qualify and scale capacity for new technologies and products is important to our ability to grow our business and market presence. If we are unable to qualify and sell any of our new products in volume, on time, or at all, our results of operations may be adversely affected.</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auto"/>
        </w:rPr>
        <w:t>Customer demand is difficult to forecast accurately and, as a result, we may be unable to match production with customer demand.</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make planning and spending decisions, including determining the levels of business that we will seek and accept, production schedules, component procurement commitments, personnel needs and other resource requirements, based on our estimates of product demand and customer requirements. Our products are typically purchased pursuant to individual purchase orders. While our customers may provide us with their demand forecasts, they are typically not contractually committed to buy any quantity of products beyond firm purchase orders. Furthermore, many of our customers may increase, decrease, cancel or delay purchase orders already in place without significant penalty. The short-term nature of commitments by our customers and the possibility of unexpected changes in demand for their products reduce our ability to accurately estimate future customer requirements. On occasion, customers may require rapid increases in production, which can strain our resources, cause our manufacturing to be negatively impacted by materials shortages, necessitate more onerous procurement commitments and reduce our gross margin. We may not have sufficient capacity at any given time to meet the volume demands of our customers, or one or more of our suppliers may not have sufficient capacity at any given time to meet our volume demands. If any of our major customers decrease, stop or delay purchasing our products for any reason, we will likely have excess manufacturing capacity or inventory and our business and results of operations would be harmed.</w:t>
      </w:r>
    </w:p>
    <w:p>
      <w:pPr>
        <w:spacing w:after="0" w:line="18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auto"/>
        </w:rPr>
        <w:t>We are subject to the cyclical nature of the markets in which we compete and any future downturn will likely reduce demand for our products and revenue.</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each of our target markets, including the CATV market, our sales depend on the aggregate capital expenditures of service providers as they build out and upgrade their network infrastructure. These markets are highly cyclical and characterized by constant and rapid technological change, price erosion, evolving standards and wide fluctuations in product supply and demand. In the past, these markets have experienced significant downturns, often connected with, or in anticipation of, the maturation of product cycles. These downturns have been characterized by diminished product demand, production overcapacity, high inventory levels and accelerated erosion of average selling prices. Our historical results of operations have been subject to these cyclical fluctuations, and we may experience substantial period-to-period fluctuations in our future results of operations. Any future downturn in any of the markets in which we compete could significantly reduce the demand for our products and therefore may result in a significant reduction in our revenue. Our revenue and results of operations may be materially and adversely affected in the future due to changes in demand from individual customers or cyclical changes in any of the markets utilizing our products. We may not be able to accurately predict these cyclical fluctuations and the impact of these fluctuations may have on our revenue and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CATV market does not continue to develop as we expect, or if there is any downturn in this market, our business would be adversely affected.</w:t>
      </w:r>
    </w:p>
    <w:p>
      <w:pPr>
        <w:spacing w:after="0" w:line="248" w:lineRule="exact"/>
        <w:rPr>
          <w:sz w:val="20"/>
          <w:szCs w:val="20"/>
          <w:color w:val="auto"/>
        </w:rPr>
      </w:pPr>
    </w:p>
    <w:p>
      <w:pPr>
        <w:ind w:right="60" w:firstLine="648"/>
        <w:spacing w:after="0" w:line="284" w:lineRule="auto"/>
        <w:rPr>
          <w:sz w:val="20"/>
          <w:szCs w:val="20"/>
          <w:color w:val="auto"/>
        </w:rPr>
      </w:pPr>
      <w:r>
        <w:rPr>
          <w:rFonts w:ascii="Arial" w:cs="Arial" w:eastAsia="Arial" w:hAnsi="Arial"/>
          <w:sz w:val="16"/>
          <w:szCs w:val="16"/>
          <w:color w:val="auto"/>
        </w:rPr>
        <w:t>Historically, we have generated much of our revenue from the CATV market. In 2011, 2012, 2013 and the six months ended June 30, 2014, the CATV market represented 81.4%, 78.6%, 60.4% and 35.5% of our revenue, respectively. In the CATV market, we are relying on expected increasing demand for bandwidth-intensive services and applications such as on-demand television programs, high-definition television channels, or HDTV, social media, peer-to-peer file sharing and online video creation and viewing from network service providers. Without network and bandwidth growth, the need for our products will not increase and may decline, adversely affecting our financial condition and results of operations. Although demand for broadband access is increasing, network and bandwidth growth may be limited by several factors, including an uncertain regulatory environment, high infrastructure costs to purchase and install equipment and uncertainty as to which competing content delivery solution, such as telecommunications, wireless or satellite, will gain the most widespread acceptance. CATV network operators may reduce or forego equipment purchases in anticipation of the availability of next generation DOCSIS</w:t>
      </w:r>
    </w:p>
    <w:p>
      <w:pPr>
        <w:spacing w:after="0" w:line="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3.1 solutions that are expected to be available soon, which may adversely affect our sales. If the trend of outsourcing for the design and manufacture of CATV equipment does not continue, or continues at a slower pace than currently expected, our customers’ demand for our design and manufacturing services may not grow as quickly as expected. If expectations for the growth of the CATV market are not realized, our financial condition or results of operations will be adversely affected. In February 2014, Time Warner and Comcast, the two largest CATV providers in the U.S., announced that they agreed to merge. We are unable to predict what impact this transaction, if completed, would have on the CATV market or on our business. In addition, if the CATV market is adversely impacted, whether due to competitive pressure from telecommunication service providers, regulatory changes, or otherwise, our business would be adversely affected. We may not be able to offset any potential decline in revenue from the CATV market with revenue from new customers in other markets.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5" w:name="page26"/>
    <w:bookmarkEnd w:id="25"/>
    <w:p>
      <w:pPr>
        <w:ind w:right="60"/>
        <w:spacing w:after="0" w:line="277" w:lineRule="auto"/>
        <w:rPr>
          <w:sz w:val="20"/>
          <w:szCs w:val="20"/>
          <w:color w:val="auto"/>
        </w:rPr>
      </w:pPr>
      <w:r>
        <w:rPr>
          <w:rFonts w:ascii="Arial" w:cs="Arial" w:eastAsia="Arial" w:hAnsi="Arial"/>
          <w:sz w:val="18"/>
          <w:szCs w:val="18"/>
          <w:b w:val="1"/>
          <w:bCs w:val="1"/>
          <w:i w:val="1"/>
          <w:iCs w:val="1"/>
          <w:color w:val="auto"/>
        </w:rPr>
        <w:t>We have limited operating history in the FTTH and internet data center markets, and our business could be harmed if these markets do not develop as we expect.</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For the six months ended June 30, 2014, we generated 51% and 9% of our revenue from the data center and FTTH markets, respectively. We have only recently begun offering products to the FTTH market. Our business in these markets is dependent on the deployment of our optical components, modules and subassemblies. In the FTTH market, we are relying on increasing demand for bandwidth-intensive services and telecommunications service providers’ acceptance and deployment of WDM-PON as a technology supporting 1 gigabit per second service to the home. In the internet data center market, we are relying on the emergence of new internet data center providers and their adoption of open internet data center architectures that use a mix of systems and components from a variety of vendors, including non-traditional equipment vendors. Without network and bandwidth growth and adoption of our solutions by operators in these markets, we will not be able to sell our products in these markets in high volume or at our targeted margins, which would adversely affect our financial condition and results of operations. For example, WDM-PON technology may not be adopted by equipment and service providers in the FTTH market as rapidly as we expect or in the volumes we need to achieve acceptable margins, and internet data centers may elect to use larger vendors that require internet data center operators to purchase the optical modules for their systems from such larger vendors. Also, internet data centers may not expand as much or as quickly as expected and any slowdown in expansion could adversely impact our business and growth prospects. Network and bandwidth growth may be limited by several factors, including an uncertain regulatory environment, high infrastructure costs to purchase and install equipment and uncertainty as to which competing content delivery solution, such as CATV, will gain the most widespread acceptance. In addition, as we enter new markets or expand our product offerings in existing markets, our margins may be adversely affected due to competition in those markets and commoditization of competing products. If our expectations for the growth of these markets are not realized, our financial condition or results of operations will be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encounter manufacturing problems, we may lose sales and damage our customer relationships.</w:t>
      </w:r>
    </w:p>
    <w:p>
      <w:pPr>
        <w:spacing w:after="0" w:line="22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may experience delays, disruptions or quality control problems in our manufacturing operations. These and other factors may cause less than acceptable yields at our wafer fabrication facility. Manufacturing yields depend on a number of factors, including the quality of available raw materials, the degradation or change in equipment calibration and the rate and timing of the introduction of new products. Changes in manufacturing processes required as a result of changes in product specifications, changing customer needs and the introduction of new product lines may significantly reduce our manufacturing yields, resulting in low or negative margins on those products. In addition, we use an MBE fabrication process to make our lasers, rather than Metal Organic Chemical Vapor Deposition, or MOCVD, the technique most commonly used in optical manufacturing by communications optics vendors, and our Molecular Beam Epitaxy, or MBE, fabrication process relies on custom-manufactured equipment. If our MBE fabrication facility in Sugar Land, Texas were to be damaged or destroyed for any reason, our manufacturing process would be severely disrupted. Any such manufacturing problems would likely delay product shipments to our customers, which would negatively affect our sales, competitive position and reputation. We may also experience delays in production, typically in February, during the Chinese New Year holiday when our facilities in China and Taiwan are closed.</w:t>
      </w:r>
    </w:p>
    <w:p>
      <w:pPr>
        <w:spacing w:after="0" w:line="1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must continually develop successful new products and enhance existing products, and if we fail to do so or if our release of new or enhanced products is delayed, our business may be harmed.</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The markets for our products are characterized by frequent new product introductions, changes in customer requirements and evolving industry standards, all with an underlying pressure to reduce cost and meet stringent reliability and qualification requirements. Our future performance will depend on our successful development, introduction and market acceptance of new and enhanced products that address these challenges. If we are unable to make our new or enhanced products commercially available on a timely basis, we may lose existing and potential customers and our financial results would suffer.</w:t>
      </w:r>
    </w:p>
    <w:p>
      <w:pPr>
        <w:spacing w:after="0" w:line="154"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In addition, due to the costs and length of research, development and manufacturing process cycles, we may not recognize revenue from new products until long after such expenditures, if at all, and our margins may decrease if our costs are higher than expected, adversely affecting our financial condition and results of operation.</w:t>
      </w:r>
    </w:p>
    <w:p>
      <w:pPr>
        <w:spacing w:after="0" w:line="18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Although the length of our product development cycle varies widely by product and customer, it may take 18 months or longer before we receive our first order. As a result, we may incur significant expenses long before customers accept and purchase our products.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Product development delays may result from numerous factors, including:</w:t>
      </w:r>
    </w:p>
    <w:p>
      <w:pPr>
        <w:spacing w:after="0" w:line="225" w:lineRule="exact"/>
        <w:rPr>
          <w:sz w:val="20"/>
          <w:szCs w:val="20"/>
          <w:color w:val="auto"/>
        </w:rPr>
      </w:pPr>
    </w:p>
    <w:p>
      <w:pPr>
        <w:ind w:left="1380" w:hanging="319"/>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modification of product specifications and customer requirements;</w:t>
      </w:r>
    </w:p>
    <w:p>
      <w:pPr>
        <w:spacing w:after="0" w:line="23" w:lineRule="exact"/>
        <w:rPr>
          <w:rFonts w:ascii="Arial" w:cs="Arial" w:eastAsia="Arial" w:hAnsi="Arial"/>
          <w:sz w:val="18"/>
          <w:szCs w:val="18"/>
          <w:color w:val="auto"/>
        </w:rPr>
      </w:pPr>
    </w:p>
    <w:p>
      <w:pPr>
        <w:ind w:left="1380" w:hanging="319"/>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engineering complexities;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reallocating engineering resources and overcoming resource limitations; and</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rapidly changing technology or competitive product requirements.</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introduction of new products by us or our competitors could result in a slowdown in demand for our existing products and could result in a write-down in the value of our inventory. We have in the past experienced a slowdown in demand for existing products and delays in new product development, and such delays will likely occur in the future. To the extent we experience product development delays for any reason or we fail to qualify our products and obtain their approval for use, which we refer to as a design win, our competitive position would be adversely affected and our ability to grow our revenue would be impaired.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6" w:name="page27"/>
    <w:bookmarkEnd w:id="26"/>
    <w:p>
      <w:pPr>
        <w:ind w:right="140" w:firstLine="648"/>
        <w:spacing w:after="0" w:line="264" w:lineRule="auto"/>
        <w:rPr>
          <w:sz w:val="20"/>
          <w:szCs w:val="20"/>
          <w:color w:val="auto"/>
        </w:rPr>
      </w:pPr>
      <w:r>
        <w:rPr>
          <w:rFonts w:ascii="Arial" w:cs="Arial" w:eastAsia="Arial" w:hAnsi="Arial"/>
          <w:sz w:val="18"/>
          <w:szCs w:val="18"/>
          <w:color w:val="auto"/>
        </w:rPr>
        <w:t>Furthermore, our ability to enter a market with new products in a timely manner can be critical to our success because it is difficult to displace an existing supplier for a particular type of product once a customer has chosen a supplier, even if a later-to-market product provides better performance or cost efficiency.</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development of new, technologically advanced products is a complex and uncertain process requiring frequent innovation, highly-skilled engineering and development personnel and significant capital, as well as the accurate anticipation of technological and market trends. We cannot assure you that we will be able to identify, develop, manufacture, market or support new or enhanced products successfully or on a timely basis. Further, we cannot assure you that our new products will gain market acceptance or that we will be able to respond effectively to product introductions by competitors, technological changes or emerging industry standards. We also may not be able to develop the underlying core technologies necessary to create new products and enhancements, license these technologies from third parties, or remain competitive in our markets.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costs and shifts in product mix may adversely impact our gross margins.</w:t>
      </w:r>
    </w:p>
    <w:p>
      <w:pPr>
        <w:spacing w:after="0" w:line="225" w:lineRule="exact"/>
        <w:rPr>
          <w:sz w:val="20"/>
          <w:szCs w:val="20"/>
          <w:color w:val="auto"/>
        </w:rPr>
      </w:pPr>
    </w:p>
    <w:p>
      <w:pPr>
        <w:ind w:right="200" w:firstLine="648"/>
        <w:spacing w:after="0" w:line="297" w:lineRule="auto"/>
        <w:rPr>
          <w:sz w:val="20"/>
          <w:szCs w:val="20"/>
          <w:color w:val="auto"/>
        </w:rPr>
      </w:pPr>
      <w:r>
        <w:rPr>
          <w:rFonts w:ascii="Arial" w:cs="Arial" w:eastAsia="Arial" w:hAnsi="Arial"/>
          <w:sz w:val="16"/>
          <w:szCs w:val="16"/>
          <w:color w:val="auto"/>
        </w:rPr>
        <w:t>Our gross margins on individual products and among products fluctuate over each product’s life cycle. Our overall gross margins have fluctuated from period to period as a result of shifts in product mix, the introduction of new products, decreases in average selling prices and our ability to reduce product costs, and these fluctuations are expected to continue in the future. We may not be able to accurately predict our product mix from period to period, and as a result we may not be able to forecast accurately our overall gross margins. The rate of increase in our costs and expenses may exceed the rate of increase in our revenue, either of which would materially and adversely affect our business, our results of operations and our financial condition.</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Given the high fixed costs associated with our vertically integrated business, a reduction in demand for our products will likely adversely impact our gross profits and our results of operations.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have a high fixed cost base due to our vertically integrated business model, including the fact that 938 of our employees as of December 31, 2013 were employed in manufacturing and research and development operations. We may not be able to adjust these fixed costs quickly to adapt to rapidly changing market conditions. Our gross profit and gross margin are greatly affected by our sales volume and volatility on a quarterly basis and the corresponding absorption of fixed manufacturing overhead expenses. In addition, because we are a vertically integrated manufacturer, insufficient demand for our products may subject us to the risk of high inventory carrying costs and increased inventory obsolescence. Given our vertical integration, the rate at which we turn inventory has historically been low when compared to our cost of sales. We do not expect this to change significantly in the future and believe that we will have to maintain a relatively high level of inventory compared to our cost of sales. As a result, we continue to expect to have a significant amount of working capital invested in inventory. We may be required to write down inventory costs in the future and our high inventory costs may have an adverse effect on our gross profits and our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losses which may continue in the future.</w:t>
      </w:r>
    </w:p>
    <w:p>
      <w:pPr>
        <w:spacing w:after="0" w:line="22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We have a history of losses and we may incur additional losses in future periods. In the years ended December 31, 2011, 2012 and 2013, we experienced net losses of $5.3 million, $0.9 million and $1.4 million, respectively. As of December 31, 2013 and June 30, 2014, our accumulated deficit was $83.3 million and $81.2 million, respectively. These losses were due to expenditures made to expand our business, including expenditures for hiring additional research and development, and sales and marketing personnel, and expenditures to expand and maintain our manufacturing facilities and research and development operations. We expect to continue to make significant expenditures related to our business, including expenditures for hiring additional research and development, and sales and marketing personnel, and expenditures to maintain and expand our manufacturing facilities and research and development operations. In addition, we have incurred significant additional time demands and legal, accounting and other expenses since we became a public company in September 2013. Our management and other personnel devote a substantial amount of time to complying with the applicable rules and requirements of being a public company.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financial results may vary significantly from quarter-to-quarter due to a number of factors, which may lead to volatility in our stock price.</w:t>
      </w:r>
    </w:p>
    <w:p>
      <w:pPr>
        <w:spacing w:after="0" w:line="237"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Our quarterly revenue and operating results have varied in the past and will likely continue to vary significantly from quarter to quarter. This variability may lead to volatility in our stock price as research analysts and investors respond to these quarterly fluctuations. These fluctuations are due to numerous factors, including:</w:t>
      </w:r>
    </w:p>
    <w:p>
      <w:pPr>
        <w:spacing w:after="0" w:line="181" w:lineRule="exact"/>
        <w:rPr>
          <w:sz w:val="20"/>
          <w:szCs w:val="20"/>
          <w:color w:val="auto"/>
        </w:rPr>
      </w:pPr>
    </w:p>
    <w:p>
      <w:pPr>
        <w:ind w:left="1380" w:hanging="319"/>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size and mix of sales of our products;</w:t>
      </w:r>
    </w:p>
    <w:p>
      <w:pPr>
        <w:spacing w:after="0" w:line="23" w:lineRule="exact"/>
        <w:rPr>
          <w:rFonts w:ascii="Arial" w:cs="Arial" w:eastAsia="Arial" w:hAnsi="Arial"/>
          <w:sz w:val="18"/>
          <w:szCs w:val="18"/>
          <w:color w:val="auto"/>
        </w:rPr>
      </w:pPr>
    </w:p>
    <w:p>
      <w:pPr>
        <w:ind w:left="1380" w:hanging="319"/>
        <w:spacing w:after="0"/>
        <w:tabs>
          <w:tab w:leader="none" w:pos="1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fluctuations in demand for our products, including the increase, decrease, rescheduling or cancellation of significant customer orders;</w:t>
      </w:r>
    </w:p>
    <w:p>
      <w:pPr>
        <w:spacing w:after="0" w:line="20" w:lineRule="exact"/>
        <w:rPr>
          <w:rFonts w:ascii="Arial" w:cs="Arial" w:eastAsia="Arial" w:hAnsi="Arial"/>
          <w:sz w:val="17"/>
          <w:szCs w:val="17"/>
          <w:color w:val="auto"/>
        </w:rPr>
      </w:pPr>
    </w:p>
    <w:p>
      <w:pPr>
        <w:ind w:left="1380" w:right="400" w:hanging="319"/>
        <w:spacing w:after="0" w:line="250" w:lineRule="auto"/>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design, manufacture and deliver products to our customers in a timely and cost-effective manner and that meet customer requirements;</w:t>
      </w:r>
    </w:p>
    <w:p>
      <w:pPr>
        <w:ind w:left="1380" w:hanging="319"/>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new product introductions and enhancements by us or our competitors;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gain or loss of key customers;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rate at which our present and potential customers and end users adopt our technologies;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pricing and sales policies or the pricing and sales policies of our competitors;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27" w:name="page28"/>
    <w:bookmarkEnd w:id="27"/>
    <w:p>
      <w:pPr>
        <w:ind w:left="1380" w:hanging="319"/>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quality control or yield problems in our manufacturing operations;</w:t>
      </w:r>
    </w:p>
    <w:p>
      <w:pPr>
        <w:spacing w:after="0" w:line="23" w:lineRule="exact"/>
        <w:rPr>
          <w:rFonts w:ascii="Arial" w:cs="Arial" w:eastAsia="Arial" w:hAnsi="Arial"/>
          <w:sz w:val="18"/>
          <w:szCs w:val="18"/>
          <w:color w:val="auto"/>
        </w:rPr>
      </w:pPr>
    </w:p>
    <w:p>
      <w:pPr>
        <w:ind w:left="1380" w:hanging="319"/>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length and variability of the sales cycles of our products;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unanticipated increases in costs or expenses;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different capital expenditure and budget cycles for our customers, affecting the timing of their spending for our products;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stability in the areas of the world in which we operate;</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accounting rules;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evolving and unpredictable nature of the markets for products incorporating our solutions; and</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conditions and changes in such conditions specific to our target markets.</w:t>
      </w:r>
    </w:p>
    <w:p>
      <w:pPr>
        <w:spacing w:after="0" w:line="21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foregoing factors are difficult to forecast, and these, as well as other factors, could materially adversely affect our quarterly and annual operating results. In addition, a significant amount of our operating expenses is relatively fixed in nature due to our internal manufacturing, research and development, sales and general administrative efforts. Any failure to adjust spending quickly enough to compensate for a revenue shortfall could magnify the adverse impact of such revenue shortfall on our results of operations. For these reasons, you should not rely on quarter-to-quarter comparisons of our results of operations as an indicator of future performance. Moreover, our operating results may not meet our announced guidance or the expectations of research analysts or investors, in which case the price of our common stock could decrease significantly. There can be no assurance that we will be able to successfully address these risks.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intense competition which could negatively impact our results of operations and market share.</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markets into which we sell our products are highly competitive. Our competitors range from large, international companies offering a wide range of products to smaller companies specializing in niche markets. Current and potential competitors may have substantially greater name recognition, financial, marketing, research and manufacturing resources than we do, and there can be no assurance that our current and future competitors will not be more successful than us in specific product lines or markets. Some of our competitors may also have better-established relationships with our current or potential customers. Some of our competitors have more resources to develop or acquire new products and technologies and create market awareness for their products and technologies. In addition, some of our competitors have the financial resources to offer competitive products at below-market pricing levels that could prevent us from competing effectively and result in a loss of sales or market share or cause us to lower prices for our products. In recent years, there has been consolidation in our industry and we expect such consolidation to continue. Consolidation involving our competitors could result in even more intense competition. Network equipment manufacturers, who are our customers, and network service providers may decide to manufacture the optical subsystems incorporated into their network systems in-house instead of outsourcing such products to companies such as us. We also encounter potential customers that, because of existing relationships with our competitors, are committed to the products offered by our competitors.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key personnel to develop and maintain our technology and manage our business in a rapidly changing market.</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continued services of our executive officers and other key engineering, sales, marketing, manufacturing and support personnel is essential to our success. For example, our ability to achieve new design wins depends upon the experience and expertise of our engineers. Any of our key employees, including our Chief Executive Officer, Chief Financial Officer, Chief Strategy Officer, Senior Vice President of Network Equipment Module Business Unit and Asia General Manager, may resign at any time. We do not have key person life insurance policies covering any of our employees. To implement our business plan, we also intend to hire additional employees, particularly in the areas of engineering and manufacturing. Our ability to continue to attract and retain highly skilled employees is a critical factor in our success. Competition for highly skilled personnel is intense. We may not be successful in attracting, assimilating or retaining qualified personnel to satisfy our current or future needs. Our ability to develop, manufacture and sell our products, and thus our financial condition and results of operations, would be adversely affected if we are unable to retain existing personnel or hire additional qualified personnel.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suppliers and any supply interruption could have an adverse effect on our business.</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depend on a limited number of suppliers for certain raw materials and components used in our products. Some of these suppliers could disrupt our business if they stop, decrease or delay shipments or if the materials or components they ship have quality or reliability issues. Some of the raw materials and components we use in our products are available only from a sole source or have been qualified only from a single supplier. Furthermore, other than our current suppliers, there are a limited number of entities from whom we could obtain certain materials and components. We may also face shortages if we experience increased demand for materials or components beyond what our qualified suppliers can deliver. Our inability to obtain sufficient quantities of critical materials or components could adversely affect our ability to meet demand for our products, adversely affecting our financial condition and results of operation.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8" w:name="page29"/>
    <w:bookmarkEnd w:id="28"/>
    <w:p>
      <w:pPr>
        <w:ind w:right="20" w:firstLine="648"/>
        <w:spacing w:after="0" w:line="297" w:lineRule="auto"/>
        <w:rPr>
          <w:sz w:val="20"/>
          <w:szCs w:val="20"/>
          <w:color w:val="auto"/>
        </w:rPr>
      </w:pPr>
      <w:r>
        <w:rPr>
          <w:rFonts w:ascii="Arial" w:cs="Arial" w:eastAsia="Arial" w:hAnsi="Arial"/>
          <w:sz w:val="16"/>
          <w:szCs w:val="16"/>
          <w:color w:val="auto"/>
        </w:rPr>
        <w:t>We typically have not entered into long-term agreements with our suppliers and, therefore, our suppliers could stop supplying materials and components to us at any time or fail to supply adequate quantities of materials or components to us on a timely basis. It is difficult, costly, time consuming and, on short notice, sometimes impossible for us to identify and qualify new suppliers. Our customers generally restrict our ability to change the components in our products. For more critical components, any changes may require repeating the entire qualification process. Our reliance on a limited number of suppliers or a single qualified vendor may result in delivery and quality problems, and reduced control over product pricing, reliability and performance.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products could contain defects that may cause us to incur significant costs or result in a loss of customers.</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products are complex and undergo quality testing as well as formal qualification by our customers. Our customers’ testing procedures are limited to evaluating our products under likely and foreseeable failure scenarios and over varying amounts of time. For various reasons, such as the occurrence of performance problems that are unforeseeable in testing or that are detected only when products age or are operated under peak stress conditions, our products may fail to perform as expected long after customer acceptance. Failures could result from faulty components or design, problems in manufacturing or other unforeseen reasons. As a result, we could incur significant costs to repair or replace defective products under warranty, particularly when such failures occur in installed systems. Our products are typically embedded in, or deployed in conjunction with, our customers’ products, which incorporate a variety of components, modules and subsystems and may be expected to interoperate with modules produced by third parties. As a result, not all defects are immediately detectable and when problems occur, it may be difficult to identify the source of the problem. While we have not experienced material failures in the past, we will continue to face this risk going forward because our products are widely deployed in many demanding environments and applications worldwide. In addition, we may in certain circumstances honor warranty claims after the warranty has expired or for problems not covered by warranty to maintain customer relationships. Any significant product failure could result in litigation, damages, repair costs and lost future sales of the affected product and other products, divert the attention of our engineering personnel from our product development efforts and cause significant customer relations problems, all of which would harm our business. Although we carry product liability insurance, this insurance may not adequately cover our costs arising from defects in our products or otherwise.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variety of risks associated with our international sales and operations.</w:t>
      </w:r>
    </w:p>
    <w:p>
      <w:pPr>
        <w:spacing w:after="0" w:line="22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currently derive, and expect to continue to derive, a significant portion of our revenue from sales to international customers. In 2011, 2012 and 2013, 52.2%, 55.7% and 41.0% of our revenue was derived from sales that occurred outside of North America, respectively. In addition, a significant portion of our manufacturing operations is based in Ningbo, China and Taipei, Taiwan. Our international revenue and operations are subject to a number of material risks, including:</w:t>
      </w:r>
    </w:p>
    <w:p>
      <w:pPr>
        <w:spacing w:after="0" w:line="187" w:lineRule="exact"/>
        <w:rPr>
          <w:sz w:val="20"/>
          <w:szCs w:val="20"/>
          <w:color w:val="auto"/>
        </w:rPr>
      </w:pPr>
    </w:p>
    <w:p>
      <w:pPr>
        <w:ind w:left="1380" w:hanging="319"/>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staffing, managing and supporting operations in more than one country;</w:t>
      </w:r>
    </w:p>
    <w:p>
      <w:pPr>
        <w:spacing w:after="0" w:line="23" w:lineRule="exact"/>
        <w:rPr>
          <w:rFonts w:ascii="Arial" w:cs="Arial" w:eastAsia="Arial" w:hAnsi="Arial"/>
          <w:sz w:val="18"/>
          <w:szCs w:val="18"/>
          <w:color w:val="auto"/>
        </w:rPr>
      </w:pPr>
    </w:p>
    <w:p>
      <w:pPr>
        <w:ind w:left="1380" w:hanging="319"/>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fewer legal protections for intellectual property in foreign jurisdictions;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and U.S. taxation issues and international trade barriers;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difficulties in obtaining any necessary governmental authorizations for the export of our products to certain foreign jurisdictions;</w:t>
      </w:r>
    </w:p>
    <w:p>
      <w:pPr>
        <w:spacing w:after="0" w:line="20" w:lineRule="exact"/>
        <w:rPr>
          <w:rFonts w:ascii="Arial" w:cs="Arial" w:eastAsia="Arial" w:hAnsi="Arial"/>
          <w:sz w:val="17"/>
          <w:szCs w:val="17"/>
          <w:color w:val="auto"/>
        </w:rPr>
      </w:pPr>
    </w:p>
    <w:p>
      <w:pPr>
        <w:ind w:left="1380" w:hanging="319"/>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foreign economies;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the value of foreign currencies and interest rates;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and travel restrictions;</w:t>
      </w:r>
    </w:p>
    <w:p>
      <w:pPr>
        <w:spacing w:after="0" w:line="9" w:lineRule="exact"/>
        <w:rPr>
          <w:rFonts w:ascii="Arial" w:cs="Arial" w:eastAsia="Arial" w:hAnsi="Arial"/>
          <w:sz w:val="18"/>
          <w:szCs w:val="18"/>
          <w:color w:val="auto"/>
        </w:rPr>
      </w:pPr>
    </w:p>
    <w:p>
      <w:pPr>
        <w:ind w:left="1380" w:right="240" w:hanging="319"/>
        <w:spacing w:after="0" w:line="250"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domestic and international economic or political changes, hostilities and other disruptions in regions where we currently operate or may operate in the future;</w:t>
      </w:r>
    </w:p>
    <w:p>
      <w:pPr>
        <w:ind w:left="1380" w:right="320" w:hanging="319"/>
        <w:spacing w:after="0" w:line="250" w:lineRule="auto"/>
        <w:tabs>
          <w:tab w:leader="none" w:pos="1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increased expenses in complying with a variety of U.S. and foreign laws, regulations and trade standards, including the Foreign Corrupt Practices Act; and</w:t>
      </w:r>
    </w:p>
    <w:p>
      <w:pPr>
        <w:ind w:left="1380" w:hanging="319"/>
        <w:spacing w:after="0"/>
        <w:tabs>
          <w:tab w:leader="none" w:pos="1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different and changing legal and regulatory requirements in the jurisdictions in which we currently operate or may operate in the future.</w:t>
      </w:r>
    </w:p>
    <w:p>
      <w:pPr>
        <w:spacing w:after="0" w:line="23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Negative developments in any of these factors in China or Taiwan or other countries could result in a reduction in demand for our products, the cancellation or delay of orders already placed, difficulties in producing and delivering our products, threats to our intellectual property, difficulty in collecting receivables, and a higher cost of doing business. Although we maintain certain compliance programs throughout the company, violations of U.S. and foreign laws and regulations may result in criminal or civil sanctions, including material monetary fines, penalties and other costs against us or our employees, and may have a material adverse effect on our business.</w:t>
      </w:r>
    </w:p>
    <w:p>
      <w:pPr>
        <w:spacing w:after="0" w:line="18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business operations conducted in China and Taiwan are important to our success. A substantial portion of our property, plant and equipment is located in China and Taiwan. We expect to make further investments in China and Taiwan in the future. Therefore, our business, financial condition, results of operations and prospects are subject to economic, political, legal, and social events and developments in China and Taiwan. China does not recognize the sovereignty of Taiwan. Although significant economic and cultural relations have been established during recent years between China and Taiwan, relations have often been strained and the government of China has previously threatened to use military force to gain control over Taiwan. Factors affecting military, political or economic conditions in China and Taiwan could have a material adverse effect on our financial condition and results of operations, as well as the market price and the liquidity of our common shares.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9" w:name="page30"/>
    <w:bookmarkEnd w:id="29"/>
    <w:p>
      <w:pPr>
        <w:ind w:right="40"/>
        <w:spacing w:after="0" w:line="277" w:lineRule="auto"/>
        <w:rPr>
          <w:sz w:val="20"/>
          <w:szCs w:val="20"/>
          <w:color w:val="auto"/>
        </w:rPr>
      </w:pPr>
      <w:r>
        <w:rPr>
          <w:rFonts w:ascii="Arial" w:cs="Arial" w:eastAsia="Arial" w:hAnsi="Arial"/>
          <w:sz w:val="18"/>
          <w:szCs w:val="18"/>
          <w:b w:val="1"/>
          <w:bCs w:val="1"/>
          <w:i w:val="1"/>
          <w:iCs w:val="1"/>
          <w:color w:val="auto"/>
        </w:rPr>
        <w:t>In some instances, we rely on third parties to assist in selling our products, and the failure of those parties to perform as expected could reduce our future revenue.</w:t>
      </w:r>
    </w:p>
    <w:p>
      <w:pPr>
        <w:spacing w:after="0" w:line="170"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Although we primarily sell our products through direct sales, we also sell our products to some of our customers through third party sales representatives and distributors. Many of such third parties also market and sell products from our competitors. Our third party sales representatives and distributors may terminate their relationships with us at any time, or with short notice. Our future performance will also depend, in part, on our ability to attract additional third party sales representatives and distributors that will be able to market and support our products effectively, especially in markets in which we have not previously distributed our products. If our current third party sales representatives and distributors fail to perform as expected, our revenue and results of operations could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manage our growth effectively may adversely affect our financial condition and results of operations.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Successful implementation of our business plan in our target markets requires effective planning and management. Our production volumes are increasing significantly and we have announced plans to increase our production capacity in response to demand for our products, adding both personnel as well as expanding our physical manufacturing facilities. We currently operate facilities in Sugar Land, Texas, Ningbo, China and Taipei, Taiwan. We currently manufacture our lasers using a proprietary process and customized equipment located only in our Sugar Land, Texas facility, and it will be costly to duplicate that facility, to scale our laser manufacturing capacity or to mitigate the risks associated with operating a single facility. The challenges of managing our geographically dispersed operations have increased and will continue to increase the demand on our management systems and resources. Moreover, we are continuing to improve our financial and managerial controls, reporting systems and procedures. Any failure to manage our expansion and the resulting demands on our management systems and resources effectively may adversely affect our financial condition and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loan agreements contain restrictive covenants that may adversely affect our ability to conduct our business.</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have lending arrangements with several financial institutions, including loan agreements with East West Bank in the U.S., and our Taiwan location and China subsidiary has several lines of credit arrangements. Our loan agreements governing our long-term debt obligations in the U.S. contain certain financial and operating covenants that limit our management’s discretion with respect to certain business matters. Among other things, these covenants require us to maintain certain financial ratios and restrict our ability to incur additional debt, create liens or other encumbrances, change the nature of our business, pay dividends, sell or otherwise dispose of assets and merge or consolidate with other entities. These restrictions may limit our flexibility in responding to business opportunities, competitive developments and adverse economic or industry conditions. Any failure by us or our subsidiaries to comply with these agreements could harm our business, financial condition and operating results. In addition, our obligations under our U.S. loan agreements with East West Bank are secured by substantially all of our U.S. assets, including our intellectual property assets, our Sugar Land facility and our equity interests in our subsidiaries, which limits our ability to provide collateral for additional financing. A breach of any of covenants under our loan agreements, or a failure to pay interest or indebtedness when due under any of our credit facilities, could result in a variety of adverse consequences, including the acceleration of our indebtedness.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We operate in a market that makes our prospects difficult to evaluate and, to remain competitive, we will be required to make continued investments in capital equipment, facilities and technological improvements. We expect that substantial capital will be required to expand our manufacturing capacity and fund working capital for anticipated growth. If we do not generate sufficient cash flow from operations or otherwise have the capital resources to meet our future capital needs, we may need additional financing to implement our business strategy, which includes:</w:t>
      </w:r>
    </w:p>
    <w:p>
      <w:pPr>
        <w:spacing w:after="0" w:line="171" w:lineRule="exact"/>
        <w:rPr>
          <w:sz w:val="20"/>
          <w:szCs w:val="20"/>
          <w:color w:val="auto"/>
        </w:rPr>
      </w:pPr>
    </w:p>
    <w:p>
      <w:pPr>
        <w:ind w:left="1380" w:hanging="319"/>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expansion of research and development;</w:t>
      </w:r>
    </w:p>
    <w:p>
      <w:pPr>
        <w:spacing w:after="0" w:line="23" w:lineRule="exact"/>
        <w:rPr>
          <w:rFonts w:ascii="Arial" w:cs="Arial" w:eastAsia="Arial" w:hAnsi="Arial"/>
          <w:sz w:val="18"/>
          <w:szCs w:val="18"/>
          <w:color w:val="auto"/>
        </w:rPr>
      </w:pPr>
    </w:p>
    <w:p>
      <w:pPr>
        <w:ind w:left="1380" w:hanging="319"/>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expansion of manufacturing capabilities;</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hiring of additional technical, sales and other personnel; and</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acquisitions of complementary businesses.</w:t>
      </w:r>
    </w:p>
    <w:p>
      <w:pPr>
        <w:spacing w:after="0" w:line="21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If we raise additional funds through the issuance of our common stock or convertible securities, the ownership interests of our stockholders could be significantly diluted. These newly issued securities may have rights, preferences or privileges senior to those of existing stockholders. Additional financing may not, however, be available on terms favorable to us, or at all, if and when needed, and our ability to fund our operations, take advantage of unanticipated opportunities, develop or enhance our infrastructure or respond to competitive pressures could be significantly limited. If we cannot raise required capital when needed, we may be unable to meet the demands of existing and prospective customers, adversely affecting our sales and market opportunities and consequently our business, financial condition and results of operations.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Future acquisitions may adversely affect our financial condition and results of operations.</w:t>
      </w:r>
    </w:p>
    <w:p>
      <w:pPr>
        <w:spacing w:after="0" w:line="225"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As part of our business strategy, we may pursue acquisitions of companies that we believe could enhance or complement our current product portfolio, augment our technology roadmap or diversify our revenue base. Acquisitions involve numerous risks, any of which could harm our business, including:</w:t>
      </w:r>
    </w:p>
    <w:p>
      <w:pPr>
        <w:spacing w:after="0" w:line="181" w:lineRule="exact"/>
        <w:rPr>
          <w:sz w:val="20"/>
          <w:szCs w:val="20"/>
          <w:color w:val="auto"/>
        </w:rPr>
      </w:pPr>
    </w:p>
    <w:p>
      <w:pPr>
        <w:ind w:left="1380" w:hanging="319"/>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integrating the acquired business;</w:t>
      </w:r>
    </w:p>
    <w:p>
      <w:pPr>
        <w:spacing w:after="0" w:line="23" w:lineRule="exact"/>
        <w:rPr>
          <w:rFonts w:ascii="Arial" w:cs="Arial" w:eastAsia="Arial" w:hAnsi="Arial"/>
          <w:sz w:val="18"/>
          <w:szCs w:val="18"/>
          <w:color w:val="auto"/>
        </w:rPr>
      </w:pPr>
    </w:p>
    <w:p>
      <w:pPr>
        <w:ind w:left="1380" w:hanging="319"/>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costs, capital expenditures or liabilities or changes related to research in progress and product development;</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financial and management resources from our existing business;</w:t>
      </w:r>
    </w:p>
    <w:p>
      <w:pPr>
        <w:spacing w:after="0" w:line="9" w:lineRule="exact"/>
        <w:rPr>
          <w:rFonts w:ascii="Arial" w:cs="Arial" w:eastAsia="Arial" w:hAnsi="Arial"/>
          <w:sz w:val="18"/>
          <w:szCs w:val="18"/>
          <w:color w:val="auto"/>
        </w:rPr>
      </w:pPr>
    </w:p>
    <w:p>
      <w:pPr>
        <w:ind w:left="1380" w:right="680" w:hanging="319"/>
        <w:spacing w:after="0" w:line="250" w:lineRule="auto"/>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integrating the business relationships with suppliers and customers of the acquired business with our existing business relationships;</w:t>
      </w:r>
    </w:p>
    <w:p>
      <w:pPr>
        <w:ind w:left="1380" w:hanging="319"/>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associated with entering markets in which we have little or no prior experience; and</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organizations.</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Acquisitions may also result in the recording of goodwill and other intangible assets subject to potential impairment in the future, adversely affecting our operating results. We may not achieve the anticipated benefits of an acquisition if we fail to evaluate it properly, and we may incur costs in excess of what we anticipate. A failure to evaluate and execute an acquisition appropriately or otherwise adequately address these risks may adversely affect our financial condition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results of operations may be subject to volatility as a result of exposure to fluctuations in currency exchange rates.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have significant foreign currency exposure, and are affected by fluctuations among the U.S. dollar, the Chinese renminbi, or RMB, and the New Taiwan, or NT dollar, because a substantial portion of our business is conducted in China and Taiwan. Our sales, raw materials, components and capital expenditures are denominated in U.S. dollars, RMB and NT dollars in varying amounts.</w:t>
      </w:r>
    </w:p>
    <w:p>
      <w:pPr>
        <w:spacing w:after="0" w:line="18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Foreign currency fluctuations may adversely affect our revenue and our costs and expenses, and hence our results of operations. The value of the NT dollar or the RMB against the U.S. dollar and other currencies may fluctuate and be affected by, among other things, changes in political and economic conditions. The RMB currency is no longer being pegged solely to the value of the U.S. dollar. While the international reaction to the RMB revaluation has generally been positive, there remains significant international pressure on the Chinese government to adopt an even more flexible currency policy, which may result in a further and more significant appreciation of the RMB against the U.S. dollar. In the long term, the RMB may appreciate or depreciate significantly in value against the U.S. dollar, depending upon the fluctuation of the basket of currencies against which it is currently valued, or it may be permitted to enter into a full float, which may also result in a significant appreciation or depreciation of the RMB against the U.S. dollar. In addition, our currency exchange variations may be magnified by Chinese exchange control regulations that restrict our ability to convert RMB into foreign currency.</w:t>
      </w:r>
    </w:p>
    <w:p>
      <w:pPr>
        <w:spacing w:after="0" w:line="166"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sales in Europe are denominated in U.S. dollars and fluctuations in the Euro or our customers’ other local currencies relative to the U.S. dollar may impact our customers and affect our financial performance. If our customers’ local currencies weaken against the U.S. dollar, we may need to lower our prices to remain competitive in our international markets which could have a material adverse effect on our margins. If our customers’ local currencies strengthen against the U.S. dollar and if the local sales prices cannot be raised due to competitive pressures, we will experience a deterioration of our margins.</w:t>
      </w:r>
    </w:p>
    <w:p>
      <w:pPr>
        <w:spacing w:after="0" w:line="154"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To date, we have not entered into any hedging transactions in an effort to reduce our exposure to foreign currency exchange risk. While we may decide to enter into hedging transactions in the future, the availability and effectiveness of these hedging transactions may be limited and we may not be able to successfully hedge our exposure.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Natural disasters or other catastrophic events could harm our operations.</w:t>
      </w:r>
    </w:p>
    <w:p>
      <w:pPr>
        <w:spacing w:after="0" w:line="225"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Our operations in the U.S., China and Taiwan could be subject to significant risk of natural disasters, including earthquakes, hurricanes, typhoons, flooding and tornadoes, as well as other catastrophic events, such as epidemics, terrorist attacks or wars. For example, our corporate headquarters and wafer fabrication facility in Sugar Land, Texas, is located near Gulf of Mexico, an area that is susceptible to hurricanes. We use a proprietary MBE laser manufacturing process that requires customized equipment, and this process is currently conducted and located solely at our wafer fabrication facility in Sugar Land, Texas, such that a natural disaster, terrorist attack or other catastrophic event that affects that facility would materially harm our operations. In addition, our manufacturing facility in Taipei, Taiwan, is susceptible to typhoons, and our manufacturing facility in Ningbo, China, has from time to time, suffered electrical outages. Any disruption in our manufacturing facilities arising from these and other natural disasters or other catastrophic events could cause significant delays in the production or shipment of our products until we are able to shift production to different facilities or arrange for third parties to manufacture our products. We may not be able to obtain alternate capacity on favorable terms or at all. Our property insurance coverage with respect to natural disaster is limited and is subject to deductible and coverage limits. Such coverage may not be adequate or continue to be available at commercially reasonable rates and terms. The occurrence of any of these circumstances may adversely affect our financial condition and results of operation.</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98" w:right="259" w:bottom="1440" w:gutter="0" w:footer="0" w:header="0"/>
        </w:sectPr>
      </w:pPr>
    </w:p>
    <w:bookmarkStart w:id="31" w:name="page32"/>
    <w:bookmarkEnd w:id="31"/>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protect, or incur significant costs in defending, our intellectual property and other proprietary rights, our business and results of operations could be materially harmed.</w:t>
      </w:r>
    </w:p>
    <w:p>
      <w:pPr>
        <w:spacing w:after="0" w:line="170"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Our success depends on our ability to protect our intellectual property and other proprietary rights. We rely on a combination of patent, trademark, copyright, trade secret and unfair competition laws, as well as license agreements and other contractual provisions, to establish and protect our intellectual property and other proprietary rights. We have applied for patent registrations in the U.S. and in other foreign countries, some of which have been issued. In addition, we have registered certain trademarks in the U.S. We cannot guarantee that our pending applications will be approved by the applicable governmental authorities. Moreover, our existing and future patents and trademarks may not be sufficiently broad to protect our proprietary rights or may be held invalid or unenforceable in court. A failure to obtain patents or trademark registrations or a successful challenge to our registrations in the U.S. or other foreign countries may limit our ability to protect the intellectual property rights that these applications and registrations intended to cover.</w:t>
      </w:r>
    </w:p>
    <w:p>
      <w:pPr>
        <w:spacing w:after="0" w:line="16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Policing unauthorized use of our technology is difficult and we cannot be certain that the steps we have taken will prevent the misappropriation, unauthorized use or other infringement of our intellectual property rights. Further, we may not be able to effectively protect our intellectual property rights from misappropriation or other infringement in foreign countries where we have not applied for patent protections, and where effective patent, trademark, trade secret and other intellectual property laws may be unavailable, or may not protect our proprietary rights as fully as U.S. law. We may seek to secure comparable intellectual property protections in other countries. However, the level of protection afforded by patent and other laws in other countries may not be comparable to that afforded in the U.S.</w:t>
      </w:r>
    </w:p>
    <w:p>
      <w:pPr>
        <w:spacing w:after="0" w:line="193"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also attempt to protect our intellectual property, including our trade secrets and know-how, through the use of trade secret and other intellectual property laws, and contractual provisions. We enter into confidentiality and invention assignment agreements with our employees and independent consultants. We also use non-disclosure agreements with other third parties who may have access to our proprietary technologies and information. Such measures, however, provide only limited protection, and there can be no assurance that our confidentiality and non-disclosure agreements will not be breached, especially after our employees end their employment, and that our trade secrets will not otherwise become known by competitors or that we will have adequate remedies in the event of unauthorized use or disclosure of proprietary information. Unauthorized third parties may try to copy or reverse engineer our products or portions of our products, otherwise obtain and use our intellectual property, or may independently develop similar or equivalent trade secrets or know-how. If we fail to protect our intellectual property and other proprietary rights, or if such intellectual property and proprietary rights are infringed or misappropriated, our business, results of operations or financial condition could be materially harmed.</w:t>
      </w:r>
    </w:p>
    <w:p>
      <w:pPr>
        <w:spacing w:after="0" w:line="182"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 the future, we may need to take legal actions to prevent third parties from infringing upon or misappropriating our intellectual property or from otherwise gaining access to our technology. Protecting and enforcing our intellectual property rights and determining their validity and scope could result in significant litigation costs and require significant time and attention from our technical and management personnel, which could significantly harm our business. We may not prevail in such proceedings, and an adverse outcome may adversely impact our competitive advantage or otherwise harm our financial condition and our business.</w:t>
      </w:r>
    </w:p>
    <w:p>
      <w:pPr>
        <w:spacing w:after="0" w:line="18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may be involved in intellectual property disputes in the future, which could divert management’s attention, cause us to incur significant costs and prevent us from selling or using the challenged technology.</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Participants in the markets in which we sell our products have experienced frequent litigation regarding patent and other intellectual property rights. While we have a policy in place that is designed to reduce the risk of infringement of intellectual property rights of others and we have conducted a limited review of other companies’ relevant patents, there can be no assurance that third parties will not assert infringement claims against us. We cannot be certain that our products would not be found infringing on the intellectual property rights of others. Regardless of their merit, responding to such claims can be time consuming, divert management’s attention and resources and may cause us to incur significant expenses. Intellectual property claims against us could force us to do one or more of the following:</w:t>
      </w:r>
    </w:p>
    <w:p>
      <w:pPr>
        <w:spacing w:after="0" w:line="193" w:lineRule="exact"/>
        <w:rPr>
          <w:sz w:val="20"/>
          <w:szCs w:val="20"/>
          <w:color w:val="auto"/>
        </w:rPr>
      </w:pPr>
    </w:p>
    <w:p>
      <w:pPr>
        <w:ind w:left="1380" w:right="60" w:hanging="319"/>
        <w:spacing w:after="0" w:line="258" w:lineRule="auto"/>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from a third party claiming infringement a license to the relevant technology, which may not be available on reasonable terms, or at all;</w:t>
      </w:r>
    </w:p>
    <w:p>
      <w:pPr>
        <w:spacing w:after="0" w:line="1" w:lineRule="exact"/>
        <w:rPr>
          <w:rFonts w:ascii="Arial" w:cs="Arial" w:eastAsia="Arial" w:hAnsi="Arial"/>
          <w:sz w:val="18"/>
          <w:szCs w:val="18"/>
          <w:color w:val="auto"/>
        </w:rPr>
      </w:pPr>
    </w:p>
    <w:p>
      <w:pPr>
        <w:ind w:left="1380" w:hanging="319"/>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stop manufacturing, selling, incorporating or using our products that use the challenged intellectual property;</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 substantial monetary damages; or</w:t>
      </w:r>
    </w:p>
    <w:p>
      <w:pPr>
        <w:spacing w:after="0" w:line="9" w:lineRule="exact"/>
        <w:rPr>
          <w:rFonts w:ascii="Arial" w:cs="Arial" w:eastAsia="Arial" w:hAnsi="Arial"/>
          <w:sz w:val="18"/>
          <w:szCs w:val="18"/>
          <w:color w:val="auto"/>
        </w:rPr>
      </w:pPr>
    </w:p>
    <w:p>
      <w:pPr>
        <w:ind w:left="1380" w:hanging="319"/>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 significant resources to redesign the products that use the technology and to develop non-infringing technology.</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color w:val="auto"/>
        </w:rPr>
        <w:t>Any of these actions could result in a substantial reduction in our revenue and could result in losses over an extended period of time.</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any potential intellectual property dispute, our customers could also become the target of litigation. Because we often indemnify our customers for intellectual property claims made against them with respect to our products, any claims against our customers could trigger indemnification claims against us. These obligations could result in substantial expenses such as legal expenses, damages for past infringement or royalties for future use. Any indemnity claim could also adversely affect our relationships with our customers and result in substantial costs to us.</w:t>
      </w:r>
    </w:p>
    <w:p>
      <w:pPr>
        <w:spacing w:after="0" w:line="17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we fail to obtain the right to use the intellectual property rights of others that are necessary to operate our business, and to protect their intellectual property, our business and results of operations will be adversely affected.</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From time to time we may choose to or be required to license technology or intellectual property from third parties in connection with the development of our products. We cannot assure you that third party licenses will be available to us on commercially reasonable terms, if at all. Generally, a license, if granted, would include payments of up-front fees, ongoing royalties or both. These payments or other terms could have a significant adverse impact on our results of operations. Our inability to obtain a necessary third party license required for our product offerings or to develop new products and product enhancements could require us to substitute technology of lower quality or performance standards, or of greater cost, either of which could adversely affect our business. If we are not able to obtain licenses from third parties, if necessary, then we may also be subject to litigation to defend against infringement claims from these third parties. Our competitors may be able to obtain licenses or cross-license their technology on better terms than we can, which could put us at a competitive disadvantage.</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in the future, the accuracy and timing of our financial reporting may be adversely affected.</w:t>
      </w:r>
    </w:p>
    <w:p>
      <w:pPr>
        <w:spacing w:after="0" w:line="170"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Preparing our consolidated financial statements involves a number of complex manual and automated processes, which are dependent upon individual data input or review and require significant management judgment. One or more of these elements may result in errors that may not be detected and could result in a material misstatement of our consolidated financial statements. We have not performed an evaluation of our internal control over financial reporting, such as would be required by Section 404 of the Sarbanes-Oxley Act, nor have we engaged our independent registered public accounting firm to perform an audit of our internal control over financial reporting. In addition, for so long as we qualify as an “emerging growth company” under the JOBS Act, which may be up to five years following our initial public offering in September 2013, we will not have to provide an auditor’s attestation report on our internal controls in future annual reports on Form 10-K as otherwise required by Section 404(b) of the Sarbanes-Oxley Act. During the course of any evaluation, documentation or attestation, we or our independent registered public accounting firm may identify weaknesses and deficiencies that we may not otherwise identify in a timely manner or at all as a result of the deferred implementation of this additional level of review.</w:t>
      </w:r>
    </w:p>
    <w:p>
      <w:pPr>
        <w:spacing w:after="0" w:line="167" w:lineRule="exact"/>
        <w:rPr>
          <w:sz w:val="20"/>
          <w:szCs w:val="20"/>
          <w:color w:val="auto"/>
        </w:rPr>
      </w:pPr>
    </w:p>
    <w:p>
      <w:pPr>
        <w:ind w:right="160" w:firstLine="648"/>
        <w:spacing w:after="0" w:line="312" w:lineRule="auto"/>
        <w:rPr>
          <w:sz w:val="20"/>
          <w:szCs w:val="20"/>
          <w:color w:val="auto"/>
        </w:rPr>
      </w:pPr>
      <w:r>
        <w:rPr>
          <w:rFonts w:ascii="Arial" w:cs="Arial" w:eastAsia="Arial" w:hAnsi="Arial"/>
          <w:sz w:val="16"/>
          <w:szCs w:val="16"/>
          <w:color w:val="auto"/>
        </w:rPr>
        <w:t>In connection with the audit of our financial statements for the period ended December 31, 2012, we identified a material weakness related to the inappropriate recording of certain inventory returned for re-work in China as a reduction in cost of sales. We remediated this material weakness in 2013 and we did not identify any material weaknesses in connection with the audit of our financial statements for the period ended December 31, 2013.</w:t>
      </w:r>
    </w:p>
    <w:p>
      <w:pPr>
        <w:spacing w:after="0" w:line="14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have implemented internal controls that we believe provide reasonable assurance that we will be able to avoid accounting errors or material weaknesses in future periods. However, our internal controls cannot guarantee that no accounting errors exist or that all accounting errors, no matter how immaterial, will be detected because a control system, no matter how well designed and operated, can provide only reasonable, but not absolute assurance that the control system’s objectives will be met. If we are unable to implement and maintain effective internal control over financial reporting, our ability to accurately and timely report our financial results could be adversely impacted. This could result in late filings of our annual and quarterly reports under the Securities Exchange Act of 1934, or the Exchange Act, restatements of our consolidated financial statements, a decline in our stock price, suspension or delisting of our common stock by NASDAQ, or other material adverse effects on our business, reputation, results of operations or financial condition.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and certain other tax attributes may be limited.</w:t>
      </w:r>
    </w:p>
    <w:p>
      <w:pPr>
        <w:spacing w:after="0" w:line="225"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As of December 31, 2013, we had U.S. accumulated net operating losses, or NOLs, of approximately $65.7 million for U.S. federal income tax purposes. We also had research and development credit carry forwards totaling $1.6 million as of December 31, 2013, which begin to expire in 2020. Under Section 382 of the Internal Revenue Code of 1986, as amended, if a corporation undergoes an “ownership change,” the corporation’s ability to use its pre-change NOLs, capital loss carry forwards and other pre-change tax attributes to offset its post-change income may be limited. An ownership change is generally defined as a greater than 50% change in equity ownership by value over a 3-year period. Based upon an analysis of our equity ownership, we have experienced an ownership change and our NOL carry forwards are limited in dollar amount. As of December 31, 2013, of the total accumulated NOL, only $40.3 million is available for utilization in 2014 and thereafter to shelter federal taxable income. Each year after 2014, an additional $0.3 million is added to the total available NOL, until a maximum of $43.9 million is reached. The amount of NOL available each year may decrease by the amount of NOL utilized and may increase by the amount of any operating losses incurred. Should we experience additional ownership changes, our NOL carry forwards may be further limited.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Changes in our effective tax rate may adversely affect our results of operation and our business.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are subject to income taxes in the U.S. and other foreign jurisdictions, including China. We base our tax position on the anticipated nature and conduct of our business and our understanding of the tax laws of the countries in which we have assets or conduct activities. Our tax position may be reviewed or challenged by tax authorities. Moreover, the tax laws currently in effect may change, and such changes may have retroactive effect. We have inter-company arrangements in place providing for administrative and financing services and transfer pricing, which involve a significant degree of judgment and are often subject to close review by tax authorities. The tax authorities may challenge our positions related to these agreements. If the tax authorities successfully challenge our positions, our effective tax rate may increase, adversely affecting our results of operation and our business.</w:t>
      </w:r>
    </w:p>
    <w:p>
      <w:pPr>
        <w:spacing w:after="0" w:line="17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manufacturing operations are subject to environmental regulation that could limit our growth or impose substantial costs, adversely affecting our financial condition and results of operations.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properties, operations and products are subject to the environmental laws and regulations of the jurisdictions in which we operate and sell products. These laws and regulations govern, among other things, air emissions, wastewater discharges, the management and disposal of hazardous materials, the contamination of soil and groundwater, employee health and safety and the content, performance, packaging and disposal of products. Our failure to comply with current and future environmental laws and regulations, or the identification of contamination for which we are liable, could subject us to substantial costs, including fines, clean-up costs, third-party property damages or personal injury claims, and make significant investments to upgrade our facilities or curtail our operations. Liability under environmental, health and safety laws can be joint and several and without regard to fault or negligence. For example, pursuant to environmental laws and regulations, including but not limited to the Comprehensive Environmental Response Compensation and Liability Act, or CERCLA, we may be liable for the full amount of any remediation-related costs at properties we currently own or formerly owned, such as our currently owned Sugar Land, Texas facility, or at properties at which we operated, as well as at properties we will own or operate in the future, and properties to which we have sent hazardous substances, whether or not we caused the contamination. Identification of presently unidentified environmental conditions, more vigorous enforcement by a governmental authority, enactment of more stringent legal requirements or other unanticipated events could give rise to adverse publicity, restrict our operations, affect the design or marketability of our products or otherwise cause us to incur material environmental costs, adversely affecting our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the U.S. Foreign Corrupt Practices Act could subject us to penalties and other adverse consequences.</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are subject to the U.S. Foreign Corrupt Practices Act which generally prohibits U.S. companies from engaging in bribery or other prohibited payments to foreign officials for the purpose of obtaining or retaining business. In addition, we are required to maintain records that accurately and fairly represent our transactions and have an adequate system of internal accounting controls. Foreign companies, including some that may compete with us, may not be subject to these prohibitions, and therefore may have a competitive advantage over us. If we are not successful in implementing and maintaining adequate preventative measures, we may be responsible for acts of our employees or other agents engaging in such conduct. We could suffer severe penalties and other consequences that may have a material adverse effect on our financial condition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48"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We are subject to export and import control laws, trade regulations and other trade requirements that limit which products we sell and where and to whom we sell our products. Specifically, the Bureau of Industry and Security of the U.S. Department of Commerce is responsible for regulating the export of most commercial items that are so called dual-use goods that may have both commercial and military applications. A limited number of our products are exported by license under the Export Control Classification Number, or ECCN, of 5A991. Export Control Classification requirements are dependent upon an item’s technical characteristics, the destination, the end-use, and the end-user, and other activities of the end-user. Should the regulations applicable to our products change, or the restrictions applicable to countries to which we ship our products change, then the export of our products to such countries could be restricted. As a result, our ability to export or sell our products to certain countries could be restricted, which could adversely affect our business, financial condition and results of operations. Changes in our products or any change in export or import regulations or related legislation, shift in approach to the enforcement or scope of existing regulations, or change in the countries, persons or technologies targeted by such regulations, could result in delayed or decreased sales of our products to existing or potential customers. In such event, our business and results of operations could be adversely affected.</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i w:val="1"/>
          <w:iCs w:val="1"/>
          <w:color w:val="auto"/>
        </w:rPr>
        <w:t>Rapidly changing standards and regulations could make our products obsolete, which would cause our revenue and results of operations to suffer.</w:t>
      </w:r>
    </w:p>
    <w:p>
      <w:pPr>
        <w:spacing w:after="0" w:line="248"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design our products to conform to regulations established by governments and to standards set by industry standards bodies worldwide, such as The American National Standards Institute, the European Telecommunications Standards Institute, the International Telecommunications Union and the Institute of Electrical and Electronics Engineers, Inc. Various industry organizations are currently considering whether and to what extent to create standards applicable to our products. Because certain of our products are designed to conform to current specific industry standards, if competing or new standards emerge that are preferred by our customers, we would have to make significant expenditures to develop new products. If our customers adopt new or competing industry standards with which our products are not compatible, or the industry groups adopt standards or governments issue regulations with which our products are not compatible, our existing products would become less desirable to our customers and our revenue and results of operations would suffer.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demands and new regulations related to conflict-free minerals may adversely affect us.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The Dodd-Frank Wall Street Reform and Consumer Protection Act imposes new disclosure requirements regarding the use of “conflict” minerals mined from the Democratic Republic of the Congo and adjoining countries in products, whether or not these products are manufactured by third parties. These new requirements could affect the pricing, sourcing and availability of minerals used in the manufacture of our products. Certain of our customers are requiring additional information from us regarding the origin of our raw materials, and complying with these customer requirements may cause us to incur additional costs, such as costs related to determining the origin of any minerals used in our products. Our supply chain is complex and we may be unable to verify the origins for all metals used in our products. We may also encounter challenges with our customers and stockholders if we are unable to certify that our products are conflict free.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China</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Adverse changes in economic and political policies in China, or Chinese laws or regulations could have a material adverse effect on business conditions and the overall economic growth of China, which could adversely affect our business.</w:t>
      </w:r>
    </w:p>
    <w:p>
      <w:pPr>
        <w:spacing w:after="0" w:line="170"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The Chinese economy differs from the economies of most developed countries in many respects, including the level of government involvement, level of development, growth rate, control of foreign exchange and allocation of resources. The Chinese economy has been transitioning from a planned economy to a more market-oriented economy. Despite reforms, the government continues to exercise significant control over China’s economic growth by way of the allocation of resources, control over foreign currency-denominated obligations and monetary policy and provision of preferential treatment to particular industries or companies.</w:t>
      </w:r>
    </w:p>
    <w:p>
      <w:pPr>
        <w:spacing w:after="0" w:line="188"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In addition, the laws, regulations and legal requirements in China, including the laws that apply to foreign-invested enterprises, or FIEs, are subject to frequent changes. The interpretation and enforcement of such laws is uncertain. Protections of intellectual property rights and confidentiality in China may not be as effective as in the U.S. or other countries or regions with more developed legal systems. Any litigation in China may be protracted and result in substantial costs and diversion of resources and management attention. Any adverse changes to these laws, regulations and legal requirements or their interpretation or enforcement could have a material adverse effect on our business.</w:t>
      </w:r>
    </w:p>
    <w:p>
      <w:pPr>
        <w:spacing w:after="0" w:line="17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Furthermore, while China’s economy has experienced rapid growth in the past 20 years, growth has been uneven across different regions, among various economic sectors and over time. China has also in the past and may in the future experience economic downturns due to, for example, government austerity measures, changes in government policies relating to capital spending, limitations placed on the ability of commercial banks to make loans, reduced levels of exports and international trade, inflation, lack of financial liquidity, stock market volatility and global economic conditions. Any of these developments could contribute to a decline in business and consumer spending in addition to other adverse market conditions, which could adversely affect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termination and expiration or unavailability of our preferential tax treatments in China may have a material adverse effect on our operating results.</w:t>
      </w:r>
    </w:p>
    <w:p>
      <w:pPr>
        <w:spacing w:after="0" w:line="26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Prior to January 1, 2008, entities established in China were generally subject to a 30% state and 3% local enterprise income tax rate. In accordance with the China Income Tax Law for Enterprises with Foreign Investment and Foreign Enterprises, effective through December 31, 2007, our China subsidiary enjoyed preferential income tax rates. Effective January 1, 2008, the China Enterprise Income Tax Law, or the EIT law, imposes a single uniform income tax rate of 25% on all Chinese enterprises, including FIEs, and eliminates or modifies most of the tax exemptions, reductions and preferential treatment available under the previous tax laws and regulations. As a result, our China subsidiary may be subject to the uniform income tax rate of 25% unless we are able to qualify for preferential status. Currently, we have qualified for a preferential 15% tax rate that is available for new and high technology enterprises. The preferential rate applies to calendar years 2012, 2013 and 2014. Any future increase in the enterprise income tax rate applicable to us or the expiration or other limitation of preferential tax rates available to us could increase our tax liabilities and reduce our net income.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35" w:name="page36"/>
    <w:bookmarkEnd w:id="35"/>
    <w:p>
      <w:pPr>
        <w:spacing w:after="0" w:line="277" w:lineRule="auto"/>
        <w:rPr>
          <w:sz w:val="20"/>
          <w:szCs w:val="20"/>
          <w:color w:val="auto"/>
        </w:rPr>
      </w:pPr>
      <w:r>
        <w:rPr>
          <w:rFonts w:ascii="Arial" w:cs="Arial" w:eastAsia="Arial" w:hAnsi="Arial"/>
          <w:sz w:val="18"/>
          <w:szCs w:val="18"/>
          <w:b w:val="1"/>
          <w:bCs w:val="1"/>
          <w:i w:val="1"/>
          <w:iCs w:val="1"/>
          <w:color w:val="auto"/>
        </w:rPr>
        <w:t>China regulation of loans and direct investment by offshore holding companies to China entities may delay or prevent us from making loans or additional capital contributions to our China subsidiary.</w:t>
      </w:r>
    </w:p>
    <w:p>
      <w:pPr>
        <w:spacing w:after="0" w:line="170"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Any loans that we wish to make to our China subsidiary are subject to China regulations and approvals. For example, any loans to our China subsidiary to finance their activities cannot exceed statutory limits, must be registered with State Administration of Foreign Exchange, or SAFE, or its local counterpart, and must be approved by the relevant government authorities. Any capital contributions to our China subsidiary must be approved by the Ministry of Commerce or its local counterpart. In addition, under Circular 142, our China subsidiary, as a FIE, may not be able to convert our capital contributions to them into RMB for equity investments or acquisitions in China.</w:t>
      </w:r>
    </w:p>
    <w:p>
      <w:pPr>
        <w:spacing w:after="0" w:line="188"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We cannot assure you that we will be able to obtain these government registrations or approvals on a timely basis, if at all, with respect to our future loans or capital contributions to our China subsidiary. If we fail to receive such registrations or approvals, our ability to capitalize our China subsidiary may be negatively affected, which could materially and adversely affect our liquidity and ability to fund and expand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China subsidiary is subject to Chinese labor laws and regulations and Chinese labor laws may increase our operating costs in China.</w:t>
      </w:r>
    </w:p>
    <w:p>
      <w:pPr>
        <w:spacing w:after="0" w:line="23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China Labor Contract Law, together with its implementing rules, provides increased rights to Chinese employees. Previously, an employer had discretionary power in deciding the probation period, not to exceed six months. Additionally, the employment contract could only be terminated for cause. Under these rules, the probation period varies depending on contract terms and the employment contract can only be terminated during the probation period for cause upon three days’ notice. Additionally, an employer may not be able to terminate a contract during the probation period on the grounds of a material change of circumstances or a mass layoff. The new law also has specific provisions on conditions when an employer has to sign an employment contract with open-ended terms. If an employer fails to enter into an open-ended contract in certain circumstances, the employer must pay the employee twice their monthly wage beginning from the time the employer should have executed an open-ended contract. Additionally an employer must pay severance for nearly all terminations, including when an employer decides not to renew a fixed-term contract. These laws may increase our costs and reduce our flexibility.</w:t>
      </w:r>
    </w:p>
    <w:p>
      <w:pPr>
        <w:spacing w:after="0" w:line="166"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The turnover of direct labor in manufacturing industries in China is high, which could adversely affect our production, shipments and results of operations.</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Employee turnover of direct labor in the manufacturing sector in China is high and retention of such personnel is a challenge to companies located in or with operations in China. Although direct labor costs do not represent a high proportion of our overall manufacturing costs, direct labor is required for the manufacture of our products. If our direct labor turnover rates are higher than we expect, or we otherwise fail to adequately manage our direct labor turnover rates, then our results of operations could be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increase in our labor costs in China may adversely affect our business and our profitability.</w:t>
      </w:r>
    </w:p>
    <w:p>
      <w:pPr>
        <w:spacing w:after="0" w:line="225" w:lineRule="exact"/>
        <w:rPr>
          <w:sz w:val="20"/>
          <w:szCs w:val="20"/>
          <w:color w:val="auto"/>
        </w:rPr>
      </w:pPr>
    </w:p>
    <w:p>
      <w:pPr>
        <w:ind w:right="600" w:firstLine="648"/>
        <w:spacing w:after="0" w:line="264" w:lineRule="auto"/>
        <w:rPr>
          <w:sz w:val="20"/>
          <w:szCs w:val="20"/>
          <w:color w:val="auto"/>
        </w:rPr>
      </w:pPr>
      <w:r>
        <w:rPr>
          <w:rFonts w:ascii="Arial" w:cs="Arial" w:eastAsia="Arial" w:hAnsi="Arial"/>
          <w:sz w:val="18"/>
          <w:szCs w:val="18"/>
          <w:color w:val="auto"/>
        </w:rPr>
        <w:t>A significant portion of our workforce is located in China. Labor costs in China have been increasing recently due to labor unrest, strikes and changes in employment laws. If labor costs in China continue to increase, our costs will increase. If we are not able to pass these increases on to our customers, our business, profitability and results of operations may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difficulty establishing and maintaining adequate management and financial controls over our China operations.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Businesses in China have historically not adopted a western style of management and financial reporting concepts and practices, which includes strong corporate governance, internal controls and computer, financial and other control systems. Moreover, familiarity with U.S. GAAP principles and reporting procedures is less common in China. As a consequence, we may have difficulty finding accounting personnel experienced with U.S. GAAP, and we may have difficulty training and integrating our China-based accounting staff with our U.S.-based finance organization. As a result of these factors, we may experience difficulty in establishing management and financial controls over our China operations. These difficulties include collecting financial data and preparing financial statements, books of account and corporate records and instituting business practices that meet U.S. public-company reporting requirements. We may, in turn, experience difficulties in implementing and maintaining adequate internal controls as required under Section 404 of the Sarbanes-Oxley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executive officers and directors own a significant percentage of our stock and have significant control of our management and affairs, and they can take actions that may be against your best interests.</w:t>
      </w:r>
    </w:p>
    <w:p>
      <w:pPr>
        <w:spacing w:after="0" w:line="17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As of July 25, 2014, our executive officers and directors, and entities that are affiliated with them, beneficially own an aggregate of approximately 4.6% of our outstanding common stock. As a result, these stockholders, acting together, may have significant influence over our management and affairs and matters requiring stockholder approval, including the election of directors and approval of significant corporate transactions, such as mergers, consolidations or the sale of substantially all of our assets. Consequently, this concentration of ownership may have the effect of delaying or preventing a change in control, including a merger, consolidation or other business combination involving us, or discouraging a potential acquirer from making a tender offer or otherwise attempting to obtain control, even if such a change in control would benefit our other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could decline due to the large number of outstanding shares of our common stock eligible for future sale.</w:t>
      </w:r>
    </w:p>
    <w:p>
      <w:pPr>
        <w:spacing w:after="0" w:line="225"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Sales of substantial amounts of our common stock in the public market, or the perception that these sales could occur, could cause the market price of our common stock to decline. These sales could also make it more difficult for us to sell equity or equity-related securities in the future at a time and price that we deem appropriate.</w:t>
      </w:r>
    </w:p>
    <w:p>
      <w:pPr>
        <w:spacing w:after="0" w:line="18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As of August 5, 2014, we had 14,805,125 shares of common stock outstanding. The 5,625,235 shares sold in our initial public offering and our follow-on offerings are immediately tradable without restriction. In addition, on March 25, 2014, approximately 6.0 million shares became tradable without restriction upon the expiration of lock-up agreements executed in connection with our initial public offering. On June 18, 2014, 0.9 million shares became eligible for sale upon the expiration of lock-up agreements executed in connection with our follow-on offering, subject in some cases to volume and other restrictions under Rules 144 and 701 under the Securities Act of 1933, as amended, or the Securities Act, and various vesting agreements. The representatives of the underwriters may, in their sole discretion and at any time without notice, release all or any portion of the securities subject to lock-up agreements.</w:t>
      </w:r>
    </w:p>
    <w:p>
      <w:pPr>
        <w:spacing w:after="0" w:line="16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On November 19, 2013, we registered 2,600,000 shares of our common stock that we have issued or may issue under our equity plans, which shares will be eligible for sale upon the expiration of lock-up agreements, subject in some cases to volume and other restrictions under Rules 144 and 701 under the Securities Act, and various vesting agreements. In addition, some of our employees, including some of our named executive officers, may enter into 10b5-1 trading plans regarding sales of shares of our common stock. These plans provide for sales to occur from time to time after the expiration of the lock-up period related to our initial public offering and our follow-on offering, or with respect to any employee who has entered into a 10b5-1 trading plan. If these additional shares are sold, or if it is perceived that they will be sold, in the public market, the trading price of our common stock could decline.</w:t>
      </w:r>
    </w:p>
    <w:p>
      <w:pPr>
        <w:spacing w:after="0" w:line="16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currently do not intend to pay dividends on our common stock and, consequently, your only opportunity to achieve a return on your investment is if the price of our common stock appreciates.</w:t>
      </w:r>
    </w:p>
    <w:p>
      <w:pPr>
        <w:spacing w:after="0" w:line="170"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We currently do not plan to declare or pay dividends on shares of our common stock in the foreseeable future. In addition, the terms of our loan and security agreement with East West Bank restrict our ability to pay dividends.</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charter documents, stock incentive plans and Delaware law could prevent a takeover that stockholders consider favorable and could also reduce the market price of our stock.</w:t>
      </w:r>
    </w:p>
    <w:p>
      <w:pPr>
        <w:spacing w:after="0" w:line="170"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Our amended and restated certificate of incorporation and our amended and restated bylaws and our stock incentive plans contain provisions that could delay or prevent a change in control of our company. These provisions could also make it more difficult for stockholders to elect directors and take other corporate actions. These provisions include:</w:t>
      </w:r>
    </w:p>
    <w:p>
      <w:pPr>
        <w:spacing w:after="0" w:line="18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addition, the provisions of Section 203 of the Delaware General Corporate Law governs us. These provisions may prohibit large stockholders, in particular those owning 15% or more of our outstanding common stock, from engaging in certain business combinations without the approval of substantially all of our stockholders for a certain period of time.</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being lower than it would be without these provisions. See “Description of Capital Stock—Preferred stock” and “Description of Capital Stock— Anti-takeover effects of Delaware law.”</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661" w:right="279" w:bottom="1440" w:gutter="0" w:footer="0" w:header="0"/>
        </w:sectPr>
      </w:pPr>
    </w:p>
    <w:bookmarkStart w:id="37" w:name="page38"/>
    <w:bookmarkEnd w:id="37"/>
    <w:p>
      <w:pPr>
        <w:ind w:right="380"/>
        <w:spacing w:after="0" w:line="277" w:lineRule="auto"/>
        <w:rPr>
          <w:sz w:val="20"/>
          <w:szCs w:val="20"/>
          <w:color w:val="auto"/>
        </w:rPr>
      </w:pPr>
      <w:r>
        <w:rPr>
          <w:rFonts w:ascii="Arial" w:cs="Arial" w:eastAsia="Arial" w:hAnsi="Arial"/>
          <w:sz w:val="18"/>
          <w:szCs w:val="18"/>
          <w:b w:val="1"/>
          <w:bCs w:val="1"/>
          <w:i w:val="1"/>
          <w:iCs w:val="1"/>
          <w:color w:val="auto"/>
        </w:rPr>
        <w:t>Some provisions of our named executive officers’ agreements regarding change of control or separation of service contain obligations for us to make separation payments to them upon their termination.</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Certain provisions contained in our employment agreements with our named executive officers regarding change of control or separation of service may obligate us to make lump sum severance payments and related payments upon the termination of their employment with us, other than such executive officer’s resignation without good reason or our termination of their employment as a result of their disability or for cause. In the event we are required to make these separation payments, it could have a material adverse effect on our results of operations for the fiscal period in which such payments are made.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be volatile.</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The market price of our common stock has been and is likely to be subject to wide fluctuations in response to, among other things, the risk factors described in this section of this Annual Report on Form 10-K, and other factors beyond our control, such as fluctuations in the valuation of companies perceived by investors to be comparable to us.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affect the market price of our common stock.</w:t>
      </w:r>
    </w:p>
    <w:p>
      <w:pPr>
        <w:spacing w:after="0" w:line="187"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In the past, many companies that have experienced volatility in the market price of their stock have been subject to securities class action litigation. We may become the target of this type of litigation in the future. Securities litigation against us could result in substantial costs and divert our management’s attention from other business concerns, which could seriously harm our business.</w:t>
      </w:r>
    </w:p>
    <w:p>
      <w:pPr>
        <w:spacing w:after="0" w:line="18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As an “emerging growth company” within the meaning of the Securities Act, we will utilize certain modified disclosure requirements, and we cannot be certain if these reduced requirements will make our common stock less attractive to investors.</w:t>
      </w:r>
    </w:p>
    <w:p>
      <w:pPr>
        <w:spacing w:after="0" w:line="170"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We are an emerging growth company within the meaning of the rules under the Securities Act. We have in this Annual Report on Form 10-K utilized, and we plan in future filings with the SEC to continue to utilize, the modified disclosure requirements available to emerging growth companies, including reduced disclosure about our executive compensation and omission of compensation discussion and analysis, and an exemption from the requirement of holding a nonbinding advisory vote on executive compensation and an exemption from the requirement that outside auditors attest as to our internal control over financial reporting. As a result, our stockholders may not have access to certain information they may deem important.</w:t>
      </w:r>
    </w:p>
    <w:p>
      <w:pPr>
        <w:spacing w:after="0" w:line="15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 addition, Section 107 of the JOBS Act also provides that an emerging growth company can utilize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utilize this extended transition period. Our financial statements may therefore not be comparable to those of companies that comply with such new or revised accounting standards as they become applicable to public companies.</w:t>
      </w:r>
    </w:p>
    <w:p>
      <w:pPr>
        <w:spacing w:after="0" w:line="18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could remain an “emerging growth company” for up to five years, or until the earliest of (i) the last day of the first fiscal year in which our annual gross revenue exceed $1 billion, (ii)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(iii) the date on which we have issued more than $1 billion in non-convertible debt during the preceding three-year period.</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research analysts do not publish research about our business or if they issue unfavorable commentary or downgrade our common stock, our stock price and trading volume could decline.</w:t>
      </w:r>
    </w:p>
    <w:p>
      <w:pPr>
        <w:spacing w:after="0" w:line="17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The trading market for our common stock will depend on the research and reports that research analysts publish about us and our business. The price of our common stock could decline if one or more research analysts downgrade our common stock or if those analysts issue other unfavorable commentary or cease publishing reports about us or our business. If one or more of the research analysts ceases coverage of our company or fails to publish reports on us regularly, demand for our stock could decrease, which could cause our stock price or trading volume to decline.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8" w:name="page39"/>
    <w:bookmarkEnd w:id="38"/>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660" w:right="8840" w:hanging="652"/>
        <w:spacing w:after="0" w:line="501" w:lineRule="auto"/>
        <w:tabs>
          <w:tab w:leader="none" w:pos="257"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Unregistered Securities None.</w:t>
      </w:r>
    </w:p>
    <w:p>
      <w:pPr>
        <w:ind w:left="260" w:hanging="252"/>
        <w:spacing w:after="0"/>
        <w:tabs>
          <w:tab w:leader="none" w:pos="2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Use of Proceeds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September 25, 2013, our registration statement on Form S-1 (File No. 333-190591) for our initial public offering was declared effective by the Securities and Exchange Commission. The offering commenced on September 26, 2013. We sold 3,600,000 shares of our common stock at a price to the public of $10.00 per share and the transaction was completed on October 1, 2013. Raymond James &amp; Associates, Inc. and Piper Jaffray &amp; Co. were the managing underwriters. We received net proceeds of $31.5 million after deducting underwriting discounts and commissions of $2.5 million and other offering expenses of approximately $2.0 million.</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On March 25, 2014, we closed our follow-on public offering of 3,000,000 shares of common stock, at a price of $24.25 per share before underwriting discounts and commissions. We sold 1,575,235 of such shares and existing stockholders sold an aggregate of 1,424,765 of such shares. On March 28, 2014 we sold an additional 450,000 shares as a result of the underwriters’ exercise of their option to purchase additional shares. Raymond James &amp; Associates, Inc. and Piper Jaffray &amp; Co. were the managing underwriters. The follow-on public offering generated net proceeds to us of $45.6 million, after deducting underwriting discounts and commissions of $2.7 million and other offering expenses of approximately $0.8 million. We did not receive any proceeds from the sale of shares by the selling stockholders in the follow-on public offering.</w:t>
      </w:r>
    </w:p>
    <w:p>
      <w:pPr>
        <w:spacing w:after="0" w:line="178" w:lineRule="exact"/>
        <w:rPr>
          <w:sz w:val="20"/>
          <w:szCs w:val="20"/>
          <w:color w:val="auto"/>
        </w:rPr>
      </w:pPr>
    </w:p>
    <w:p>
      <w:pPr>
        <w:ind w:right="220" w:firstLine="648"/>
        <w:spacing w:after="0" w:line="342" w:lineRule="auto"/>
        <w:rPr>
          <w:sz w:val="20"/>
          <w:szCs w:val="20"/>
          <w:color w:val="auto"/>
        </w:rPr>
      </w:pPr>
      <w:r>
        <w:rPr>
          <w:rFonts w:ascii="Arial" w:cs="Arial" w:eastAsia="Arial" w:hAnsi="Arial"/>
          <w:sz w:val="16"/>
          <w:szCs w:val="16"/>
          <w:color w:val="auto"/>
        </w:rPr>
        <w:t>With the net proceeds of the our initial public offering and our follow-on public offering, we invested $21.1 million for the purchase of machinery and equipment and $15.6 million for inventory to support our new product development efforts and repaid $17.8 million of outstanding debt.</w:t>
      </w:r>
    </w:p>
    <w:p>
      <w:pPr>
        <w:spacing w:after="0" w:line="12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There have been no material changes in the use of proceeds from our IPO and our follow-on public offering from that described in our registration statements filed with the SEC.</w:t>
      </w:r>
    </w:p>
    <w:p>
      <w:pPr>
        <w:spacing w:after="0" w:line="3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on page 41.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39" w:name="page40"/>
    <w:bookmarkEnd w:id="39"/>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5100" w:type="dxa"/>
            <w:vAlign w:val="bottom"/>
            <w:gridSpan w:val="3"/>
          </w:tcPr>
          <w:p>
            <w:pPr>
              <w:ind w:left="1980"/>
              <w:spacing w:after="0"/>
              <w:rPr>
                <w:sz w:val="20"/>
                <w:szCs w:val="20"/>
                <w:color w:val="auto"/>
              </w:rPr>
            </w:pPr>
            <w:r>
              <w:rPr>
                <w:rFonts w:ascii="Arial" w:cs="Arial" w:eastAsia="Arial" w:hAnsi="Arial"/>
                <w:sz w:val="18"/>
                <w:szCs w:val="18"/>
                <w:b w:val="1"/>
                <w:bCs w:val="1"/>
                <w:color w:val="auto"/>
              </w:rPr>
              <w:t>APPLIED OPTOELECTRONICS, INC.</w:t>
            </w:r>
          </w:p>
        </w:tc>
      </w:tr>
      <w:tr>
        <w:trPr>
          <w:trHeight w:val="608"/>
        </w:trPr>
        <w:tc>
          <w:tcPr>
            <w:tcW w:w="3640" w:type="dxa"/>
            <w:vAlign w:val="bottom"/>
          </w:tcPr>
          <w:p>
            <w:pPr>
              <w:spacing w:after="0"/>
              <w:rPr>
                <w:sz w:val="20"/>
                <w:szCs w:val="20"/>
                <w:color w:val="auto"/>
              </w:rPr>
            </w:pPr>
            <w:r>
              <w:rPr>
                <w:rFonts w:ascii="Arial" w:cs="Arial" w:eastAsia="Arial" w:hAnsi="Arial"/>
                <w:sz w:val="18"/>
                <w:szCs w:val="18"/>
                <w:color w:val="auto"/>
              </w:rPr>
              <w:t>Date: August 12, 2014</w:t>
            </w:r>
          </w:p>
        </w:tc>
        <w:tc>
          <w:tcPr>
            <w:tcW w:w="5100" w:type="dxa"/>
            <w:vAlign w:val="bottom"/>
            <w:gridSpan w:val="3"/>
          </w:tcPr>
          <w:p>
            <w:pPr>
              <w:ind w:left="1980"/>
              <w:spacing w:after="0"/>
              <w:rPr>
                <w:sz w:val="20"/>
                <w:szCs w:val="20"/>
                <w:color w:val="auto"/>
              </w:rPr>
            </w:pPr>
            <w:r>
              <w:rPr>
                <w:rFonts w:ascii="Arial" w:cs="Arial" w:eastAsia="Arial" w:hAnsi="Arial"/>
                <w:sz w:val="18"/>
                <w:szCs w:val="18"/>
                <w:color w:val="auto"/>
              </w:rPr>
              <w:t>By:    /s/ James L. Dunn, Jr.</w:t>
            </w:r>
          </w:p>
        </w:tc>
      </w:tr>
      <w:tr>
        <w:trPr>
          <w:trHeight w:val="222"/>
        </w:trPr>
        <w:tc>
          <w:tcPr>
            <w:tcW w:w="36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James L. Dunn, Jr.,</w:t>
            </w:r>
          </w:p>
        </w:tc>
        <w:tc>
          <w:tcPr>
            <w:tcW w:w="1000" w:type="dxa"/>
            <w:vAlign w:val="bottom"/>
          </w:tcPr>
          <w:p>
            <w:pPr>
              <w:spacing w:after="0"/>
              <w:rPr>
                <w:sz w:val="19"/>
                <w:szCs w:val="19"/>
                <w:color w:val="auto"/>
              </w:rPr>
            </w:pPr>
          </w:p>
        </w:tc>
      </w:tr>
      <w:tr>
        <w:trPr>
          <w:trHeight w:val="216"/>
        </w:trPr>
        <w:tc>
          <w:tcPr>
            <w:tcW w:w="3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r>
      <w:tr>
        <w:trPr>
          <w:trHeight w:val="216"/>
        </w:trPr>
        <w:tc>
          <w:tcPr>
            <w:tcW w:w="3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 and</w:t>
            </w:r>
          </w:p>
        </w:tc>
      </w:tr>
      <w:tr>
        <w:trPr>
          <w:trHeight w:val="230"/>
        </w:trPr>
        <w:tc>
          <w:tcPr>
            <w:tcW w:w="36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2560" w:type="dxa"/>
            <w:vAlign w:val="bottom"/>
            <w:gridSpan w:val="2"/>
          </w:tcPr>
          <w:p>
            <w:pPr>
              <w:spacing w:after="0"/>
              <w:rPr>
                <w:sz w:val="20"/>
                <w:szCs w:val="20"/>
                <w:color w:val="auto"/>
              </w:rPr>
            </w:pPr>
            <w:r>
              <w:rPr>
                <w:rFonts w:ascii="Arial" w:cs="Arial" w:eastAsia="Arial" w:hAnsi="Arial"/>
                <w:sz w:val="18"/>
                <w:szCs w:val="18"/>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661" w:right="39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EXHIBIT INDEX</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2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520" w:type="dxa"/>
            <w:vAlign w:val="bottom"/>
          </w:tcPr>
          <w:p>
            <w:pPr>
              <w:spacing w:after="0"/>
              <w:rPr>
                <w:sz w:val="19"/>
                <w:szCs w:val="19"/>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Amended and Restated Certificate of Incorporation, as currently in effect (filed as Exhibit 3.1 to the Registrant’s Quarterly Report on Form</w:t>
            </w:r>
          </w:p>
        </w:tc>
      </w:tr>
      <w:tr>
        <w:trPr>
          <w:trHeight w:val="230"/>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10-Q filed with the Securities and Exchange Commission on November 14, 2013).</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3"/>
              </w:rPr>
              <w:t>Amended and Restated Bylaws, as currently in effect (filed as Exhibit 3.2 to the Registrant’s Quarterly Report on Form 10-Q filed with the</w:t>
            </w:r>
          </w:p>
        </w:tc>
      </w:tr>
      <w:tr>
        <w:trPr>
          <w:trHeight w:val="230"/>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Securities and Exchange Commission on November 14, 2013).</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Translation of Lease Agreement dated April 1, 2014 between the Company and Taiwan Asset Management Corporation for office and</w:t>
            </w:r>
          </w:p>
        </w:tc>
      </w:tr>
      <w:tr>
        <w:trPr>
          <w:trHeight w:val="216"/>
        </w:trPr>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6"/>
              </w:rPr>
              <w:t>manufacturing space at No. 18, Gong 4th Rd., Gong’er Industrial Park, Linkou District, New Taipei City 244, Taiwan (R.O.C.) (filed as</w:t>
            </w:r>
          </w:p>
        </w:tc>
      </w:tr>
      <w:tr>
        <w:trPr>
          <w:trHeight w:val="230"/>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9"/>
              </w:rPr>
              <w:t>Exhibit 1.01 to the Registrant’s Current Report on Form 8-K filed with the Securities and Exchange Commission on April 7, 2014).</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10.2**</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Translation of Chinese form of RMB Working Capital Loan Agreement between the Global Technology Inc. and China Construction Bank –</w:t>
            </w:r>
          </w:p>
        </w:tc>
      </w:tr>
      <w:tr>
        <w:trPr>
          <w:trHeight w:val="257"/>
        </w:trPr>
        <w:tc>
          <w:tcPr>
            <w:tcW w:w="6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Revolving line of credit with a China bank up to $12 million (Schedule updated as of June 30, 2014)</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10.3**</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7"/>
              </w:rPr>
              <w:t>Translation of Chinese form of USD Trust Receipt Loan Agreement between Global Technology Inc. and China Construction Bank -</w:t>
            </w:r>
          </w:p>
        </w:tc>
      </w:tr>
      <w:tr>
        <w:trPr>
          <w:trHeight w:val="230"/>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Revolving line of credit with a China bank up to $3.3 million (Schedule updated as of June 30, 2014).</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31.1**</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Certification of Chief Executive Officer pursuant to Exchange Act Rule, 13a-14(a) and 15d-14(a), as adopted pursuant to Section 302 of the</w:t>
            </w:r>
          </w:p>
        </w:tc>
      </w:tr>
      <w:tr>
        <w:trPr>
          <w:trHeight w:val="230"/>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31.2**</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2"/>
              </w:rPr>
              <w:t>Certification of Chief Financial Officer pursuant to Exchange Act Rule, 13a-14(a) and 15d-14(a), as adopted pursuant to Section 302 of the</w:t>
            </w:r>
          </w:p>
        </w:tc>
      </w:tr>
      <w:tr>
        <w:trPr>
          <w:trHeight w:val="230"/>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32.1**</w:t>
            </w:r>
          </w:p>
        </w:tc>
        <w:tc>
          <w:tcPr>
            <w:tcW w:w="520" w:type="dxa"/>
            <w:vAlign w:val="bottom"/>
          </w:tcPr>
          <w:p>
            <w:pPr>
              <w:spacing w:after="0"/>
              <w:rPr>
                <w:sz w:val="24"/>
                <w:szCs w:val="24"/>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w w:val="91"/>
              </w:rPr>
              <w:t>Certification pursuant to 18 U.S.C. 1350, adopted pursuant to Section 906 of the Sarbanes-Oxley Act of 2002, by Chief Executive Officer and</w:t>
            </w:r>
          </w:p>
        </w:tc>
      </w:tr>
      <w:tr>
        <w:trPr>
          <w:trHeight w:val="230"/>
        </w:trPr>
        <w:tc>
          <w:tcPr>
            <w:tcW w:w="6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24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24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2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2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4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2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82689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5" w:lineRule="exact"/>
        <w:rPr>
          <w:sz w:val="20"/>
          <w:szCs w:val="20"/>
          <w:color w:val="auto"/>
        </w:rPr>
      </w:pPr>
    </w:p>
    <w:p>
      <w:pPr>
        <w:ind w:right="6900" w:firstLine="8"/>
        <w:spacing w:after="0" w:line="258" w:lineRule="auto"/>
        <w:tabs>
          <w:tab w:leader="none" w:pos="49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Incorporated herein by reference to the indicated filing. ** Filed herewith.</w:t>
      </w:r>
    </w:p>
    <w:p>
      <w:pPr>
        <w:spacing w:after="0" w:line="1" w:lineRule="exact"/>
        <w:rPr>
          <w:rFonts w:ascii="Arial" w:cs="Arial" w:eastAsia="Arial" w:hAnsi="Arial"/>
          <w:sz w:val="18"/>
          <w:szCs w:val="18"/>
          <w:color w:val="auto"/>
        </w:rPr>
      </w:pPr>
    </w:p>
    <w:p>
      <w:pPr>
        <w:spacing w:after="0" w:line="255" w:lineRule="auto"/>
        <w:rPr>
          <w:rFonts w:ascii="Arial" w:cs="Arial" w:eastAsia="Arial" w:hAnsi="Arial"/>
          <w:sz w:val="18"/>
          <w:szCs w:val="18"/>
          <w:color w:val="auto"/>
        </w:rPr>
      </w:pPr>
      <w:r>
        <w:rPr>
          <w:rFonts w:ascii="Arial" w:cs="Arial" w:eastAsia="Arial" w:hAnsi="Arial"/>
          <w:sz w:val="18"/>
          <w:szCs w:val="18"/>
          <w:color w:val="auto"/>
        </w:rPr>
        <w:t>*** XBRL (Extensible Business Reporting Language) information is furnished and not filed or part of a registration statement or prospectus for purposes of Sections 11 or 12 of the Securities Exchange Act of 1933, as amended, is deemed not filed for purpose of Section 18 of the Securities Exchange Act of 1934, as amended, and is not otherwise subject to liability under these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10.02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Contract No.: 1230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TECHNOLOGY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CHINA CONSTRUCTION BANK - NINGBO YINZHOU BRANCH</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220980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RMB WORKING CAPITAL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504190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80"/>
        <w:spacing w:after="0" w:line="29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RMB Loan Agreement</w:t>
      </w:r>
      <w:r>
        <w:rPr>
          <w:rFonts w:ascii="Arial" w:cs="Arial" w:eastAsia="Arial" w:hAnsi="Arial"/>
          <w:sz w:val="18"/>
          <w:szCs w:val="18"/>
          <w:color w:val="auto"/>
        </w:rPr>
        <w:t xml:space="preserve"> (the “</w:t>
      </w:r>
      <w:r>
        <w:rPr>
          <w:rFonts w:ascii="Arial" w:cs="Arial" w:eastAsia="Arial" w:hAnsi="Arial"/>
          <w:sz w:val="18"/>
          <w:szCs w:val="18"/>
          <w:b w:val="1"/>
          <w:bCs w:val="1"/>
          <w:color w:val="auto"/>
        </w:rPr>
        <w:t>Contract</w:t>
      </w:r>
      <w:r>
        <w:rPr>
          <w:rFonts w:ascii="Arial" w:cs="Arial" w:eastAsia="Arial" w:hAnsi="Arial"/>
          <w:sz w:val="18"/>
          <w:szCs w:val="18"/>
          <w:color w:val="auto"/>
        </w:rPr>
        <w:t>”) is entered into in order for the company’s daily operation expense [, including material purchase payment and employee’s salary], by and between:</w:t>
      </w:r>
    </w:p>
    <w:p>
      <w:pPr>
        <w:spacing w:after="0" w:line="134" w:lineRule="exact"/>
        <w:rPr>
          <w:sz w:val="20"/>
          <w:szCs w:val="20"/>
          <w:color w:val="auto"/>
        </w:rPr>
      </w:pPr>
    </w:p>
    <w:p>
      <w:pPr>
        <w:ind w:right="500"/>
        <w:spacing w:after="0" w:line="313" w:lineRule="auto"/>
        <w:rPr>
          <w:sz w:val="20"/>
          <w:szCs w:val="20"/>
          <w:color w:val="auto"/>
        </w:rPr>
      </w:pPr>
      <w:r>
        <w:rPr>
          <w:rFonts w:ascii="Arial" w:cs="Arial" w:eastAsia="Arial" w:hAnsi="Arial"/>
          <w:sz w:val="17"/>
          <w:szCs w:val="17"/>
          <w:b w:val="1"/>
          <w:bCs w:val="1"/>
          <w:color w:val="auto"/>
        </w:rPr>
        <w:t>GLOBAL TECHNOLOGY INC.</w:t>
      </w:r>
      <w:r>
        <w:rPr>
          <w:rFonts w:ascii="Arial" w:cs="Arial" w:eastAsia="Arial" w:hAnsi="Arial"/>
          <w:sz w:val="17"/>
          <w:szCs w:val="17"/>
          <w:color w:val="auto"/>
        </w:rPr>
        <w:t xml:space="preserve">, located at NO. 88, QIUSHI RD, WANGCHUN INDUSTRIAL PART, NINGBO, CHINA, P.C.315176 with CHIH-HSIANG LIN as its legal representative and its fax number 88133820 and its telephone number 574-88133818 as borrower </w:t>
      </w:r>
      <w:r>
        <w:rPr>
          <w:rFonts w:ascii="Arial" w:cs="Arial" w:eastAsia="Arial" w:hAnsi="Arial"/>
          <w:sz w:val="17"/>
          <w:szCs w:val="17"/>
          <w:b w:val="1"/>
          <w:bCs w:val="1"/>
          <w:color w:val="auto"/>
        </w:rPr>
        <w:t>(“Party A”)</w:t>
      </w:r>
      <w:r>
        <w:rPr>
          <w:rFonts w:ascii="Arial" w:cs="Arial" w:eastAsia="Arial" w:hAnsi="Arial"/>
          <w:sz w:val="17"/>
          <w:szCs w:val="17"/>
          <w:color w:val="auto"/>
        </w:rPr>
        <w:t>; and</w:t>
      </w:r>
    </w:p>
    <w:p>
      <w:pPr>
        <w:spacing w:after="0" w:line="13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CHINA CONSTRUCTION BANK - NINGBO YINZHOU BRANCH</w:t>
      </w:r>
      <w:r>
        <w:rPr>
          <w:rFonts w:ascii="Arial" w:cs="Arial" w:eastAsia="Arial" w:hAnsi="Arial"/>
          <w:sz w:val="18"/>
          <w:szCs w:val="18"/>
          <w:color w:val="auto"/>
        </w:rPr>
        <w:t>, located at TAIKANG ZHONG RD S. COMMERCIAL AREA 2ND FL, GUOHUA</w:t>
      </w:r>
      <w:r>
        <w:rPr>
          <w:rFonts w:ascii="Arial" w:cs="Arial" w:eastAsia="Arial" w:hAnsi="Arial"/>
          <w:sz w:val="18"/>
          <w:szCs w:val="18"/>
          <w:b w:val="1"/>
          <w:bCs w:val="1"/>
          <w:color w:val="auto"/>
        </w:rPr>
        <w:t xml:space="preserve"> </w:t>
      </w:r>
      <w:r>
        <w:rPr>
          <w:rFonts w:ascii="Arial" w:cs="Arial" w:eastAsia="Arial" w:hAnsi="Arial"/>
          <w:sz w:val="18"/>
          <w:szCs w:val="18"/>
          <w:color w:val="auto"/>
        </w:rPr>
        <w:t>INT’L BLDG NO. 500, 315040 with · as its principal officer and its fax number being 87370029 and its telephone number being 87374267, as lender (“</w:t>
      </w:r>
      <w:r>
        <w:rPr>
          <w:rFonts w:ascii="Arial" w:cs="Arial" w:eastAsia="Arial" w:hAnsi="Arial"/>
          <w:sz w:val="18"/>
          <w:szCs w:val="18"/>
          <w:b w:val="1"/>
          <w:bCs w:val="1"/>
          <w:color w:val="auto"/>
        </w:rPr>
        <w:t>Party</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Party A wishes to apply to Party B for a loan, and Party B agrees to extend to Party A such loan.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NOW THEREFORE upon consultation in accordance with applicable laws and regulations, both parties hereto agree as follows:</w:t>
      </w:r>
    </w:p>
    <w:p>
      <w:pPr>
        <w:spacing w:after="0" w:line="221"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LOAN AMOUNT</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amount of the loan that Party B provides to Party A hereunder shall be RMB </w:t>
      </w:r>
      <w:r>
        <w:rPr>
          <w:rFonts w:ascii="Arial" w:cs="Arial" w:eastAsia="Arial" w:hAnsi="Arial"/>
          <w:sz w:val="18"/>
          <w:szCs w:val="18"/>
          <w:b w:val="1"/>
          <w:bCs w:val="1"/>
          <w:color w:val="auto"/>
        </w:rPr>
        <w:t>[see Schedule A]</w:t>
      </w:r>
      <w:r>
        <w:rPr>
          <w:rFonts w:ascii="Arial" w:cs="Arial" w:eastAsia="Arial" w:hAnsi="Arial"/>
          <w:sz w:val="18"/>
          <w:szCs w:val="18"/>
          <w:color w:val="auto"/>
        </w:rPr>
        <w:t xml:space="preserve"> (the “</w:t>
      </w:r>
      <w:r>
        <w:rPr>
          <w:rFonts w:ascii="Arial" w:cs="Arial" w:eastAsia="Arial" w:hAnsi="Arial"/>
          <w:sz w:val="18"/>
          <w:szCs w:val="18"/>
          <w:b w:val="1"/>
          <w:bCs w:val="1"/>
          <w:color w:val="auto"/>
        </w:rPr>
        <w:t>Loan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340" w:right="5100" w:hanging="332"/>
        <w:spacing w:after="0" w:line="533" w:lineRule="auto"/>
        <w:tabs>
          <w:tab w:leader="none" w:pos="34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PURPOSE OF THE LOAN AND SOURCES OF FUNDS FOR REPAYMENT </w:t>
      </w:r>
      <w:r>
        <w:rPr>
          <w:rFonts w:ascii="Arial" w:cs="Arial" w:eastAsia="Arial" w:hAnsi="Arial"/>
          <w:sz w:val="17"/>
          <w:szCs w:val="17"/>
          <w:color w:val="auto"/>
        </w:rPr>
        <w:t>Party A shall utilize the loan for the purpose of the routine production operation.</w:t>
      </w:r>
    </w:p>
    <w:p>
      <w:pPr>
        <w:ind w:left="340" w:right="460"/>
        <w:spacing w:after="0" w:line="277" w:lineRule="auto"/>
        <w:rPr>
          <w:rFonts w:ascii="Arial" w:cs="Arial" w:eastAsia="Arial" w:hAnsi="Arial"/>
          <w:sz w:val="17"/>
          <w:szCs w:val="17"/>
          <w:b w:val="1"/>
          <w:bCs w:val="1"/>
          <w:color w:val="auto"/>
        </w:rPr>
      </w:pPr>
      <w:r>
        <w:rPr>
          <w:rFonts w:ascii="Arial" w:cs="Arial" w:eastAsia="Arial" w:hAnsi="Arial"/>
          <w:sz w:val="18"/>
          <w:szCs w:val="18"/>
          <w:color w:val="auto"/>
        </w:rPr>
        <w:t>The information relating to specific purposes of such loan under the Contract and sources of funds for repayment shall be determined in Schedule 1 “</w:t>
      </w:r>
      <w:r>
        <w:rPr>
          <w:rFonts w:ascii="Arial" w:cs="Arial" w:eastAsia="Arial" w:hAnsi="Arial"/>
          <w:sz w:val="18"/>
          <w:szCs w:val="18"/>
          <w:b w:val="1"/>
          <w:bCs w:val="1"/>
          <w:color w:val="auto"/>
        </w:rPr>
        <w:t>Loan Information</w:t>
      </w:r>
      <w:r>
        <w:rPr>
          <w:rFonts w:ascii="Arial" w:cs="Arial" w:eastAsia="Arial" w:hAnsi="Arial"/>
          <w:sz w:val="18"/>
          <w:szCs w:val="18"/>
          <w:color w:val="auto"/>
        </w:rPr>
        <w:t>”.</w:t>
      </w:r>
    </w:p>
    <w:p>
      <w:pPr>
        <w:spacing w:after="0" w:line="166" w:lineRule="exact"/>
        <w:rPr>
          <w:rFonts w:ascii="Arial" w:cs="Arial" w:eastAsia="Arial" w:hAnsi="Arial"/>
          <w:sz w:val="17"/>
          <w:szCs w:val="17"/>
          <w:b w:val="1"/>
          <w:bCs w:val="1"/>
          <w:color w:val="auto"/>
        </w:rPr>
      </w:pPr>
    </w:p>
    <w:p>
      <w:pPr>
        <w:ind w:left="340" w:hanging="332"/>
        <w:spacing w:after="0"/>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TERM OF THE LOAN</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term of the Loan shall be 12 months, commencing from [see Schedule A] and expiring on [see Schedule A]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340" w:right="100"/>
        <w:spacing w:after="0" w:line="289" w:lineRule="auto"/>
        <w:rPr>
          <w:rFonts w:ascii="Arial" w:cs="Arial" w:eastAsia="Arial" w:hAnsi="Arial"/>
          <w:sz w:val="18"/>
          <w:szCs w:val="18"/>
          <w:b w:val="1"/>
          <w:bCs w:val="1"/>
          <w:color w:val="auto"/>
        </w:rPr>
      </w:pPr>
      <w:r>
        <w:rPr>
          <w:rFonts w:ascii="Arial" w:cs="Arial" w:eastAsia="Arial" w:hAnsi="Arial"/>
          <w:sz w:val="17"/>
          <w:szCs w:val="17"/>
          <w:color w:val="auto"/>
        </w:rPr>
        <w:t>Where the above commencement date is inconsistent with the date set forth on the loan-to deposit certificate (the “</w:t>
      </w:r>
      <w:r>
        <w:rPr>
          <w:rFonts w:ascii="Arial" w:cs="Arial" w:eastAsia="Arial" w:hAnsi="Arial"/>
          <w:sz w:val="17"/>
          <w:szCs w:val="17"/>
          <w:b w:val="1"/>
          <w:bCs w:val="1"/>
          <w:color w:val="auto"/>
        </w:rPr>
        <w:t>LDC</w:t>
      </w:r>
      <w:r>
        <w:rPr>
          <w:rFonts w:ascii="Arial" w:cs="Arial" w:eastAsia="Arial" w:hAnsi="Arial"/>
          <w:sz w:val="17"/>
          <w:szCs w:val="17"/>
          <w:color w:val="auto"/>
        </w:rPr>
        <w:t>” or “Loan Receipt”, the date set forth on the LDC for the first advance of the Loan shall be the commencement date of the Term and the expiry date of the Term shall be adjusted accordingly. The LDC shall constitute an integral part of the Contract and have the equal legal force as the Contract.</w:t>
      </w:r>
    </w:p>
    <w:p>
      <w:pPr>
        <w:spacing w:after="0" w:line="158" w:lineRule="exact"/>
        <w:rPr>
          <w:rFonts w:ascii="Arial" w:cs="Arial" w:eastAsia="Arial" w:hAnsi="Arial"/>
          <w:sz w:val="18"/>
          <w:szCs w:val="18"/>
          <w:b w:val="1"/>
          <w:bCs w:val="1"/>
          <w:color w:val="auto"/>
        </w:rPr>
      </w:pPr>
    </w:p>
    <w:p>
      <w:pPr>
        <w:ind w:left="340" w:right="1840" w:hanging="332"/>
        <w:spacing w:after="0" w:line="503" w:lineRule="auto"/>
        <w:tabs>
          <w:tab w:leader="none" w:pos="34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RATE ON THE LOAN, DEFAULT INTEREST RATE, INTEREST CALCULATION AND SETTLEMENT </w:t>
      </w:r>
      <w:r>
        <w:rPr>
          <w:rFonts w:ascii="Arial" w:cs="Arial" w:eastAsia="Arial" w:hAnsi="Arial"/>
          <w:sz w:val="18"/>
          <w:szCs w:val="18"/>
          <w:color w:val="auto"/>
        </w:rPr>
        <w:t>4.1 Interest Rate on the Loan (the “</w:t>
      </w:r>
      <w:r>
        <w:rPr>
          <w:rFonts w:ascii="Arial" w:cs="Arial" w:eastAsia="Arial" w:hAnsi="Arial"/>
          <w:sz w:val="18"/>
          <w:szCs w:val="18"/>
          <w:b w:val="1"/>
          <w:bCs w:val="1"/>
          <w:color w:val="auto"/>
        </w:rPr>
        <w:t>Loan Rate</w:t>
      </w:r>
      <w:r>
        <w:rPr>
          <w:rFonts w:ascii="Arial" w:cs="Arial" w:eastAsia="Arial" w:hAnsi="Arial"/>
          <w:sz w:val="18"/>
          <w:szCs w:val="18"/>
          <w:color w:val="auto"/>
        </w:rPr>
        <w:t>”)</w:t>
      </w:r>
    </w:p>
    <w:p>
      <w:pPr>
        <w:ind w:left="840"/>
        <w:spacing w:after="0"/>
        <w:rPr>
          <w:rFonts w:ascii="Arial" w:cs="Arial" w:eastAsia="Arial" w:hAnsi="Arial"/>
          <w:sz w:val="18"/>
          <w:szCs w:val="18"/>
          <w:b w:val="1"/>
          <w:bCs w:val="1"/>
          <w:color w:val="auto"/>
        </w:rPr>
      </w:pPr>
      <w:r>
        <w:rPr>
          <w:rFonts w:ascii="Arial" w:cs="Arial" w:eastAsia="Arial" w:hAnsi="Arial"/>
          <w:sz w:val="18"/>
          <w:szCs w:val="18"/>
          <w:color w:val="auto"/>
        </w:rPr>
        <w:t>The Loan Rate hereunder shall be an annual rate set forth in item (2) below:</w:t>
      </w:r>
    </w:p>
    <w:p>
      <w:pPr>
        <w:spacing w:after="0" w:line="225" w:lineRule="exact"/>
        <w:rPr>
          <w:sz w:val="20"/>
          <w:szCs w:val="20"/>
          <w:color w:val="auto"/>
        </w:rPr>
      </w:pPr>
    </w:p>
    <w:p>
      <w:pPr>
        <w:ind w:left="820"/>
        <w:spacing w:after="0"/>
        <w:tabs>
          <w:tab w:leader="none" w:pos="3700" w:val="left"/>
        </w:tabs>
        <w:rPr>
          <w:sz w:val="20"/>
          <w:szCs w:val="20"/>
          <w:color w:val="auto"/>
        </w:rPr>
      </w:pPr>
      <w:r>
        <w:rPr>
          <w:rFonts w:ascii="Arial" w:cs="Arial" w:eastAsia="Arial" w:hAnsi="Arial"/>
          <w:sz w:val="18"/>
          <w:szCs w:val="18"/>
          <w:color w:val="auto"/>
        </w:rPr>
        <w:t>(1)  a fixed interest rate of</w:t>
      </w:r>
      <w:r>
        <w:rPr>
          <w:sz w:val="20"/>
          <w:szCs w:val="20"/>
          <w:color w:val="auto"/>
        </w:rPr>
        <w:tab/>
      </w:r>
      <w:r>
        <w:rPr>
          <w:rFonts w:ascii="Arial" w:cs="Arial" w:eastAsia="Arial" w:hAnsi="Arial"/>
          <w:sz w:val="16"/>
          <w:szCs w:val="16"/>
          <w:color w:val="auto"/>
        </w:rPr>
        <w:t>% which shall remain the same during the Term;</w:t>
      </w:r>
    </w:p>
    <w:p>
      <w:pPr>
        <w:spacing w:after="0" w:line="221" w:lineRule="exact"/>
        <w:rPr>
          <w:sz w:val="20"/>
          <w:szCs w:val="20"/>
          <w:color w:val="auto"/>
        </w:rPr>
      </w:pPr>
    </w:p>
    <w:p>
      <w:pPr>
        <w:ind w:left="1140" w:right="120" w:hanging="322"/>
        <w:spacing w:after="0" w:line="282" w:lineRule="auto"/>
        <w:tabs>
          <w:tab w:leader="none" w:pos="1147"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 xml:space="preserve">[See Schedule A] </w:t>
      </w:r>
      <w:r>
        <w:rPr>
          <w:rFonts w:ascii="Arial" w:cs="Arial" w:eastAsia="Arial" w:hAnsi="Arial"/>
          <w:sz w:val="18"/>
          <w:szCs w:val="18"/>
          <w:color w:val="auto"/>
        </w:rPr>
        <w:t>on the date when interest commences to accrue (the “</w:t>
      </w:r>
      <w:r>
        <w:rPr>
          <w:rFonts w:ascii="Arial" w:cs="Arial" w:eastAsia="Arial" w:hAnsi="Arial"/>
          <w:sz w:val="18"/>
          <w:szCs w:val="18"/>
          <w:b w:val="1"/>
          <w:bCs w:val="1"/>
          <w:color w:val="auto"/>
        </w:rPr>
        <w:t>Interest Commencement Date</w:t>
      </w:r>
      <w:r>
        <w:rPr>
          <w:rFonts w:ascii="Arial" w:cs="Arial" w:eastAsia="Arial" w:hAnsi="Arial"/>
          <w:sz w:val="18"/>
          <w:szCs w:val="18"/>
          <w:color w:val="auto"/>
        </w:rPr>
        <w:t>”). Such interest rate shall remain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during the Term; or</w:t>
      </w:r>
    </w:p>
    <w:p>
      <w:pPr>
        <w:sectPr>
          <w:pgSz w:w="11900" w:h="16838" w:orient="portrait"/>
          <w:cols w:equalWidth="0" w:num="1">
            <w:col w:w="11420"/>
          </w:cols>
          <w:pgMar w:left="240" w:top="364" w:right="239" w:bottom="0" w:gutter="0" w:footer="0" w:header="0"/>
        </w:sectPr>
      </w:pPr>
    </w:p>
    <w:bookmarkStart w:id="42" w:name="page43"/>
    <w:bookmarkEnd w:id="42"/>
    <w:p>
      <w:pPr>
        <w:ind w:left="1132" w:right="80" w:hanging="323"/>
        <w:spacing w:after="0" w:line="287" w:lineRule="auto"/>
        <w:rPr>
          <w:sz w:val="20"/>
          <w:szCs w:val="20"/>
          <w:color w:val="auto"/>
        </w:rPr>
      </w:pPr>
      <w:r>
        <w:rPr>
          <w:rFonts w:ascii="Arial" w:cs="Arial" w:eastAsia="Arial" w:hAnsi="Arial"/>
          <w:sz w:val="18"/>
          <w:szCs w:val="18"/>
          <w:color w:val="auto"/>
        </w:rPr>
        <w:t>(3) a floating interest rate equal to</w:t>
      </w:r>
      <w:r>
        <w:rPr>
          <w:sz w:val="20"/>
          <w:szCs w:val="20"/>
          <w:color w:val="auto"/>
        </w:rPr>
        <w:t xml:space="preserve"> </w:t>
      </w:r>
      <w:r>
        <w:rPr>
          <w:rFonts w:ascii="Arial" w:cs="Arial" w:eastAsia="Arial" w:hAnsi="Arial"/>
          <w:sz w:val="16"/>
          <w:szCs w:val="16"/>
          <w:color w:val="auto"/>
        </w:rPr>
        <w:t>(100% a floating percentage of %) (the “</w:t>
      </w:r>
      <w:r>
        <w:rPr>
          <w:rFonts w:ascii="Arial" w:cs="Arial" w:eastAsia="Arial" w:hAnsi="Arial"/>
          <w:sz w:val="16"/>
          <w:szCs w:val="16"/>
          <w:b w:val="1"/>
          <w:bCs w:val="1"/>
          <w:color w:val="auto"/>
        </w:rPr>
        <w:t>Floating Percentage</w:t>
      </w:r>
      <w:r>
        <w:rPr>
          <w:rFonts w:ascii="Arial" w:cs="Arial" w:eastAsia="Arial" w:hAnsi="Arial"/>
          <w:sz w:val="16"/>
          <w:szCs w:val="16"/>
          <w:color w:val="auto"/>
        </w:rPr>
        <w:t>”) of the Base Rate (as defined below) on the date when interest commences to accrue (the “</w:t>
      </w:r>
      <w:r>
        <w:rPr>
          <w:rFonts w:ascii="Arial" w:cs="Arial" w:eastAsia="Arial" w:hAnsi="Arial"/>
          <w:sz w:val="16"/>
          <w:szCs w:val="16"/>
          <w:b w:val="1"/>
          <w:bCs w:val="1"/>
          <w:color w:val="auto"/>
        </w:rPr>
        <w:t>Interest Commencement Date</w:t>
      </w:r>
      <w:r>
        <w:rPr>
          <w:rFonts w:ascii="Arial" w:cs="Arial" w:eastAsia="Arial" w:hAnsi="Arial"/>
          <w:sz w:val="16"/>
          <w:szCs w:val="16"/>
          <w:color w:val="auto"/>
        </w:rPr>
        <w:t>”). The Loan Rate shall, during the period between the Interest Commencement Date and the date when all the principal amount and interest accrued thereon under the Contract have been fully repaid, be adjusted once every months in accordance with the Base Rate on the interest rate adjustment date and the Floating Percentage.</w:t>
      </w:r>
    </w:p>
    <w:p>
      <w:pPr>
        <w:spacing w:after="0" w:line="3" w:lineRule="exact"/>
        <w:rPr>
          <w:sz w:val="20"/>
          <w:szCs w:val="20"/>
          <w:color w:val="auto"/>
        </w:rPr>
      </w:pPr>
    </w:p>
    <w:p>
      <w:pPr>
        <w:ind w:left="1132"/>
        <w:spacing w:after="0"/>
        <w:rPr>
          <w:sz w:val="20"/>
          <w:szCs w:val="20"/>
          <w:color w:val="auto"/>
        </w:rPr>
      </w:pPr>
      <w:r>
        <w:rPr>
          <w:rFonts w:ascii="Arial" w:cs="Arial" w:eastAsia="Arial" w:hAnsi="Arial"/>
          <w:sz w:val="18"/>
          <w:szCs w:val="18"/>
          <w:color w:val="auto"/>
        </w:rPr>
        <w:t>The interest rate adjustment date shall be a date corresponding to the Interest</w:t>
      </w:r>
    </w:p>
    <w:p>
      <w:pPr>
        <w:spacing w:after="0" w:line="211" w:lineRule="exact"/>
        <w:rPr>
          <w:sz w:val="20"/>
          <w:szCs w:val="20"/>
          <w:color w:val="auto"/>
        </w:rPr>
      </w:pPr>
    </w:p>
    <w:p>
      <w:pPr>
        <w:ind w:left="565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32" w:right="360"/>
        <w:spacing w:after="0" w:line="277" w:lineRule="auto"/>
        <w:rPr>
          <w:sz w:val="20"/>
          <w:szCs w:val="20"/>
          <w:color w:val="auto"/>
        </w:rPr>
      </w:pPr>
      <w:r>
        <w:rPr>
          <w:rFonts w:ascii="Arial" w:cs="Arial" w:eastAsia="Arial" w:hAnsi="Arial"/>
          <w:sz w:val="18"/>
          <w:szCs w:val="18"/>
          <w:color w:val="auto"/>
        </w:rPr>
        <w:t>Commencement Date in the month when such interest is adjusted. If there is no such a date corresponding to the Interest Commencement Date in such month, the adjustment date for the interest rate shall be the last day of such month.</w:t>
      </w:r>
    </w:p>
    <w:p>
      <w:pPr>
        <w:spacing w:after="0" w:line="170" w:lineRule="exact"/>
        <w:rPr>
          <w:sz w:val="20"/>
          <w:szCs w:val="20"/>
          <w:color w:val="auto"/>
        </w:rPr>
      </w:pPr>
    </w:p>
    <w:p>
      <w:pPr>
        <w:ind w:left="332"/>
        <w:spacing w:after="0"/>
        <w:tabs>
          <w:tab w:leader="none" w:pos="71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Default Interest Rate</w:t>
      </w:r>
    </w:p>
    <w:p>
      <w:pPr>
        <w:spacing w:after="0" w:line="221" w:lineRule="exact"/>
        <w:rPr>
          <w:sz w:val="20"/>
          <w:szCs w:val="20"/>
          <w:color w:val="auto"/>
        </w:rPr>
      </w:pPr>
    </w:p>
    <w:p>
      <w:pPr>
        <w:ind w:left="1132" w:right="20" w:hanging="322"/>
        <w:spacing w:after="0" w:line="289" w:lineRule="auto"/>
        <w:tabs>
          <w:tab w:leader="none" w:pos="1139" w:val="left"/>
        </w:tabs>
        <w:numPr>
          <w:ilvl w:val="0"/>
          <w:numId w:val="21"/>
        </w:numPr>
        <w:rPr>
          <w:rFonts w:ascii="Arial" w:cs="Arial" w:eastAsia="Arial" w:hAnsi="Arial"/>
          <w:sz w:val="17"/>
          <w:szCs w:val="17"/>
          <w:color w:val="auto"/>
        </w:rPr>
      </w:pPr>
      <w:r>
        <w:rPr>
          <w:rFonts w:ascii="Arial" w:cs="Arial" w:eastAsia="Arial" w:hAnsi="Arial"/>
          <w:sz w:val="17"/>
          <w:szCs w:val="17"/>
          <w:color w:val="auto"/>
        </w:rPr>
        <w:t>If Party A does not use the Loan hereunder for purposes set forth herein (“</w:t>
      </w:r>
      <w:r>
        <w:rPr>
          <w:rFonts w:ascii="Arial" w:cs="Arial" w:eastAsia="Arial" w:hAnsi="Arial"/>
          <w:sz w:val="17"/>
          <w:szCs w:val="17"/>
          <w:b w:val="1"/>
          <w:bCs w:val="1"/>
          <w:color w:val="auto"/>
        </w:rPr>
        <w:t>Misappropriation</w:t>
      </w:r>
      <w:r>
        <w:rPr>
          <w:rFonts w:ascii="Arial" w:cs="Arial" w:eastAsia="Arial" w:hAnsi="Arial"/>
          <w:sz w:val="17"/>
          <w:szCs w:val="17"/>
          <w:color w:val="auto"/>
        </w:rPr>
        <w:t>”), the default interest rate on such Loan shall be (100% plus 100%) of the Loan Rate. If the Loan Rate is adjusted according to Article 4.1 (3) above, the default interest rate shall be adjusted in accordance with the adjusted Loan Rate and the upward floating percentage set out in this Article 4.2 (1).</w:t>
      </w:r>
    </w:p>
    <w:p>
      <w:pPr>
        <w:spacing w:after="0" w:line="162" w:lineRule="exact"/>
        <w:rPr>
          <w:rFonts w:ascii="Arial" w:cs="Arial" w:eastAsia="Arial" w:hAnsi="Arial"/>
          <w:sz w:val="17"/>
          <w:szCs w:val="17"/>
          <w:color w:val="auto"/>
        </w:rPr>
      </w:pPr>
    </w:p>
    <w:p>
      <w:pPr>
        <w:ind w:left="1132" w:hanging="322"/>
        <w:spacing w:after="0"/>
        <w:tabs>
          <w:tab w:leader="none" w:pos="113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default interest rate on overdue Loan shall be (100% plus 50 %) of the Loan Rate. If the Loan Rate is adjusted according to Article 4.1</w:t>
      </w:r>
    </w:p>
    <w:p>
      <w:pPr>
        <w:spacing w:after="0" w:line="46" w:lineRule="exact"/>
        <w:rPr>
          <w:rFonts w:ascii="Arial" w:cs="Arial" w:eastAsia="Arial" w:hAnsi="Arial"/>
          <w:sz w:val="16"/>
          <w:szCs w:val="16"/>
          <w:color w:val="auto"/>
        </w:rPr>
      </w:pPr>
    </w:p>
    <w:p>
      <w:pPr>
        <w:ind w:left="1132" w:right="80"/>
        <w:spacing w:after="0" w:line="261" w:lineRule="auto"/>
        <w:rPr>
          <w:rFonts w:ascii="Arial" w:cs="Arial" w:eastAsia="Arial" w:hAnsi="Arial"/>
          <w:sz w:val="16"/>
          <w:szCs w:val="16"/>
          <w:color w:val="auto"/>
        </w:rPr>
      </w:pPr>
      <w:r>
        <w:rPr>
          <w:rFonts w:ascii="Arial" w:cs="Arial" w:eastAsia="Arial" w:hAnsi="Arial"/>
          <w:sz w:val="18"/>
          <w:szCs w:val="18"/>
          <w:color w:val="auto"/>
        </w:rPr>
        <w:t>(3) above, such default interest rate shall be adjusted in accordance with the adjusted Loan Rate and the upward floating percentage set out in this Article 4.2 (2).</w:t>
      </w:r>
    </w:p>
    <w:p>
      <w:pPr>
        <w:spacing w:after="0" w:line="183" w:lineRule="exact"/>
        <w:rPr>
          <w:rFonts w:ascii="Arial" w:cs="Arial" w:eastAsia="Arial" w:hAnsi="Arial"/>
          <w:sz w:val="16"/>
          <w:szCs w:val="16"/>
          <w:color w:val="auto"/>
        </w:rPr>
      </w:pPr>
    </w:p>
    <w:p>
      <w:pPr>
        <w:ind w:left="1132" w:right="100" w:hanging="322"/>
        <w:spacing w:after="0" w:line="277" w:lineRule="auto"/>
        <w:tabs>
          <w:tab w:leader="none" w:pos="11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Misappropriation and overdue payment occur concurrently, the default interest shall be calculated and compounded in accordance with the higher of the two default interest rates provided for in Articles 4.2(1) and 4.2(2) herein.</w:t>
      </w:r>
    </w:p>
    <w:p>
      <w:pPr>
        <w:spacing w:after="0" w:line="170" w:lineRule="exact"/>
        <w:rPr>
          <w:sz w:val="20"/>
          <w:szCs w:val="20"/>
          <w:color w:val="auto"/>
        </w:rPr>
      </w:pPr>
    </w:p>
    <w:p>
      <w:pPr>
        <w:ind w:left="732" w:right="180" w:hanging="404"/>
        <w:spacing w:after="0" w:line="277" w:lineRule="auto"/>
        <w:tabs>
          <w:tab w:leader="none" w:pos="712" w:val="left"/>
        </w:tabs>
        <w:rPr>
          <w:sz w:val="20"/>
          <w:szCs w:val="20"/>
          <w:color w:val="auto"/>
        </w:rPr>
      </w:pPr>
      <w:r>
        <w:rPr>
          <w:rFonts w:ascii="Arial" w:cs="Arial" w:eastAsia="Arial" w:hAnsi="Arial"/>
          <w:sz w:val="18"/>
          <w:szCs w:val="18"/>
          <w:color w:val="auto"/>
        </w:rPr>
        <w:t>4.3</w:t>
        <w:tab/>
        <w:t>The Interest Commencement Date provided in this Article 4 refers to the date on which the proceeds of the first advance have been deposited into the loan disbursement account designated in Article 6 (the “</w:t>
      </w:r>
      <w:r>
        <w:rPr>
          <w:rFonts w:ascii="Arial" w:cs="Arial" w:eastAsia="Arial" w:hAnsi="Arial"/>
          <w:sz w:val="18"/>
          <w:szCs w:val="18"/>
          <w:b w:val="1"/>
          <w:bCs w:val="1"/>
          <w:color w:val="auto"/>
        </w:rPr>
        <w:t>Loan Disbursement Account</w:t>
      </w:r>
      <w:r>
        <w:rPr>
          <w:rFonts w:ascii="Arial" w:cs="Arial" w:eastAsia="Arial" w:hAnsi="Arial"/>
          <w:sz w:val="18"/>
          <w:szCs w:val="18"/>
          <w:color w:val="auto"/>
        </w:rPr>
        <w:t>”).</w:t>
      </w:r>
    </w:p>
    <w:p>
      <w:pPr>
        <w:spacing w:after="0" w:line="166" w:lineRule="exact"/>
        <w:rPr>
          <w:sz w:val="20"/>
          <w:szCs w:val="20"/>
          <w:color w:val="auto"/>
        </w:rPr>
      </w:pPr>
    </w:p>
    <w:p>
      <w:pPr>
        <w:ind w:left="832" w:right="60" w:firstLine="2"/>
        <w:spacing w:after="0" w:line="255" w:lineRule="auto"/>
        <w:rPr>
          <w:sz w:val="20"/>
          <w:szCs w:val="20"/>
          <w:color w:val="auto"/>
        </w:rPr>
      </w:pPr>
      <w:r>
        <w:rPr>
          <w:rFonts w:ascii="Arial" w:cs="Arial" w:eastAsia="Arial" w:hAnsi="Arial"/>
          <w:sz w:val="18"/>
          <w:szCs w:val="18"/>
          <w:color w:val="auto"/>
        </w:rPr>
        <w:t>For the first advance of the Loan, the Base Rate refers to the lending interest rate quoted by the People’s Bank of China (the “</w:t>
      </w:r>
      <w:r>
        <w:rPr>
          <w:rFonts w:ascii="Arial" w:cs="Arial" w:eastAsia="Arial" w:hAnsi="Arial"/>
          <w:sz w:val="18"/>
          <w:szCs w:val="18"/>
          <w:b w:val="1"/>
          <w:bCs w:val="1"/>
          <w:color w:val="auto"/>
        </w:rPr>
        <w:t>PBOC</w:t>
      </w:r>
      <w:r>
        <w:rPr>
          <w:rFonts w:ascii="Arial" w:cs="Arial" w:eastAsia="Arial" w:hAnsi="Arial"/>
          <w:sz w:val="18"/>
          <w:szCs w:val="18"/>
          <w:color w:val="auto"/>
        </w:rPr>
        <w:t>”) on the Interest Commencement Date for loans with the same tenor and within the same category. If the lending interest rate on other advances of the Loan is adjusted in accordance with Article 4.1 (3), the Base Rate refers to the lending interest rate quoted by the PBOC on the interest rate adjustment date for loans with the same tenor and within the same category. If the PBOC no longer publishes such lending interest rate, the Base Rate shall mean, unless agreed otherwise between the parties, the lending interest rate with the same tenor and within the same category generally accepted by the banking industry on the interest rate adjustment date or an interest rate commonly used for a loan with the same tenor and within the same category.</w:t>
      </w:r>
    </w:p>
    <w:p>
      <w:pPr>
        <w:spacing w:after="0" w:line="193" w:lineRule="exact"/>
        <w:rPr>
          <w:sz w:val="20"/>
          <w:szCs w:val="20"/>
          <w:color w:val="auto"/>
        </w:rPr>
      </w:pPr>
    </w:p>
    <w:p>
      <w:pPr>
        <w:ind w:left="732" w:right="40" w:hanging="404"/>
        <w:spacing w:after="0" w:line="259" w:lineRule="auto"/>
        <w:tabs>
          <w:tab w:leader="none" w:pos="712" w:val="left"/>
        </w:tabs>
        <w:rPr>
          <w:sz w:val="20"/>
          <w:szCs w:val="20"/>
          <w:color w:val="auto"/>
        </w:rPr>
      </w:pPr>
      <w:r>
        <w:rPr>
          <w:rFonts w:ascii="Arial" w:cs="Arial" w:eastAsia="Arial" w:hAnsi="Arial"/>
          <w:sz w:val="18"/>
          <w:szCs w:val="18"/>
          <w:color w:val="auto"/>
        </w:rPr>
        <w:t>4.4</w:t>
        <w:tab/>
        <w:t>The interest on the Loan shall commence to accrue as of the date when such Loan proceeds have been deposited into the Loan Disbursement Account designated by Party A. Interest on the Loan shall be computed daily with the daily interest rate equal to 1/360 of the annual interest rate. If Party A can not pay interest on the interest settlement date as provided herein, the interest shall be compounded as of the date immediately following the applicable interest settlement date.</w:t>
      </w:r>
    </w:p>
    <w:p>
      <w:pPr>
        <w:spacing w:after="0" w:line="187" w:lineRule="exact"/>
        <w:rPr>
          <w:sz w:val="20"/>
          <w:szCs w:val="20"/>
          <w:color w:val="auto"/>
        </w:rPr>
      </w:pPr>
    </w:p>
    <w:p>
      <w:pPr>
        <w:ind w:left="332"/>
        <w:spacing w:after="0"/>
        <w:tabs>
          <w:tab w:leader="none" w:pos="712"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5"/>
          <w:szCs w:val="15"/>
          <w:color w:val="auto"/>
        </w:rPr>
        <w:t>Interest Settlement</w:t>
      </w:r>
    </w:p>
    <w:p>
      <w:pPr>
        <w:spacing w:after="0" w:line="225" w:lineRule="exact"/>
        <w:rPr>
          <w:sz w:val="20"/>
          <w:szCs w:val="20"/>
          <w:color w:val="auto"/>
        </w:rPr>
      </w:pPr>
    </w:p>
    <w:p>
      <w:pPr>
        <w:jc w:val="both"/>
        <w:ind w:left="1412" w:right="20" w:hanging="485"/>
        <w:spacing w:after="0" w:line="264" w:lineRule="auto"/>
        <w:tabs>
          <w:tab w:leader="none" w:pos="1421"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a loan subject to a fixed interest rate, the interest accrued thereon shall be calculated in accordance with the agreed fixed interest rate. For a loan subject to a floating interest rate, the interest accrued thereon shall be calculated in accordance with the interest rate determined for each interest rate floating period. If the interest rate has been adjusted more</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92"/>
        <w:spacing w:after="0" w:line="264" w:lineRule="auto"/>
        <w:rPr>
          <w:sz w:val="20"/>
          <w:szCs w:val="20"/>
          <w:color w:val="auto"/>
        </w:rPr>
      </w:pPr>
      <w:r>
        <w:rPr>
          <w:rFonts w:ascii="Arial" w:cs="Arial" w:eastAsia="Arial" w:hAnsi="Arial"/>
          <w:sz w:val="18"/>
          <w:szCs w:val="18"/>
          <w:color w:val="auto"/>
        </w:rPr>
        <w:t>than once during a single interest settlement period, the interest during each interest rate floating period shall be calculated first and the total interest accrued during such interest settlement period shall be the aggregate amount of all the interest accrued during each interest rate floating period within such interest settlement period.</w:t>
      </w:r>
    </w:p>
    <w:p>
      <w:pPr>
        <w:spacing w:after="0" w:line="181" w:lineRule="exact"/>
        <w:rPr>
          <w:sz w:val="20"/>
          <w:szCs w:val="20"/>
          <w:color w:val="auto"/>
        </w:rPr>
      </w:pPr>
    </w:p>
    <w:p>
      <w:pPr>
        <w:ind w:left="1272" w:hanging="345"/>
        <w:spacing w:after="0"/>
        <w:tabs>
          <w:tab w:leader="none" w:pos="12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interest accrued on the Loan hereunder shall be settled in accordance with (i) of the following:</w:t>
      </w:r>
    </w:p>
    <w:p>
      <w:pPr>
        <w:spacing w:after="0" w:line="225" w:lineRule="exact"/>
        <w:rPr>
          <w:rFonts w:ascii="Arial" w:cs="Arial" w:eastAsia="Arial" w:hAnsi="Arial"/>
          <w:sz w:val="18"/>
          <w:szCs w:val="18"/>
          <w:color w:val="auto"/>
        </w:rPr>
      </w:pPr>
    </w:p>
    <w:p>
      <w:pPr>
        <w:ind w:left="1712" w:hanging="419"/>
        <w:spacing w:after="0"/>
        <w:tabs>
          <w:tab w:leader="none" w:pos="1712" w:val="left"/>
        </w:tabs>
        <w:numPr>
          <w:ilvl w:val="1"/>
          <w:numId w:val="23"/>
        </w:numPr>
        <w:rPr>
          <w:rFonts w:ascii="Arial" w:cs="Arial" w:eastAsia="Arial" w:hAnsi="Arial"/>
          <w:sz w:val="18"/>
          <w:szCs w:val="18"/>
          <w:color w:val="auto"/>
        </w:rPr>
      </w:pPr>
      <w:r>
        <w:rPr>
          <w:rFonts w:ascii="Arial" w:cs="Arial" w:eastAsia="Arial" w:hAnsi="Arial"/>
          <w:sz w:val="18"/>
          <w:szCs w:val="18"/>
          <w:color w:val="auto"/>
        </w:rPr>
        <w:t>on a monthly basis and the interest settlement date shall be the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each month;</w:t>
      </w:r>
    </w:p>
    <w:p>
      <w:pPr>
        <w:spacing w:after="0" w:line="167" w:lineRule="exact"/>
        <w:rPr>
          <w:rFonts w:ascii="Arial" w:cs="Arial" w:eastAsia="Arial" w:hAnsi="Arial"/>
          <w:sz w:val="18"/>
          <w:szCs w:val="18"/>
          <w:color w:val="auto"/>
        </w:rPr>
      </w:pPr>
    </w:p>
    <w:p>
      <w:pPr>
        <w:ind w:left="1732" w:hanging="435"/>
        <w:spacing w:after="0"/>
        <w:tabs>
          <w:tab w:leader="none" w:pos="1732" w:val="left"/>
        </w:tabs>
        <w:numPr>
          <w:ilvl w:val="1"/>
          <w:numId w:val="23"/>
        </w:numPr>
        <w:rPr>
          <w:rFonts w:ascii="Arial" w:cs="Arial" w:eastAsia="Arial" w:hAnsi="Arial"/>
          <w:sz w:val="18"/>
          <w:szCs w:val="18"/>
          <w:color w:val="auto"/>
        </w:rPr>
      </w:pPr>
      <w:r>
        <w:rPr>
          <w:rFonts w:ascii="Arial" w:cs="Arial" w:eastAsia="Arial" w:hAnsi="Arial"/>
          <w:sz w:val="18"/>
          <w:szCs w:val="18"/>
          <w:color w:val="auto"/>
        </w:rPr>
        <w:t>on a quarterly basis and the interest settlement date shall be the 20</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the last month of the relevant quarter;</w:t>
      </w:r>
    </w:p>
    <w:p>
      <w:pPr>
        <w:spacing w:after="0" w:line="168" w:lineRule="exact"/>
        <w:rPr>
          <w:sz w:val="20"/>
          <w:szCs w:val="20"/>
          <w:color w:val="auto"/>
        </w:rPr>
      </w:pPr>
    </w:p>
    <w:p>
      <w:pPr>
        <w:ind w:left="1292"/>
        <w:spacing w:after="0"/>
        <w:tabs>
          <w:tab w:leader="none" w:pos="1732" w:val="left"/>
          <w:tab w:leader="none" w:pos="4792" w:val="left"/>
        </w:tabs>
        <w:rPr>
          <w:sz w:val="20"/>
          <w:szCs w:val="20"/>
          <w:color w:val="auto"/>
        </w:rPr>
      </w:pPr>
      <w:r>
        <w:rPr>
          <w:rFonts w:ascii="Arial" w:cs="Arial" w:eastAsia="Arial" w:hAnsi="Arial"/>
          <w:sz w:val="18"/>
          <w:szCs w:val="18"/>
          <w:color w:val="auto"/>
        </w:rPr>
        <w:t>(iii)</w:t>
        <w:tab/>
        <w:t>other method:</w:t>
      </w:r>
      <w:r>
        <w:rPr>
          <w:sz w:val="20"/>
          <w:szCs w:val="20"/>
          <w:color w:val="auto"/>
        </w:rPr>
        <w:tab/>
      </w:r>
      <w:r>
        <w:rPr>
          <w:rFonts w:ascii="Arial" w:cs="Arial" w:eastAsia="Arial" w:hAnsi="Arial"/>
          <w:sz w:val="14"/>
          <w:szCs w:val="14"/>
          <w:color w:val="auto"/>
        </w:rPr>
        <w:t>.</w:t>
      </w:r>
    </w:p>
    <w:p>
      <w:pPr>
        <w:spacing w:after="0" w:line="221" w:lineRule="exact"/>
        <w:rPr>
          <w:sz w:val="20"/>
          <w:szCs w:val="20"/>
          <w:color w:val="auto"/>
        </w:rPr>
      </w:pPr>
    </w:p>
    <w:p>
      <w:pPr>
        <w:ind w:left="332" w:hanging="332"/>
        <w:spacing w:after="0"/>
        <w:tabs>
          <w:tab w:leader="none" w:pos="332"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ADVANCE AND DRAWDOWN</w:t>
      </w:r>
    </w:p>
    <w:p>
      <w:pPr>
        <w:spacing w:after="0" w:line="229" w:lineRule="exact"/>
        <w:rPr>
          <w:rFonts w:ascii="Arial" w:cs="Arial" w:eastAsia="Arial" w:hAnsi="Arial"/>
          <w:sz w:val="18"/>
          <w:szCs w:val="18"/>
          <w:b w:val="1"/>
          <w:bCs w:val="1"/>
          <w:color w:val="auto"/>
        </w:rPr>
      </w:pPr>
    </w:p>
    <w:p>
      <w:pPr>
        <w:ind w:left="332"/>
        <w:spacing w:after="0"/>
        <w:rPr>
          <w:rFonts w:ascii="Arial" w:cs="Arial" w:eastAsia="Arial" w:hAnsi="Arial"/>
          <w:sz w:val="18"/>
          <w:szCs w:val="18"/>
          <w:b w:val="1"/>
          <w:bCs w:val="1"/>
          <w:color w:val="auto"/>
        </w:rPr>
      </w:pPr>
      <w:r>
        <w:rPr>
          <w:rFonts w:ascii="Arial" w:cs="Arial" w:eastAsia="Arial" w:hAnsi="Arial"/>
          <w:sz w:val="18"/>
          <w:szCs w:val="18"/>
          <w:color w:val="auto"/>
        </w:rPr>
        <w:t>5.1 Conditions Precedent to Advance</w:t>
      </w:r>
    </w:p>
    <w:p>
      <w:pPr>
        <w:spacing w:after="0" w:line="225" w:lineRule="exact"/>
        <w:rPr>
          <w:sz w:val="20"/>
          <w:szCs w:val="20"/>
          <w:color w:val="auto"/>
        </w:rPr>
      </w:pPr>
    </w:p>
    <w:p>
      <w:pPr>
        <w:ind w:left="812" w:right="660"/>
        <w:spacing w:after="0" w:line="277" w:lineRule="auto"/>
        <w:rPr>
          <w:sz w:val="20"/>
          <w:szCs w:val="20"/>
          <w:color w:val="auto"/>
        </w:rPr>
      </w:pPr>
      <w:r>
        <w:rPr>
          <w:rFonts w:ascii="Arial" w:cs="Arial" w:eastAsia="Arial" w:hAnsi="Arial"/>
          <w:sz w:val="18"/>
          <w:szCs w:val="18"/>
          <w:color w:val="auto"/>
        </w:rPr>
        <w:t>Unless Party B waives all or part of the following conditions, Party B shall be obligated to advance any amount of the Loan only if all the following conditions continuously remain satisfied:</w:t>
      </w:r>
    </w:p>
    <w:p>
      <w:pPr>
        <w:spacing w:after="0" w:line="170" w:lineRule="exact"/>
        <w:rPr>
          <w:sz w:val="20"/>
          <w:szCs w:val="20"/>
          <w:color w:val="auto"/>
        </w:rPr>
      </w:pPr>
    </w:p>
    <w:p>
      <w:pPr>
        <w:ind w:left="1312" w:hanging="502"/>
        <w:spacing w:after="0"/>
        <w:tabs>
          <w:tab w:leader="none" w:pos="1312" w:val="left"/>
        </w:tabs>
        <w:numPr>
          <w:ilvl w:val="0"/>
          <w:numId w:val="25"/>
        </w:numPr>
        <w:rPr>
          <w:rFonts w:ascii="Arial" w:cs="Arial" w:eastAsia="Arial" w:hAnsi="Arial"/>
          <w:sz w:val="16"/>
          <w:szCs w:val="16"/>
          <w:color w:val="auto"/>
        </w:rPr>
      </w:pPr>
      <w:r>
        <w:rPr>
          <w:rFonts w:ascii="Arial" w:cs="Arial" w:eastAsia="Arial" w:hAnsi="Arial"/>
          <w:sz w:val="16"/>
          <w:szCs w:val="16"/>
          <w:color w:val="auto"/>
        </w:rPr>
        <w:t>Party A has completed all the approval, registration, delivery, insurance and other statutory procedures in relation to the Loan hereunder;</w:t>
      </w:r>
    </w:p>
    <w:p>
      <w:pPr>
        <w:spacing w:after="0" w:line="248" w:lineRule="exact"/>
        <w:rPr>
          <w:rFonts w:ascii="Arial" w:cs="Arial" w:eastAsia="Arial" w:hAnsi="Arial"/>
          <w:sz w:val="16"/>
          <w:szCs w:val="16"/>
          <w:color w:val="auto"/>
        </w:rPr>
      </w:pPr>
    </w:p>
    <w:p>
      <w:pPr>
        <w:ind w:left="1312" w:hanging="502"/>
        <w:spacing w:after="0"/>
        <w:tabs>
          <w:tab w:leader="none" w:pos="131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security has become and remains effective, if a security is established for the Contract;</w:t>
      </w:r>
    </w:p>
    <w:p>
      <w:pPr>
        <w:sectPr>
          <w:pgSz w:w="11900" w:h="16838" w:orient="portrait"/>
          <w:cols w:equalWidth="0" w:num="1">
            <w:col w:w="11392"/>
          </w:cols>
          <w:pgMar w:left="248" w:top="337" w:right="259" w:bottom="0" w:gutter="0" w:footer="0" w:header="0"/>
        </w:sectPr>
      </w:pPr>
    </w:p>
    <w:bookmarkStart w:id="43" w:name="page44"/>
    <w:bookmarkEnd w:id="43"/>
    <w:p>
      <w:pPr>
        <w:ind w:left="980" w:hanging="50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Party A has opened the bank accounts for drawdown and debt service purposes as Party B requests;</w:t>
      </w:r>
    </w:p>
    <w:p>
      <w:pPr>
        <w:spacing w:after="0" w:line="225" w:lineRule="exact"/>
        <w:rPr>
          <w:rFonts w:ascii="Arial" w:cs="Arial" w:eastAsia="Arial" w:hAnsi="Arial"/>
          <w:sz w:val="18"/>
          <w:szCs w:val="18"/>
          <w:color w:val="auto"/>
        </w:rPr>
      </w:pPr>
    </w:p>
    <w:p>
      <w:pPr>
        <w:ind w:left="980" w:hanging="50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Party A has not triggered any event of default hereunder;</w:t>
      </w:r>
    </w:p>
    <w:p>
      <w:pPr>
        <w:spacing w:after="0" w:line="225" w:lineRule="exact"/>
        <w:rPr>
          <w:rFonts w:ascii="Arial" w:cs="Arial" w:eastAsia="Arial" w:hAnsi="Arial"/>
          <w:sz w:val="18"/>
          <w:szCs w:val="18"/>
          <w:color w:val="auto"/>
        </w:rPr>
      </w:pPr>
    </w:p>
    <w:p>
      <w:pPr>
        <w:ind w:left="980" w:hanging="50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 event has occurred that may adversely impact Party B’s rights as a creditor;</w:t>
      </w:r>
    </w:p>
    <w:p>
      <w:pPr>
        <w:spacing w:after="0" w:line="225" w:lineRule="exact"/>
        <w:rPr>
          <w:rFonts w:ascii="Arial" w:cs="Arial" w:eastAsia="Arial" w:hAnsi="Arial"/>
          <w:sz w:val="18"/>
          <w:szCs w:val="18"/>
          <w:color w:val="auto"/>
        </w:rPr>
      </w:pPr>
    </w:p>
    <w:p>
      <w:pPr>
        <w:ind w:left="980" w:hanging="50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advance to be made by Party B is not prohibited or restricted by any laws, regulations, rules or competent authorities; and</w:t>
      </w:r>
    </w:p>
    <w:p>
      <w:pPr>
        <w:spacing w:after="0" w:line="225" w:lineRule="exact"/>
        <w:rPr>
          <w:rFonts w:ascii="Arial" w:cs="Arial" w:eastAsia="Arial" w:hAnsi="Arial"/>
          <w:sz w:val="18"/>
          <w:szCs w:val="18"/>
          <w:color w:val="auto"/>
        </w:rPr>
      </w:pPr>
    </w:p>
    <w:p>
      <w:pPr>
        <w:ind w:left="960" w:right="40" w:hanging="482"/>
        <w:spacing w:after="0" w:line="277" w:lineRule="auto"/>
        <w:tabs>
          <w:tab w:leader="none" w:pos="96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financial indicators of Party A shall, at all time, continue to meet the requirements specified in Schedule 2 Terms relating to Mandatory Financial Indicators;</w:t>
      </w:r>
    </w:p>
    <w:p>
      <w:pPr>
        <w:spacing w:after="0" w:line="170" w:lineRule="exact"/>
        <w:rPr>
          <w:rFonts w:ascii="Arial" w:cs="Arial" w:eastAsia="Arial" w:hAnsi="Arial"/>
          <w:sz w:val="18"/>
          <w:szCs w:val="18"/>
          <w:color w:val="auto"/>
        </w:rPr>
      </w:pPr>
    </w:p>
    <w:p>
      <w:pPr>
        <w:ind w:left="980" w:hanging="502"/>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Party A has submitted such materials as required in this Contract before any loan drawdown;</w:t>
      </w:r>
    </w:p>
    <w:p>
      <w:pPr>
        <w:spacing w:after="0" w:line="225" w:lineRule="exact"/>
        <w:rPr>
          <w:rFonts w:ascii="Arial" w:cs="Arial" w:eastAsia="Arial" w:hAnsi="Arial"/>
          <w:sz w:val="18"/>
          <w:szCs w:val="18"/>
          <w:color w:val="auto"/>
        </w:rPr>
      </w:pPr>
    </w:p>
    <w:p>
      <w:pPr>
        <w:ind w:left="960" w:hanging="482"/>
        <w:spacing w:after="0" w:line="277" w:lineRule="auto"/>
        <w:tabs>
          <w:tab w:leader="none" w:pos="96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materials submitted by Party A are legal, authenticated, complete, accurate, valid and be in accordance with other requirements of Party B;</w:t>
      </w:r>
    </w:p>
    <w:p>
      <w:pPr>
        <w:spacing w:after="0" w:line="170" w:lineRule="exact"/>
        <w:rPr>
          <w:rFonts w:ascii="Arial" w:cs="Arial" w:eastAsia="Arial" w:hAnsi="Arial"/>
          <w:sz w:val="18"/>
          <w:szCs w:val="18"/>
          <w:color w:val="auto"/>
        </w:rPr>
      </w:pPr>
    </w:p>
    <w:p>
      <w:pPr>
        <w:ind w:left="980" w:hanging="496"/>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conditions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Drawdown Schedule</w:t>
      </w:r>
    </w:p>
    <w:p>
      <w:pPr>
        <w:spacing w:after="0" w:line="225" w:lineRule="exact"/>
        <w:rPr>
          <w:sz w:val="20"/>
          <w:szCs w:val="20"/>
          <w:color w:val="auto"/>
        </w:rPr>
      </w:pPr>
    </w:p>
    <w:p>
      <w:pPr>
        <w:ind w:left="480" w:right="40"/>
        <w:spacing w:after="0" w:line="277" w:lineRule="auto"/>
        <w:rPr>
          <w:sz w:val="20"/>
          <w:szCs w:val="20"/>
          <w:color w:val="auto"/>
        </w:rPr>
      </w:pPr>
      <w:r>
        <w:rPr>
          <w:rFonts w:ascii="Arial" w:cs="Arial" w:eastAsia="Arial" w:hAnsi="Arial"/>
          <w:sz w:val="18"/>
          <w:szCs w:val="18"/>
          <w:color w:val="auto"/>
        </w:rPr>
        <w:t>“Drawdown” referred to in this Contract shall mean disbursements by Party B of the funds to the Loan Disbursement Account in accordance with Party A’s Application and this Contract.</w:t>
      </w:r>
    </w:p>
    <w:p>
      <w:pPr>
        <w:spacing w:after="0" w:line="16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The drawdown schedule hereunder shall be item </w:t>
      </w:r>
      <w:r>
        <w:rPr>
          <w:rFonts w:ascii="Arial" w:cs="Arial" w:eastAsia="Arial" w:hAnsi="Arial"/>
          <w:sz w:val="18"/>
          <w:szCs w:val="18"/>
          <w:b w:val="1"/>
          <w:bCs w:val="1"/>
          <w:color w:val="auto"/>
        </w:rPr>
        <w:t>[see Schedule A]</w:t>
      </w:r>
      <w:r>
        <w:rPr>
          <w:rFonts w:ascii="Arial" w:cs="Arial" w:eastAsia="Arial" w:hAnsi="Arial"/>
          <w:sz w:val="18"/>
          <w:szCs w:val="18"/>
          <w:color w:val="auto"/>
        </w:rPr>
        <w:t xml:space="preserve"> of the following:</w:t>
      </w:r>
    </w:p>
    <w:p>
      <w:pPr>
        <w:spacing w:after="0" w:line="229" w:lineRule="exact"/>
        <w:rPr>
          <w:sz w:val="20"/>
          <w:szCs w:val="20"/>
          <w:color w:val="auto"/>
        </w:rPr>
      </w:pPr>
    </w:p>
    <w:p>
      <w:pPr>
        <w:ind w:left="900" w:hanging="422"/>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drawdown schedule shall be as follows:</w:t>
      </w:r>
    </w:p>
    <w:p>
      <w:pPr>
        <w:spacing w:after="0" w:line="225" w:lineRule="exact"/>
        <w:rPr>
          <w:sz w:val="20"/>
          <w:szCs w:val="20"/>
          <w:color w:val="auto"/>
        </w:rPr>
      </w:pPr>
    </w:p>
    <w:p>
      <w:pPr>
        <w:ind w:left="1660"/>
        <w:spacing w:after="0"/>
        <w:tabs>
          <w:tab w:leader="none" w:pos="8100" w:val="left"/>
        </w:tabs>
        <w:rPr>
          <w:sz w:val="20"/>
          <w:szCs w:val="20"/>
          <w:color w:val="auto"/>
        </w:rPr>
      </w:pPr>
      <w:r>
        <w:rPr>
          <w:rFonts w:ascii="Arial" w:cs="Arial" w:eastAsia="Arial" w:hAnsi="Arial"/>
          <w:sz w:val="18"/>
          <w:szCs w:val="18"/>
          <w:color w:val="auto"/>
        </w:rPr>
        <w:t>Drawdown Date (mm/dd/yyyy)</w:t>
      </w:r>
      <w:r>
        <w:rPr>
          <w:sz w:val="20"/>
          <w:szCs w:val="20"/>
          <w:color w:val="auto"/>
        </w:rPr>
        <w:tab/>
      </w:r>
      <w:r>
        <w:rPr>
          <w:rFonts w:ascii="Arial" w:cs="Arial" w:eastAsia="Arial" w:hAnsi="Arial"/>
          <w:sz w:val="17"/>
          <w:szCs w:val="17"/>
          <w:color w:val="auto"/>
        </w:rPr>
        <w:t>Amount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(ii)</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(iii)</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(iv)</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(vi)</w:t>
      </w:r>
    </w:p>
    <w:p>
      <w:pPr>
        <w:spacing w:after="0" w:line="225" w:lineRule="exact"/>
        <w:rPr>
          <w:sz w:val="20"/>
          <w:szCs w:val="20"/>
          <w:color w:val="auto"/>
        </w:rPr>
      </w:pPr>
    </w:p>
    <w:p>
      <w:pPr>
        <w:ind w:left="900" w:hanging="422"/>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drawdown schedule shall be as follows:</w:t>
      </w:r>
    </w:p>
    <w:p>
      <w:pPr>
        <w:spacing w:after="0" w:line="225" w:lineRule="exact"/>
        <w:rPr>
          <w:sz w:val="20"/>
          <w:szCs w:val="20"/>
          <w:color w:val="auto"/>
        </w:rPr>
      </w:pPr>
    </w:p>
    <w:tbl>
      <w:tblPr>
        <w:tblLayout w:type="fixed"/>
        <w:tblInd w:w="64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Arial" w:cs="Arial" w:eastAsia="Arial" w:hAnsi="Arial"/>
                <w:sz w:val="18"/>
                <w:szCs w:val="18"/>
                <w:color w:val="auto"/>
              </w:rPr>
              <w:t>(i) from [</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to [</w:t>
            </w:r>
          </w:p>
        </w:tc>
        <w:tc>
          <w:tcPr>
            <w:tcW w:w="2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rPr>
              <w:t>Amount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80" w:type="dxa"/>
            <w:vAlign w:val="bottom"/>
          </w:tcPr>
          <w:p>
            <w:pPr>
              <w:ind w:left="1160"/>
              <w:spacing w:after="0"/>
              <w:rPr>
                <w:sz w:val="20"/>
                <w:szCs w:val="20"/>
                <w:color w:val="auto"/>
              </w:rPr>
            </w:pPr>
            <w:r>
              <w:rPr>
                <w:rFonts w:ascii="Arial" w:cs="Arial" w:eastAsia="Arial" w:hAnsi="Arial"/>
                <w:sz w:val="18"/>
                <w:szCs w:val="18"/>
                <w:color w:val="auto"/>
              </w:rPr>
              <w:t>(mm/dd/yyyy)</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60" w:type="dxa"/>
            <w:vAlign w:val="bottom"/>
          </w:tcPr>
          <w:p>
            <w:pPr>
              <w:jc w:val="right"/>
              <w:ind w:right="1570"/>
              <w:spacing w:after="0"/>
              <w:rPr>
                <w:sz w:val="20"/>
                <w:szCs w:val="20"/>
                <w:color w:val="auto"/>
              </w:rPr>
            </w:pPr>
            <w:r>
              <w:rPr>
                <w:rFonts w:ascii="Arial" w:cs="Arial" w:eastAsia="Arial" w:hAnsi="Arial"/>
                <w:sz w:val="18"/>
                <w:szCs w:val="18"/>
                <w:color w:val="auto"/>
                <w:w w:val="99"/>
              </w:rPr>
              <w:t>(mm/dd/yyyy)</w:t>
            </w: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(ii) from [</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to [</w:t>
            </w:r>
          </w:p>
        </w:tc>
        <w:tc>
          <w:tcPr>
            <w:tcW w:w="2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rPr>
              <w:t>Amount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80" w:type="dxa"/>
            <w:vAlign w:val="bottom"/>
          </w:tcPr>
          <w:p>
            <w:pPr>
              <w:ind w:left="1160"/>
              <w:spacing w:after="0"/>
              <w:rPr>
                <w:sz w:val="20"/>
                <w:szCs w:val="20"/>
                <w:color w:val="auto"/>
              </w:rPr>
            </w:pPr>
            <w:r>
              <w:rPr>
                <w:rFonts w:ascii="Arial" w:cs="Arial" w:eastAsia="Arial" w:hAnsi="Arial"/>
                <w:sz w:val="18"/>
                <w:szCs w:val="18"/>
                <w:color w:val="auto"/>
              </w:rPr>
              <w:t>(mm/dd/yyyy)</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60" w:type="dxa"/>
            <w:vAlign w:val="bottom"/>
          </w:tcPr>
          <w:p>
            <w:pPr>
              <w:jc w:val="right"/>
              <w:ind w:right="1570"/>
              <w:spacing w:after="0"/>
              <w:rPr>
                <w:sz w:val="20"/>
                <w:szCs w:val="20"/>
                <w:color w:val="auto"/>
              </w:rPr>
            </w:pPr>
            <w:r>
              <w:rPr>
                <w:rFonts w:ascii="Arial" w:cs="Arial" w:eastAsia="Arial" w:hAnsi="Arial"/>
                <w:sz w:val="18"/>
                <w:szCs w:val="18"/>
                <w:color w:val="auto"/>
                <w:w w:val="99"/>
              </w:rPr>
              <w:t>(mm/dd/yyyy)</w:t>
            </w: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(iii) from [</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to [</w:t>
            </w:r>
          </w:p>
        </w:tc>
        <w:tc>
          <w:tcPr>
            <w:tcW w:w="2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rPr>
              <w:t>Amount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80" w:type="dxa"/>
            <w:vAlign w:val="bottom"/>
          </w:tcPr>
          <w:p>
            <w:pPr>
              <w:ind w:left="1160"/>
              <w:spacing w:after="0"/>
              <w:rPr>
                <w:sz w:val="20"/>
                <w:szCs w:val="20"/>
                <w:color w:val="auto"/>
              </w:rPr>
            </w:pPr>
            <w:r>
              <w:rPr>
                <w:rFonts w:ascii="Arial" w:cs="Arial" w:eastAsia="Arial" w:hAnsi="Arial"/>
                <w:sz w:val="18"/>
                <w:szCs w:val="18"/>
                <w:color w:val="auto"/>
              </w:rPr>
              <w:t>(mm/dd/yyyy)</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60" w:type="dxa"/>
            <w:vAlign w:val="bottom"/>
          </w:tcPr>
          <w:p>
            <w:pPr>
              <w:jc w:val="right"/>
              <w:ind w:right="1570"/>
              <w:spacing w:after="0"/>
              <w:rPr>
                <w:sz w:val="20"/>
                <w:szCs w:val="20"/>
                <w:color w:val="auto"/>
              </w:rPr>
            </w:pPr>
            <w:r>
              <w:rPr>
                <w:rFonts w:ascii="Arial" w:cs="Arial" w:eastAsia="Arial" w:hAnsi="Arial"/>
                <w:sz w:val="18"/>
                <w:szCs w:val="18"/>
                <w:color w:val="auto"/>
                <w:w w:val="99"/>
              </w:rPr>
              <w:t>(mm/dd/yyyy)</w:t>
            </w: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(iv) from [</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to [</w:t>
            </w:r>
          </w:p>
        </w:tc>
        <w:tc>
          <w:tcPr>
            <w:tcW w:w="2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rPr>
              <w:t>Amount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80" w:type="dxa"/>
            <w:vAlign w:val="bottom"/>
          </w:tcPr>
          <w:p>
            <w:pPr>
              <w:ind w:left="1160"/>
              <w:spacing w:after="0"/>
              <w:rPr>
                <w:sz w:val="20"/>
                <w:szCs w:val="20"/>
                <w:color w:val="auto"/>
              </w:rPr>
            </w:pPr>
            <w:r>
              <w:rPr>
                <w:rFonts w:ascii="Arial" w:cs="Arial" w:eastAsia="Arial" w:hAnsi="Arial"/>
                <w:sz w:val="18"/>
                <w:szCs w:val="18"/>
                <w:color w:val="auto"/>
              </w:rPr>
              <w:t>(mm/dd/yyyy)</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60" w:type="dxa"/>
            <w:vAlign w:val="bottom"/>
          </w:tcPr>
          <w:p>
            <w:pPr>
              <w:jc w:val="right"/>
              <w:ind w:right="1570"/>
              <w:spacing w:after="0"/>
              <w:rPr>
                <w:sz w:val="20"/>
                <w:szCs w:val="20"/>
                <w:color w:val="auto"/>
              </w:rPr>
            </w:pPr>
            <w:r>
              <w:rPr>
                <w:rFonts w:ascii="Arial" w:cs="Arial" w:eastAsia="Arial" w:hAnsi="Arial"/>
                <w:sz w:val="18"/>
                <w:szCs w:val="18"/>
                <w:color w:val="auto"/>
                <w:w w:val="99"/>
              </w:rPr>
              <w:t>(mm/dd/yyyy)</w:t>
            </w: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(v) from [</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to [</w:t>
            </w:r>
          </w:p>
        </w:tc>
        <w:tc>
          <w:tcPr>
            <w:tcW w:w="2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rPr>
              <w:t>Amount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80" w:type="dxa"/>
            <w:vAlign w:val="bottom"/>
          </w:tcPr>
          <w:p>
            <w:pPr>
              <w:ind w:left="1160"/>
              <w:spacing w:after="0"/>
              <w:rPr>
                <w:sz w:val="20"/>
                <w:szCs w:val="20"/>
                <w:color w:val="auto"/>
              </w:rPr>
            </w:pPr>
            <w:r>
              <w:rPr>
                <w:rFonts w:ascii="Arial" w:cs="Arial" w:eastAsia="Arial" w:hAnsi="Arial"/>
                <w:sz w:val="18"/>
                <w:szCs w:val="18"/>
                <w:color w:val="auto"/>
              </w:rPr>
              <w:t>(mm/dd/yyyy)</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60" w:type="dxa"/>
            <w:vAlign w:val="bottom"/>
          </w:tcPr>
          <w:p>
            <w:pPr>
              <w:jc w:val="right"/>
              <w:ind w:right="1570"/>
              <w:spacing w:after="0"/>
              <w:rPr>
                <w:sz w:val="20"/>
                <w:szCs w:val="20"/>
                <w:color w:val="auto"/>
              </w:rPr>
            </w:pPr>
            <w:r>
              <w:rPr>
                <w:rFonts w:ascii="Arial" w:cs="Arial" w:eastAsia="Arial" w:hAnsi="Arial"/>
                <w:sz w:val="18"/>
                <w:szCs w:val="18"/>
                <w:color w:val="auto"/>
                <w:w w:val="99"/>
              </w:rPr>
              <w:t>(mm/dd/yyyy)</w:t>
            </w: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(vi) from [</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ind w:left="100"/>
              <w:spacing w:after="0"/>
              <w:rPr>
                <w:sz w:val="20"/>
                <w:szCs w:val="20"/>
                <w:color w:val="auto"/>
              </w:rPr>
            </w:pPr>
            <w:r>
              <w:rPr>
                <w:rFonts w:ascii="Arial" w:cs="Arial" w:eastAsia="Arial" w:hAnsi="Arial"/>
                <w:sz w:val="18"/>
                <w:szCs w:val="18"/>
                <w:color w:val="auto"/>
              </w:rPr>
              <w:t>to [</w:t>
            </w:r>
          </w:p>
        </w:tc>
        <w:tc>
          <w:tcPr>
            <w:tcW w:w="27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ind w:left="100"/>
              <w:spacing w:after="0"/>
              <w:rPr>
                <w:sz w:val="20"/>
                <w:szCs w:val="20"/>
                <w:color w:val="auto"/>
              </w:rPr>
            </w:pPr>
            <w:r>
              <w:rPr>
                <w:rFonts w:ascii="Arial" w:cs="Arial" w:eastAsia="Arial" w:hAnsi="Arial"/>
                <w:sz w:val="18"/>
                <w:szCs w:val="18"/>
                <w:color w:val="auto"/>
              </w:rPr>
              <w:t>Amount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780" w:type="dxa"/>
            <w:vAlign w:val="bottom"/>
          </w:tcPr>
          <w:p>
            <w:pPr>
              <w:ind w:left="1160"/>
              <w:spacing w:after="0"/>
              <w:rPr>
                <w:sz w:val="20"/>
                <w:szCs w:val="20"/>
                <w:color w:val="auto"/>
              </w:rPr>
            </w:pPr>
            <w:r>
              <w:rPr>
                <w:rFonts w:ascii="Arial" w:cs="Arial" w:eastAsia="Arial" w:hAnsi="Arial"/>
                <w:sz w:val="18"/>
                <w:szCs w:val="18"/>
                <w:color w:val="auto"/>
              </w:rPr>
              <w:t>(mm/dd/yyyy)</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760" w:type="dxa"/>
            <w:vAlign w:val="bottom"/>
          </w:tcPr>
          <w:p>
            <w:pPr>
              <w:jc w:val="right"/>
              <w:ind w:right="1570"/>
              <w:spacing w:after="0"/>
              <w:rPr>
                <w:sz w:val="20"/>
                <w:szCs w:val="20"/>
                <w:color w:val="auto"/>
              </w:rPr>
            </w:pPr>
            <w:r>
              <w:rPr>
                <w:rFonts w:ascii="Arial" w:cs="Arial" w:eastAsia="Arial" w:hAnsi="Arial"/>
                <w:sz w:val="18"/>
                <w:szCs w:val="18"/>
                <w:color w:val="auto"/>
                <w:w w:val="99"/>
              </w:rPr>
              <w:t>(mm/dd/yyyy)</w:t>
            </w:r>
          </w:p>
        </w:tc>
        <w:tc>
          <w:tcPr>
            <w:tcW w:w="1300" w:type="dxa"/>
            <w:vAlign w:val="bottom"/>
          </w:tcPr>
          <w:p>
            <w:pPr>
              <w:spacing w:after="0"/>
              <w:rPr>
                <w:sz w:val="20"/>
                <w:szCs w:val="20"/>
                <w:color w:val="auto"/>
              </w:rPr>
            </w:pPr>
          </w:p>
        </w:tc>
        <w:tc>
          <w:tcPr>
            <w:tcW w:w="660" w:type="dxa"/>
            <w:vAlign w:val="bottom"/>
          </w:tcPr>
          <w:p>
            <w:pPr>
              <w:spacing w:after="0"/>
              <w:rPr>
                <w:sz w:val="20"/>
                <w:szCs w:val="20"/>
                <w:color w:val="auto"/>
              </w:rPr>
            </w:pPr>
          </w:p>
        </w:tc>
      </w:tr>
    </w:tbl>
    <w:p>
      <w:pPr>
        <w:spacing w:after="0" w:line="202" w:lineRule="exact"/>
        <w:rPr>
          <w:sz w:val="20"/>
          <w:szCs w:val="20"/>
          <w:color w:val="auto"/>
        </w:rPr>
      </w:pPr>
    </w:p>
    <w:p>
      <w:pPr>
        <w:ind w:left="840" w:hanging="261"/>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from time to time, as required by Party A .</w:t>
      </w:r>
    </w:p>
    <w:p>
      <w:pPr>
        <w:spacing w:after="0" w:line="225"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8"/>
          <w:szCs w:val="18"/>
          <w:color w:val="auto"/>
        </w:rPr>
        <w:t>(4)</w:t>
      </w:r>
    </w:p>
    <w:p>
      <w:pPr>
        <w:sectPr>
          <w:pgSz w:w="11900" w:h="16838" w:orient="portrait"/>
          <w:cols w:equalWidth="0" w:num="1">
            <w:col w:w="11020"/>
          </w:cols>
          <w:pgMar w:left="580" w:top="125" w:right="299" w:bottom="1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88900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20"/>
          </w:cols>
          <w:pgMar w:left="580" w:top="125" w:right="299" w:bottom="111" w:gutter="0" w:footer="0" w:header="0"/>
          <w:type w:val="continuous"/>
        </w:sectPr>
      </w:pPr>
    </w:p>
    <w:bookmarkStart w:id="44" w:name="page45"/>
    <w:bookmarkEnd w:id="44"/>
    <w:p>
      <w:pPr>
        <w:ind w:left="400" w:right="360" w:hanging="404"/>
        <w:spacing w:after="0" w:line="277" w:lineRule="auto"/>
        <w:tabs>
          <w:tab w:leader="none" w:pos="380" w:val="left"/>
        </w:tabs>
        <w:rPr>
          <w:sz w:val="20"/>
          <w:szCs w:val="20"/>
          <w:color w:val="auto"/>
        </w:rPr>
      </w:pPr>
      <w:r>
        <w:rPr>
          <w:rFonts w:ascii="Arial" w:cs="Arial" w:eastAsia="Arial" w:hAnsi="Arial"/>
          <w:sz w:val="18"/>
          <w:szCs w:val="18"/>
          <w:color w:val="auto"/>
        </w:rPr>
        <w:t>5.3</w:t>
        <w:tab/>
        <w:t>Party A shall draw the Loan in accordance with the drawdown schedule under Article 5.2. Without Party B’s written consent, Party A shall not accelerate, postpone or cancel any drawdown of the Loan.</w:t>
      </w:r>
    </w:p>
    <w:p>
      <w:pPr>
        <w:spacing w:after="0" w:line="1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If Party A draws the Loan in installments, the expiration date of the Term shall be determined in accordance with Article 3 hereunder.</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Materials required to be submitted by Party A</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 respect of materials required to be submitted by Party A, the Parties agree that Item A applies [choose A or B]:</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Situation NO. 1</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Where the situation described in Item (1) [choose (1) or (2)] arises:</w:t>
      </w:r>
    </w:p>
    <w:p>
      <w:pPr>
        <w:spacing w:after="0" w:line="225" w:lineRule="exact"/>
        <w:rPr>
          <w:sz w:val="20"/>
          <w:szCs w:val="20"/>
          <w:color w:val="auto"/>
        </w:rPr>
      </w:pPr>
    </w:p>
    <w:p>
      <w:pPr>
        <w:ind w:left="720" w:right="220" w:hanging="326"/>
        <w:spacing w:after="0" w:line="277" w:lineRule="auto"/>
        <w:tabs>
          <w:tab w:leader="none" w:pos="741"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 of any particular drawdown is more than RMB TEN million and the amount of any scheduled payment out of such drawdown is more than RMB TEN million;</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Party A shall submit to Party B the following materials no later than ONE working days before the date of such drawdown:</w:t>
      </w:r>
    </w:p>
    <w:p>
      <w:pPr>
        <w:spacing w:after="0" w:line="225" w:lineRule="exact"/>
        <w:rPr>
          <w:sz w:val="20"/>
          <w:szCs w:val="20"/>
          <w:color w:val="auto"/>
        </w:rPr>
      </w:pPr>
    </w:p>
    <w:p>
      <w:pPr>
        <w:ind w:left="740" w:hanging="346"/>
        <w:spacing w:after="0"/>
        <w:tabs>
          <w:tab w:leader="none" w:pos="7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LDC signed by Party A and payment/settlement certificate(s) signed by Party A;</w:t>
      </w:r>
    </w:p>
    <w:p>
      <w:pPr>
        <w:spacing w:after="0" w:line="225" w:lineRule="exact"/>
        <w:rPr>
          <w:rFonts w:ascii="Arial" w:cs="Arial" w:eastAsia="Arial" w:hAnsi="Arial"/>
          <w:sz w:val="18"/>
          <w:szCs w:val="18"/>
          <w:color w:val="auto"/>
        </w:rPr>
      </w:pPr>
    </w:p>
    <w:p>
      <w:pPr>
        <w:ind w:left="720" w:right="400" w:hanging="326"/>
        <w:spacing w:after="0" w:line="308" w:lineRule="auto"/>
        <w:tabs>
          <w:tab w:leader="none" w:pos="741" w:val="left"/>
        </w:tabs>
        <w:numPr>
          <w:ilvl w:val="0"/>
          <w:numId w:val="31"/>
        </w:numPr>
        <w:rPr>
          <w:rFonts w:ascii="Arial" w:cs="Arial" w:eastAsia="Arial" w:hAnsi="Arial"/>
          <w:sz w:val="17"/>
          <w:szCs w:val="17"/>
          <w:color w:val="auto"/>
        </w:rPr>
      </w:pPr>
      <w:r>
        <w:rPr>
          <w:rFonts w:ascii="Arial" w:cs="Arial" w:eastAsia="Arial" w:hAnsi="Arial"/>
          <w:sz w:val="17"/>
          <w:szCs w:val="17"/>
          <w:color w:val="auto"/>
        </w:rPr>
        <w:t>materials related to the underlying transactions (including without limitation goods/services/monetary contracts and/or invoices and other documents in writing or electronic form that are capable of evidencing the particular purposes of the loan drawdown);</w:t>
      </w:r>
    </w:p>
    <w:p>
      <w:pPr>
        <w:spacing w:after="0" w:line="200" w:lineRule="exact"/>
        <w:rPr>
          <w:sz w:val="20"/>
          <w:szCs w:val="20"/>
          <w:color w:val="auto"/>
        </w:rPr>
      </w:pPr>
    </w:p>
    <w:p>
      <w:pPr>
        <w:spacing w:after="0" w:line="379" w:lineRule="exact"/>
        <w:rPr>
          <w:sz w:val="20"/>
          <w:szCs w:val="20"/>
          <w:color w:val="auto"/>
        </w:rPr>
      </w:pPr>
    </w:p>
    <w:p>
      <w:pPr>
        <w:ind w:left="400" w:right="60"/>
        <w:spacing w:after="0" w:line="277" w:lineRule="auto"/>
        <w:rPr>
          <w:sz w:val="20"/>
          <w:szCs w:val="20"/>
          <w:color w:val="auto"/>
        </w:rPr>
      </w:pPr>
      <w:r>
        <w:rPr>
          <w:rFonts w:ascii="Arial" w:cs="Arial" w:eastAsia="Arial" w:hAnsi="Arial"/>
          <w:sz w:val="18"/>
          <w:szCs w:val="18"/>
          <w:color w:val="auto"/>
        </w:rPr>
        <w:t>And other materials required by Party B (including without limitation business license, letter of authorization, articles of association, resolutions of Shareholders’ meeting /Board of directors of Party A’s counterparty).</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Situation NO. 2</w:t>
      </w:r>
    </w:p>
    <w:p>
      <w:pPr>
        <w:spacing w:after="0" w:line="225" w:lineRule="exact"/>
        <w:rPr>
          <w:sz w:val="20"/>
          <w:szCs w:val="20"/>
          <w:color w:val="auto"/>
        </w:rPr>
      </w:pPr>
    </w:p>
    <w:p>
      <w:pPr>
        <w:ind w:left="400" w:right="160"/>
        <w:spacing w:after="0" w:line="264" w:lineRule="auto"/>
        <w:rPr>
          <w:sz w:val="20"/>
          <w:szCs w:val="20"/>
          <w:color w:val="auto"/>
        </w:rPr>
      </w:pPr>
      <w:r>
        <w:rPr>
          <w:rFonts w:ascii="Arial" w:cs="Arial" w:eastAsia="Arial" w:hAnsi="Arial"/>
          <w:sz w:val="18"/>
          <w:szCs w:val="18"/>
          <w:color w:val="auto"/>
        </w:rPr>
        <w:t>If Party B determines, after reviewing the aforementioned materials, that Party may initiate the payment in accordance with Article 5.7 of this Contract, or a situation other than Situation NO. 1 arises, Party A shall submit to Party B the following materials no later than ONE working days before the date of such drawdown:</w:t>
      </w:r>
    </w:p>
    <w:p>
      <w:pPr>
        <w:spacing w:after="0" w:line="39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80" w:hanging="486"/>
        <w:spacing w:after="0"/>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drawdown schedule corresponding to the proposed loan drawdown(The drawdown schedule being in the form of Schedule 3);</w:t>
      </w:r>
    </w:p>
    <w:p>
      <w:pPr>
        <w:spacing w:after="0" w:line="236" w:lineRule="exact"/>
        <w:rPr>
          <w:rFonts w:ascii="Arial" w:cs="Arial" w:eastAsia="Arial" w:hAnsi="Arial"/>
          <w:sz w:val="17"/>
          <w:szCs w:val="17"/>
          <w:color w:val="auto"/>
        </w:rPr>
      </w:pPr>
    </w:p>
    <w:p>
      <w:pPr>
        <w:ind w:left="880" w:hanging="486"/>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LDC signed by Party 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0" w:right="60"/>
        <w:spacing w:after="0" w:line="277" w:lineRule="auto"/>
        <w:rPr>
          <w:sz w:val="20"/>
          <w:szCs w:val="20"/>
          <w:color w:val="auto"/>
        </w:rPr>
      </w:pPr>
      <w:r>
        <w:rPr>
          <w:rFonts w:ascii="Arial" w:cs="Arial" w:eastAsia="Arial" w:hAnsi="Arial"/>
          <w:sz w:val="18"/>
          <w:szCs w:val="18"/>
          <w:color w:val="auto"/>
        </w:rPr>
        <w:t>And other materials required by Party B (including without limitation business license, letter of authorization, articles of association, resolutions of Shareholders’ meeting/Board of directors of Party A ‘s counterparty).</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400"/>
        <w:spacing w:after="0" w:line="277" w:lineRule="auto"/>
        <w:rPr>
          <w:sz w:val="20"/>
          <w:szCs w:val="20"/>
          <w:color w:val="auto"/>
        </w:rPr>
      </w:pPr>
      <w:r>
        <w:rPr>
          <w:rFonts w:ascii="Arial" w:cs="Arial" w:eastAsia="Arial" w:hAnsi="Arial"/>
          <w:sz w:val="18"/>
          <w:szCs w:val="18"/>
          <w:color w:val="auto"/>
        </w:rPr>
        <w:t>Party A shall submit to Party B the following materials no later than ONE working days before the date of such drawdown regardless of the amount of any particular drawdown:</w:t>
      </w:r>
    </w:p>
    <w:p>
      <w:pPr>
        <w:spacing w:after="0" w:line="170" w:lineRule="exact"/>
        <w:rPr>
          <w:sz w:val="20"/>
          <w:szCs w:val="20"/>
          <w:color w:val="auto"/>
        </w:rPr>
      </w:pPr>
    </w:p>
    <w:p>
      <w:pPr>
        <w:ind w:left="880" w:hanging="486"/>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LDC signed by Party A and payment/settlement certificate (s) signed by Party A;</w:t>
      </w:r>
    </w:p>
    <w:p>
      <w:pPr>
        <w:spacing w:after="0" w:line="225" w:lineRule="exact"/>
        <w:rPr>
          <w:rFonts w:ascii="Arial" w:cs="Arial" w:eastAsia="Arial" w:hAnsi="Arial"/>
          <w:sz w:val="18"/>
          <w:szCs w:val="18"/>
          <w:color w:val="auto"/>
        </w:rPr>
      </w:pPr>
    </w:p>
    <w:p>
      <w:pPr>
        <w:ind w:left="880" w:right="260" w:hanging="486"/>
        <w:spacing w:after="0" w:line="308" w:lineRule="auto"/>
        <w:tabs>
          <w:tab w:leader="none" w:pos="8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materials related to the underlying transactions (including without limitation goods/services/monetary contracts and/or invoices and other documents in writing or electronic form that are capable of evidencing the particular purposes of the loan drawdown);</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0" w:right="100"/>
        <w:spacing w:after="0" w:line="277" w:lineRule="auto"/>
        <w:rPr>
          <w:sz w:val="20"/>
          <w:szCs w:val="20"/>
          <w:color w:val="auto"/>
        </w:rPr>
      </w:pPr>
      <w:r>
        <w:rPr>
          <w:rFonts w:ascii="Arial" w:cs="Arial" w:eastAsia="Arial" w:hAnsi="Arial"/>
          <w:sz w:val="18"/>
          <w:szCs w:val="18"/>
          <w:color w:val="auto"/>
        </w:rPr>
        <w:t>And other materials required by Party B(including without limitation business license, letter of authorization, articles of association, resolutions of Shareholders’ meeting/Board of directors of Party A ‘s counterparty).</w:t>
      </w:r>
    </w:p>
    <w:p>
      <w:pPr>
        <w:spacing w:after="0" w:line="1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Entrusted Payment through Party B</w:t>
      </w:r>
    </w:p>
    <w:p>
      <w:pPr>
        <w:spacing w:after="0" w:line="225" w:lineRule="exact"/>
        <w:rPr>
          <w:sz w:val="20"/>
          <w:szCs w:val="20"/>
          <w:color w:val="auto"/>
        </w:rPr>
      </w:pPr>
    </w:p>
    <w:p>
      <w:pPr>
        <w:ind w:left="880" w:hanging="486"/>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Situations where Entrusted Payment applies to Party B</w:t>
      </w:r>
    </w:p>
    <w:p>
      <w:pPr>
        <w:sectPr>
          <w:pgSz w:w="11900" w:h="16838" w:orient="portrait"/>
          <w:cols w:equalWidth="0" w:num="1">
            <w:col w:w="11040"/>
          </w:cols>
          <w:pgMar w:left="580" w:top="341" w:right="279" w:bottom="0" w:gutter="0" w:footer="0" w:header="0"/>
        </w:sectPr>
      </w:pPr>
    </w:p>
    <w:bookmarkStart w:id="45" w:name="page46"/>
    <w:bookmarkEnd w:id="45"/>
    <w:p>
      <w:pPr>
        <w:spacing w:after="0" w:line="79" w:lineRule="exact"/>
        <w:rPr>
          <w:sz w:val="20"/>
          <w:szCs w:val="20"/>
          <w:color w:val="auto"/>
        </w:rPr>
      </w:pPr>
    </w:p>
    <w:p>
      <w:pPr>
        <w:ind w:left="880" w:right="160"/>
        <w:spacing w:after="0" w:line="342" w:lineRule="auto"/>
        <w:rPr>
          <w:sz w:val="20"/>
          <w:szCs w:val="20"/>
          <w:color w:val="auto"/>
        </w:rPr>
      </w:pPr>
      <w:r>
        <w:rPr>
          <w:rFonts w:ascii="Arial" w:cs="Arial" w:eastAsia="Arial" w:hAnsi="Arial"/>
          <w:sz w:val="16"/>
          <w:szCs w:val="16"/>
          <w:color w:val="auto"/>
        </w:rPr>
        <w:t>If the situation described in (i) arises, , Entrusted Payment shall apply, i.e. Party A hereby irrevocably entrusts Party B to pay the amount of the drawdown to Party A’s counterparty. Party A shall not pay such amount directly to such counterparty or any other third party.</w:t>
      </w:r>
    </w:p>
    <w:p>
      <w:pPr>
        <w:spacing w:after="0" w:line="124" w:lineRule="exact"/>
        <w:rPr>
          <w:sz w:val="20"/>
          <w:szCs w:val="20"/>
          <w:color w:val="auto"/>
        </w:rPr>
      </w:pPr>
    </w:p>
    <w:p>
      <w:pPr>
        <w:jc w:val="both"/>
        <w:ind w:left="1080" w:right="40" w:hanging="206"/>
        <w:spacing w:after="0" w:line="264" w:lineRule="auto"/>
        <w:tabs>
          <w:tab w:leader="none" w:pos="11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amount of any particular drawdown is more than RMB TEN million and the amount of any scheduled payment out of such drawdown is more than RMB TEN million, and Party B determines, after reviewing the materials submitted by Party A, that recipient of the payment is specific and identifiable;</w:t>
      </w:r>
    </w:p>
    <w:p>
      <w:pPr>
        <w:spacing w:after="0" w:line="18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40" w:hanging="266"/>
        <w:spacing w:after="0"/>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Entrusted Payment applies regardless of the amount of any particular drawdown;</w:t>
      </w:r>
    </w:p>
    <w:p>
      <w:pPr>
        <w:spacing w:after="0" w:line="225" w:lineRule="exact"/>
        <w:rPr>
          <w:rFonts w:ascii="Arial" w:cs="Arial" w:eastAsia="Arial" w:hAnsi="Arial"/>
          <w:sz w:val="18"/>
          <w:szCs w:val="18"/>
          <w:color w:val="auto"/>
        </w:rPr>
      </w:pPr>
    </w:p>
    <w:p>
      <w:pPr>
        <w:spacing w:after="0"/>
        <w:tabs>
          <w:tab w:leader="none" w:pos="0" w:val="left"/>
        </w:tabs>
        <w:numPr>
          <w:ilvl w:val="1"/>
          <w:numId w:val="36"/>
        </w:numPr>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jc w:val="both"/>
        <w:ind w:left="880" w:right="500" w:hanging="486"/>
        <w:spacing w:after="0" w:line="264"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the case of entrusted payment, Party B deposits the amount of the loan drawdown in the Loan Disbursement Account and pays such amount through Loan Disbursement Account to the account designated by Party A’s counterparty. Party A shall not dispose of the loan drawdown in any way (including without limitation account transfer or withdrawal of cash).</w:t>
      </w:r>
    </w:p>
    <w:p>
      <w:pPr>
        <w:spacing w:after="0" w:line="181" w:lineRule="exact"/>
        <w:rPr>
          <w:rFonts w:ascii="Arial" w:cs="Arial" w:eastAsia="Arial" w:hAnsi="Arial"/>
          <w:sz w:val="18"/>
          <w:szCs w:val="18"/>
          <w:color w:val="auto"/>
        </w:rPr>
      </w:pPr>
    </w:p>
    <w:p>
      <w:pPr>
        <w:ind w:left="880" w:right="40" w:hanging="486"/>
        <w:spacing w:after="0" w:line="272" w:lineRule="auto"/>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Party B will make prima facie examination of the documents submitted by Party A regarding payment amount, time of payment, recipient of payment, means of payment, and related accounts Party B will pay the drawdown amount to Party A’s counterparty if Party B determines at its discretion that it is satisfied with the abovementioned prima facie examination. The obligations of Party B relating to entrusted payment shall be extinguished once the drawdown amount is paid into the account of Party A’s counterparty (the information of such account shall be provided by Party A). Party A shall check and verify the status of payment within one working day after the date of payment and shall notify Party B in case of failure of payment. Party A shall guarantee that there is consistence between documents/information regarding recipient of payment, utilization of the loan and materials related to underlying documents.</w:t>
      </w:r>
    </w:p>
    <w:p>
      <w:pPr>
        <w:spacing w:after="0" w:line="177" w:lineRule="exact"/>
        <w:rPr>
          <w:rFonts w:ascii="Arial" w:cs="Arial" w:eastAsia="Arial" w:hAnsi="Arial"/>
          <w:sz w:val="17"/>
          <w:szCs w:val="17"/>
          <w:color w:val="auto"/>
        </w:rPr>
      </w:pPr>
    </w:p>
    <w:p>
      <w:pPr>
        <w:ind w:left="880" w:right="140" w:hanging="486"/>
        <w:spacing w:after="0" w:line="257" w:lineRule="auto"/>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is no warranty or representation by Party B in respect of the truthfulness or legality or compliance with regulations of the underlying transactions although Party B has made the above-mentioned prima facie examination of the payment documents. Nor shall Party B be implicated in any dispute between Party A and Party A’s counterparty or any third party. Nor shall Party B be liable for any obligations or liabilities of Party A. Party A shall compensate Party B for any and all losses incurred by Party B resulting from Party B’s activities relating to Entrusted Payment.</w:t>
      </w:r>
    </w:p>
    <w:p>
      <w:pPr>
        <w:spacing w:after="0" w:line="188" w:lineRule="exact"/>
        <w:rPr>
          <w:rFonts w:ascii="Arial" w:cs="Arial" w:eastAsia="Arial" w:hAnsi="Arial"/>
          <w:sz w:val="18"/>
          <w:szCs w:val="18"/>
          <w:color w:val="auto"/>
        </w:rPr>
      </w:pPr>
    </w:p>
    <w:p>
      <w:pPr>
        <w:jc w:val="both"/>
        <w:ind w:left="880" w:right="280" w:hanging="486"/>
        <w:spacing w:after="0" w:line="286" w:lineRule="auto"/>
        <w:tabs>
          <w:tab w:leader="none" w:pos="8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Where there is a failure or delay in payment of the drawdown amount to the account of Party A’s counterparty and such failure or delay is caused by incompleteness, untruthfulness or inaccuracy of the documents submitted by Party A, or by violation of permitted utilization of loan or by information discrepancy or by other reasons but not by Party B’s fault, the following applies:</w:t>
      </w:r>
    </w:p>
    <w:p>
      <w:pPr>
        <w:spacing w:after="0" w:line="165" w:lineRule="exact"/>
        <w:rPr>
          <w:rFonts w:ascii="Arial" w:cs="Arial" w:eastAsia="Arial" w:hAnsi="Arial"/>
          <w:sz w:val="17"/>
          <w:szCs w:val="17"/>
          <w:color w:val="auto"/>
        </w:rPr>
      </w:pPr>
    </w:p>
    <w:p>
      <w:pPr>
        <w:ind w:left="1320" w:right="100" w:hanging="446"/>
        <w:spacing w:after="0" w:line="308" w:lineRule="auto"/>
        <w:tabs>
          <w:tab w:leader="none" w:pos="1342" w:val="left"/>
        </w:tabs>
        <w:numPr>
          <w:ilvl w:val="1"/>
          <w:numId w:val="37"/>
        </w:numPr>
        <w:rPr>
          <w:rFonts w:ascii="Arial" w:cs="Arial" w:eastAsia="Arial" w:hAnsi="Arial"/>
          <w:sz w:val="17"/>
          <w:szCs w:val="17"/>
          <w:color w:val="auto"/>
        </w:rPr>
      </w:pPr>
      <w:r>
        <w:rPr>
          <w:rFonts w:ascii="Arial" w:cs="Arial" w:eastAsia="Arial" w:hAnsi="Arial"/>
          <w:sz w:val="17"/>
          <w:szCs w:val="17"/>
          <w:color w:val="auto"/>
        </w:rPr>
        <w:t>Party A shall be liable for all the consequences including without limitation all losses caused by the above mentioned failure or delay. Party B shall not be liable in any way and shall be compensated by Party A for any losses resulting therefrom;</w:t>
      </w:r>
    </w:p>
    <w:p>
      <w:pPr>
        <w:spacing w:after="0" w:line="146" w:lineRule="exact"/>
        <w:rPr>
          <w:rFonts w:ascii="Arial" w:cs="Arial" w:eastAsia="Arial" w:hAnsi="Arial"/>
          <w:sz w:val="17"/>
          <w:szCs w:val="17"/>
          <w:color w:val="auto"/>
        </w:rPr>
      </w:pPr>
    </w:p>
    <w:p>
      <w:pPr>
        <w:ind w:left="1320" w:right="100" w:hanging="446"/>
        <w:spacing w:after="0" w:line="277" w:lineRule="auto"/>
        <w:tabs>
          <w:tab w:leader="none" w:pos="1354" w:val="left"/>
        </w:tabs>
        <w:numPr>
          <w:ilvl w:val="1"/>
          <w:numId w:val="37"/>
        </w:numPr>
        <w:rPr>
          <w:rFonts w:ascii="Arial" w:cs="Arial" w:eastAsia="Arial" w:hAnsi="Arial"/>
          <w:sz w:val="18"/>
          <w:szCs w:val="18"/>
          <w:color w:val="auto"/>
        </w:rPr>
      </w:pPr>
      <w:r>
        <w:rPr>
          <w:rFonts w:ascii="Arial" w:cs="Arial" w:eastAsia="Arial" w:hAnsi="Arial"/>
          <w:sz w:val="18"/>
          <w:szCs w:val="18"/>
          <w:color w:val="auto"/>
        </w:rPr>
        <w:t>Party A shall not dispose of any of such drawdown amount in anyway (including without limitation account transfer or withdrawal of cash);</w:t>
      </w:r>
    </w:p>
    <w:p>
      <w:pPr>
        <w:spacing w:after="0" w:line="170" w:lineRule="exact"/>
        <w:rPr>
          <w:rFonts w:ascii="Arial" w:cs="Arial" w:eastAsia="Arial" w:hAnsi="Arial"/>
          <w:sz w:val="18"/>
          <w:szCs w:val="18"/>
          <w:color w:val="auto"/>
        </w:rPr>
      </w:pPr>
    </w:p>
    <w:p>
      <w:pPr>
        <w:ind w:left="5320" w:right="60" w:hanging="4446"/>
        <w:spacing w:after="0" w:line="528" w:lineRule="auto"/>
        <w:tabs>
          <w:tab w:leader="none" w:pos="1364" w:val="left"/>
        </w:tabs>
        <w:numPr>
          <w:ilvl w:val="1"/>
          <w:numId w:val="37"/>
        </w:numPr>
        <w:rPr>
          <w:rFonts w:ascii="Arial" w:cs="Arial" w:eastAsia="Arial" w:hAnsi="Arial"/>
          <w:sz w:val="18"/>
          <w:szCs w:val="18"/>
          <w:color w:val="auto"/>
        </w:rPr>
      </w:pPr>
      <w:r>
        <w:rPr>
          <w:rFonts w:ascii="Arial" w:cs="Arial" w:eastAsia="Arial" w:hAnsi="Arial"/>
          <w:sz w:val="18"/>
          <w:szCs w:val="18"/>
          <w:color w:val="auto"/>
        </w:rPr>
        <w:t>Party A shall resubmit materials, make corrections and/or perform other activities as instructed by Party B within ONE working days;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-90170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840"/>
        <w:spacing w:after="0"/>
        <w:rPr>
          <w:sz w:val="20"/>
          <w:szCs w:val="20"/>
          <w:color w:val="auto"/>
        </w:rPr>
      </w:pPr>
      <w:r>
        <w:rPr>
          <w:rFonts w:ascii="Arial" w:cs="Arial" w:eastAsia="Arial" w:hAnsi="Arial"/>
          <w:sz w:val="18"/>
          <w:szCs w:val="18"/>
          <w:color w:val="auto"/>
        </w:rPr>
        <w:t>Party B may accelerate the maturity of such loan drawdown if Party A is in breach of any of the above provisions.</w:t>
      </w:r>
    </w:p>
    <w:p>
      <w:pPr>
        <w:spacing w:after="0" w:line="225" w:lineRule="exact"/>
        <w:rPr>
          <w:sz w:val="20"/>
          <w:szCs w:val="20"/>
          <w:color w:val="auto"/>
        </w:rPr>
      </w:pPr>
    </w:p>
    <w:p>
      <w:pPr>
        <w:ind w:left="880" w:right="360" w:hanging="486"/>
        <w:spacing w:after="0" w:line="342" w:lineRule="auto"/>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Party A shall be liable for any and all risks, liabilities and losses caused by any failure or error or delay in payment which does not result from Party B’s fault. Party B shall not be liable in any way and shall be compensated by Party A for any losses resulting therefrom.</w:t>
      </w:r>
    </w:p>
    <w:p>
      <w:pPr>
        <w:spacing w:after="0" w:line="12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Payment on Party A’s own initiative</w:t>
      </w:r>
    </w:p>
    <w:p>
      <w:pPr>
        <w:spacing w:after="0" w:line="225" w:lineRule="exact"/>
        <w:rPr>
          <w:sz w:val="20"/>
          <w:szCs w:val="20"/>
          <w:color w:val="auto"/>
        </w:rPr>
      </w:pPr>
    </w:p>
    <w:p>
      <w:pPr>
        <w:ind w:left="400" w:right="220"/>
        <w:spacing w:after="0" w:line="259" w:lineRule="auto"/>
        <w:rPr>
          <w:sz w:val="20"/>
          <w:szCs w:val="20"/>
          <w:color w:val="auto"/>
        </w:rPr>
      </w:pPr>
      <w:r>
        <w:rPr>
          <w:rFonts w:ascii="Arial" w:cs="Arial" w:eastAsia="Arial" w:hAnsi="Arial"/>
          <w:sz w:val="18"/>
          <w:szCs w:val="18"/>
          <w:color w:val="auto"/>
        </w:rPr>
        <w:t>Where situation other than that described in Article 5.6 (1) arises, Party A may initiate the payment at its own discretion. i.e. Party B may deposit the drawdown amount to the Loan Disbursement Account as instructed by Party A’s application for loan drawdown, Party A may then pay such amount directly to the recipient. Party A shall guarantee the conformity between the recipient, utilization of loan and the underlying transaction documents.</w:t>
      </w:r>
    </w:p>
    <w:p>
      <w:pPr>
        <w:spacing w:after="0" w:line="187" w:lineRule="exact"/>
        <w:rPr>
          <w:sz w:val="20"/>
          <w:szCs w:val="20"/>
          <w:color w:val="auto"/>
        </w:rPr>
      </w:pPr>
    </w:p>
    <w:p>
      <w:pPr>
        <w:jc w:val="both"/>
        <w:ind w:left="400" w:hanging="404"/>
        <w:spacing w:after="0" w:line="279" w:lineRule="auto"/>
        <w:tabs>
          <w:tab w:leader="none" w:pos="38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7"/>
          <w:szCs w:val="17"/>
          <w:color w:val="auto"/>
        </w:rPr>
        <w:t>The obligations of Party B to advance loans shall be extinguished once the loan amount is deposited into the Loan Disbursement Account regardless of entrusted payment or not. Party A shall ensure the Loan Disbursement Account remain in normal status (including without limitation not subject to freezing by competent authorities). Party A shall bear all risks, liabilities and losses including without limitation freezing and mandatory transfer by competent authorities. Party A shall compensate Party B for any losses resulting therefrom.</w:t>
      </w:r>
    </w:p>
    <w:p>
      <w:pPr>
        <w:spacing w:after="0" w:line="171"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color w:val="auto"/>
        </w:rPr>
        <w:t>Change of means of payment</w:t>
      </w:r>
    </w:p>
    <w:p>
      <w:pPr>
        <w:spacing w:after="0" w:line="225" w:lineRule="exact"/>
        <w:rPr>
          <w:sz w:val="20"/>
          <w:szCs w:val="20"/>
          <w:color w:val="auto"/>
        </w:rPr>
      </w:pPr>
    </w:p>
    <w:p>
      <w:pPr>
        <w:jc w:val="both"/>
        <w:ind w:left="400" w:right="340"/>
        <w:spacing w:after="0" w:line="264" w:lineRule="auto"/>
        <w:rPr>
          <w:sz w:val="20"/>
          <w:szCs w:val="20"/>
          <w:color w:val="auto"/>
        </w:rPr>
      </w:pPr>
      <w:r>
        <w:rPr>
          <w:rFonts w:ascii="Arial" w:cs="Arial" w:eastAsia="Arial" w:hAnsi="Arial"/>
          <w:sz w:val="18"/>
          <w:szCs w:val="18"/>
          <w:color w:val="auto"/>
        </w:rPr>
        <w:t>Party B is entitled to change the means of payment if any of the following circumstances arises, including without limitation re-determining the situations where Entrusted Payment applies,(e.g. changing the threshold amount for Entrusted Payment) and changing the means of payment in respect of any particular drawdown:</w:t>
      </w:r>
    </w:p>
    <w:p>
      <w:pPr>
        <w:sectPr>
          <w:pgSz w:w="11900" w:h="16918" w:orient="portrait"/>
          <w:cols w:equalWidth="0" w:num="1">
            <w:col w:w="11080"/>
          </w:cols>
          <w:pgMar w:left="580" w:top="341" w:right="239" w:bottom="0" w:gutter="0" w:footer="0" w:header="0"/>
        </w:sectPr>
      </w:pPr>
    </w:p>
    <w:bookmarkStart w:id="46" w:name="page47"/>
    <w:bookmarkEnd w:id="46"/>
    <w:p>
      <w:pPr>
        <w:ind w:left="1052" w:hanging="326"/>
        <w:spacing w:after="0"/>
        <w:tabs>
          <w:tab w:leader="none" w:pos="10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event of default by Party A arises;</w:t>
      </w:r>
    </w:p>
    <w:p>
      <w:pPr>
        <w:spacing w:after="0" w:line="225" w:lineRule="exact"/>
        <w:rPr>
          <w:rFonts w:ascii="Arial" w:cs="Arial" w:eastAsia="Arial" w:hAnsi="Arial"/>
          <w:sz w:val="18"/>
          <w:szCs w:val="18"/>
          <w:color w:val="auto"/>
        </w:rPr>
      </w:pPr>
    </w:p>
    <w:p>
      <w:pPr>
        <w:ind w:left="1052" w:hanging="326"/>
        <w:spacing w:after="0"/>
        <w:tabs>
          <w:tab w:leader="none" w:pos="10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There arises any event that may adversely impact Party B’s rights as a creditor;</w:t>
      </w:r>
    </w:p>
    <w:p>
      <w:pPr>
        <w:spacing w:after="0" w:line="225" w:lineRule="exact"/>
        <w:rPr>
          <w:rFonts w:ascii="Arial" w:cs="Arial" w:eastAsia="Arial" w:hAnsi="Arial"/>
          <w:sz w:val="18"/>
          <w:szCs w:val="18"/>
          <w:color w:val="auto"/>
        </w:rPr>
      </w:pPr>
    </w:p>
    <w:p>
      <w:pPr>
        <w:ind w:left="1052" w:hanging="326"/>
        <w:spacing w:after="0"/>
        <w:tabs>
          <w:tab w:leader="none" w:pos="1052"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circumstances where Party B deems necessary to change the means of payment.</w:t>
      </w:r>
    </w:p>
    <w:p>
      <w:pPr>
        <w:spacing w:after="0" w:line="225" w:lineRule="exact"/>
        <w:rPr>
          <w:sz w:val="20"/>
          <w:szCs w:val="20"/>
          <w:color w:val="auto"/>
        </w:rPr>
      </w:pPr>
    </w:p>
    <w:p>
      <w:pPr>
        <w:ind w:left="732" w:right="400"/>
        <w:spacing w:after="0" w:line="277" w:lineRule="auto"/>
        <w:rPr>
          <w:sz w:val="20"/>
          <w:szCs w:val="20"/>
          <w:color w:val="auto"/>
        </w:rPr>
      </w:pPr>
      <w:r>
        <w:rPr>
          <w:rFonts w:ascii="Arial" w:cs="Arial" w:eastAsia="Arial" w:hAnsi="Arial"/>
          <w:sz w:val="18"/>
          <w:szCs w:val="18"/>
          <w:color w:val="auto"/>
        </w:rPr>
        <w:t>Where Party B changes the means of payment, Party A shall resubmit the materials or perform other activities as required by this Contract and Party B.</w:t>
      </w:r>
    </w:p>
    <w:p>
      <w:pPr>
        <w:spacing w:after="0" w:line="166" w:lineRule="exact"/>
        <w:rPr>
          <w:sz w:val="20"/>
          <w:szCs w:val="20"/>
          <w:color w:val="auto"/>
        </w:rPr>
      </w:pPr>
    </w:p>
    <w:p>
      <w:pPr>
        <w:ind w:left="652" w:hanging="652"/>
        <w:spacing w:after="0"/>
        <w:tabs>
          <w:tab w:leader="none" w:pos="652"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USE AND SUPERVISION OF ACCOUNTS</w:t>
      </w:r>
    </w:p>
    <w:p>
      <w:pPr>
        <w:spacing w:after="0" w:line="229" w:lineRule="exact"/>
        <w:rPr>
          <w:sz w:val="20"/>
          <w:szCs w:val="20"/>
          <w:color w:val="auto"/>
        </w:rPr>
      </w:pPr>
    </w:p>
    <w:p>
      <w:pPr>
        <w:ind w:left="852"/>
        <w:spacing w:after="0"/>
        <w:tabs>
          <w:tab w:leader="none" w:pos="1272"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Loan Disbursement Account</w:t>
      </w:r>
    </w:p>
    <w:p>
      <w:pPr>
        <w:spacing w:after="0" w:line="225"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The Loan Disbursement Account herein shall be determined in accordance with (2):</w:t>
      </w:r>
    </w:p>
    <w:p>
      <w:pPr>
        <w:spacing w:after="0" w:line="225" w:lineRule="exact"/>
        <w:rPr>
          <w:sz w:val="20"/>
          <w:szCs w:val="20"/>
          <w:color w:val="auto"/>
        </w:rPr>
      </w:pPr>
    </w:p>
    <w:p>
      <w:pPr>
        <w:ind w:left="1292"/>
        <w:spacing w:after="0"/>
        <w:tabs>
          <w:tab w:leader="none" w:pos="1752" w:val="left"/>
          <w:tab w:leader="none" w:pos="2572" w:val="left"/>
        </w:tabs>
        <w:rPr>
          <w:sz w:val="20"/>
          <w:szCs w:val="20"/>
          <w:color w:val="auto"/>
        </w:rPr>
      </w:pPr>
      <w:r>
        <w:rPr>
          <w:rFonts w:ascii="Arial" w:cs="Arial" w:eastAsia="Arial" w:hAnsi="Arial"/>
          <w:sz w:val="18"/>
          <w:szCs w:val="18"/>
          <w:color w:val="auto"/>
        </w:rPr>
        <w:t>(1)</w:t>
        <w:tab/>
        <w:t>within</w:t>
      </w:r>
      <w:r>
        <w:rPr>
          <w:sz w:val="20"/>
          <w:szCs w:val="20"/>
          <w:color w:val="auto"/>
        </w:rPr>
        <w:tab/>
      </w:r>
      <w:r>
        <w:rPr>
          <w:rFonts w:ascii="Arial" w:cs="Arial" w:eastAsia="Arial" w:hAnsi="Arial"/>
          <w:sz w:val="16"/>
          <w:szCs w:val="16"/>
          <w:color w:val="auto"/>
        </w:rPr>
        <w:t>working days from the date of coming into effect of</w:t>
      </w: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752" w:right="700"/>
        <w:spacing w:after="0" w:line="277" w:lineRule="auto"/>
        <w:rPr>
          <w:sz w:val="20"/>
          <w:szCs w:val="20"/>
          <w:color w:val="auto"/>
        </w:rPr>
      </w:pPr>
      <w:r>
        <w:rPr>
          <w:rFonts w:ascii="Arial" w:cs="Arial" w:eastAsia="Arial" w:hAnsi="Arial"/>
          <w:sz w:val="18"/>
          <w:szCs w:val="18"/>
          <w:color w:val="auto"/>
        </w:rPr>
        <w:t>this Contract and before the date of first drawdown, Party A shall open an account within Party B for the sole purpose of the disbursement and payment of all loan amount under this Contract.</w:t>
      </w:r>
    </w:p>
    <w:p>
      <w:pPr>
        <w:spacing w:after="0" w:line="170" w:lineRule="exact"/>
        <w:rPr>
          <w:sz w:val="20"/>
          <w:szCs w:val="20"/>
          <w:color w:val="auto"/>
        </w:rPr>
      </w:pPr>
    </w:p>
    <w:p>
      <w:pPr>
        <w:ind w:left="1292"/>
        <w:spacing w:after="0"/>
        <w:tabs>
          <w:tab w:leader="none" w:pos="1752" w:val="left"/>
          <w:tab w:leader="none" w:pos="8572" w:val="left"/>
        </w:tabs>
        <w:rPr>
          <w:sz w:val="20"/>
          <w:szCs w:val="20"/>
          <w:color w:val="auto"/>
        </w:rPr>
      </w:pPr>
      <w:r>
        <w:rPr>
          <w:rFonts w:ascii="Arial" w:cs="Arial" w:eastAsia="Arial" w:hAnsi="Arial"/>
          <w:sz w:val="18"/>
          <w:szCs w:val="18"/>
          <w:color w:val="auto"/>
        </w:rPr>
        <w:t>(2)</w:t>
        <w:tab/>
        <w:t>other account opened by Party A within Party B (Account Number:</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852"/>
        <w:spacing w:after="0"/>
        <w:tabs>
          <w:tab w:leader="none" w:pos="127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Account to collect sale proceeds</w:t>
      </w:r>
    </w:p>
    <w:p>
      <w:pPr>
        <w:spacing w:after="0" w:line="225" w:lineRule="exact"/>
        <w:rPr>
          <w:sz w:val="20"/>
          <w:szCs w:val="20"/>
          <w:color w:val="auto"/>
        </w:rPr>
      </w:pPr>
    </w:p>
    <w:p>
      <w:pPr>
        <w:ind w:left="1652" w:right="240" w:hanging="362"/>
        <w:spacing w:after="0" w:line="274" w:lineRule="auto"/>
        <w:tabs>
          <w:tab w:leader="none" w:pos="1632"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within ONE working days from the date of coming into effect of this Contract, Party A shall open an account within Party B for the purpose of collecting sale proceeds or designate an existing account within Party B as such (Account Number:</w:t>
      </w:r>
    </w:p>
    <w:p>
      <w:pPr>
        <w:ind w:left="3592"/>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1652" w:hanging="355"/>
        <w:spacing w:after="0" w:line="264" w:lineRule="auto"/>
        <w:tabs>
          <w:tab w:leader="none" w:pos="1661"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Party A shall, on a monthly basis (choose “monthly” or “quarterly”), submit a report to Party B on the incoming and outgoing amounts of such account. Party A shall submit such report for the immediately preceding month or quarter (as the case may be) within the first FIVE working days of each month or quarter.</w:t>
      </w:r>
    </w:p>
    <w:p>
      <w:pPr>
        <w:spacing w:after="0" w:line="181" w:lineRule="exact"/>
        <w:rPr>
          <w:rFonts w:ascii="Arial" w:cs="Arial" w:eastAsia="Arial" w:hAnsi="Arial"/>
          <w:sz w:val="18"/>
          <w:szCs w:val="18"/>
          <w:color w:val="auto"/>
        </w:rPr>
      </w:pPr>
    </w:p>
    <w:p>
      <w:pPr>
        <w:ind w:left="1652" w:right="180" w:hanging="355"/>
        <w:spacing w:after="0" w:line="277" w:lineRule="auto"/>
        <w:tabs>
          <w:tab w:leader="none" w:pos="1661" w:val="left"/>
        </w:tabs>
        <w:numPr>
          <w:ilvl w:val="0"/>
          <w:numId w:val="41"/>
        </w:numPr>
        <w:rPr>
          <w:rFonts w:ascii="Arial" w:cs="Arial" w:eastAsia="Arial" w:hAnsi="Arial"/>
          <w:sz w:val="18"/>
          <w:szCs w:val="18"/>
          <w:color w:val="auto"/>
        </w:rPr>
      </w:pPr>
      <w:r>
        <w:rPr>
          <w:rFonts w:ascii="Arial" w:cs="Arial" w:eastAsia="Arial" w:hAnsi="Arial"/>
          <w:sz w:val="18"/>
          <w:szCs w:val="18"/>
          <w:color w:val="auto"/>
        </w:rPr>
        <w:t>Party B is entitled to manage the incoming and outgoing amounts of such account. In particular, such account shall be in compliance with (vi) (one or more of the following requirements may be selected):</w:t>
      </w:r>
    </w:p>
    <w:p>
      <w:pPr>
        <w:spacing w:after="0" w:line="170" w:lineRule="exact"/>
        <w:rPr>
          <w:rFonts w:ascii="Arial" w:cs="Arial" w:eastAsia="Arial" w:hAnsi="Arial"/>
          <w:sz w:val="18"/>
          <w:szCs w:val="18"/>
          <w:color w:val="auto"/>
        </w:rPr>
      </w:pPr>
    </w:p>
    <w:p>
      <w:pPr>
        <w:ind w:left="2132" w:hanging="473"/>
        <w:spacing w:after="0"/>
        <w:tabs>
          <w:tab w:leader="none" w:pos="2132" w:val="left"/>
        </w:tabs>
        <w:numPr>
          <w:ilvl w:val="1"/>
          <w:numId w:val="41"/>
        </w:numPr>
        <w:rPr>
          <w:rFonts w:ascii="Arial" w:cs="Arial" w:eastAsia="Arial" w:hAnsi="Arial"/>
          <w:sz w:val="18"/>
          <w:szCs w:val="18"/>
          <w:color w:val="auto"/>
        </w:rPr>
      </w:pPr>
      <w:r>
        <w:rPr>
          <w:rFonts w:ascii="Arial" w:cs="Arial" w:eastAsia="Arial" w:hAnsi="Arial"/>
          <w:sz w:val="18"/>
          <w:szCs w:val="18"/>
          <w:color w:val="auto"/>
        </w:rPr>
        <w:t>average balances of such account: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132" w:hanging="473"/>
        <w:spacing w:after="0"/>
        <w:tabs>
          <w:tab w:leader="none" w:pos="2132" w:val="left"/>
        </w:tabs>
        <w:numPr>
          <w:ilvl w:val="1"/>
          <w:numId w:val="41"/>
        </w:numPr>
        <w:rPr>
          <w:rFonts w:ascii="Arial" w:cs="Arial" w:eastAsia="Arial" w:hAnsi="Arial"/>
          <w:sz w:val="18"/>
          <w:szCs w:val="18"/>
          <w:color w:val="auto"/>
        </w:rPr>
      </w:pPr>
      <w:r>
        <w:rPr>
          <w:rFonts w:ascii="Arial" w:cs="Arial" w:eastAsia="Arial" w:hAnsi="Arial"/>
          <w:sz w:val="18"/>
          <w:szCs w:val="18"/>
          <w:color w:val="auto"/>
        </w:rPr>
        <w:t>time for incoming payment being deposited into such account: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152" w:hanging="493"/>
        <w:spacing w:after="0"/>
        <w:tabs>
          <w:tab w:leader="none" w:pos="2152" w:val="left"/>
        </w:tabs>
        <w:numPr>
          <w:ilvl w:val="1"/>
          <w:numId w:val="41"/>
        </w:numPr>
        <w:rPr>
          <w:rFonts w:ascii="Arial" w:cs="Arial" w:eastAsia="Arial" w:hAnsi="Arial"/>
          <w:sz w:val="18"/>
          <w:szCs w:val="18"/>
          <w:color w:val="auto"/>
        </w:rPr>
      </w:pPr>
      <w:r>
        <w:rPr>
          <w:rFonts w:ascii="Arial" w:cs="Arial" w:eastAsia="Arial" w:hAnsi="Arial"/>
          <w:sz w:val="18"/>
          <w:szCs w:val="18"/>
          <w:color w:val="auto"/>
        </w:rPr>
        <w:t>percentage of the overall sale proceeds of Party A that are to be deposited into such account: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112" w:hanging="453"/>
        <w:spacing w:after="0"/>
        <w:tabs>
          <w:tab w:leader="none" w:pos="2112" w:val="left"/>
        </w:tabs>
        <w:numPr>
          <w:ilvl w:val="1"/>
          <w:numId w:val="41"/>
        </w:numPr>
        <w:rPr>
          <w:rFonts w:ascii="Arial" w:cs="Arial" w:eastAsia="Arial" w:hAnsi="Arial"/>
          <w:sz w:val="18"/>
          <w:szCs w:val="18"/>
          <w:color w:val="auto"/>
        </w:rPr>
      </w:pPr>
      <w:r>
        <w:rPr>
          <w:rFonts w:ascii="Arial" w:cs="Arial" w:eastAsia="Arial" w:hAnsi="Arial"/>
          <w:sz w:val="18"/>
          <w:szCs w:val="18"/>
          <w:color w:val="auto"/>
        </w:rPr>
        <w:t>amount limit for any particular outgoing payment of such account: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112" w:hanging="453"/>
        <w:spacing w:after="0"/>
        <w:tabs>
          <w:tab w:leader="none" w:pos="2112" w:val="left"/>
        </w:tabs>
        <w:numPr>
          <w:ilvl w:val="1"/>
          <w:numId w:val="41"/>
        </w:numPr>
        <w:rPr>
          <w:rFonts w:ascii="Arial" w:cs="Arial" w:eastAsia="Arial" w:hAnsi="Arial"/>
          <w:sz w:val="18"/>
          <w:szCs w:val="18"/>
          <w:color w:val="auto"/>
        </w:rPr>
      </w:pPr>
      <w:r>
        <w:rPr>
          <w:rFonts w:ascii="Arial" w:cs="Arial" w:eastAsia="Arial" w:hAnsi="Arial"/>
          <w:sz w:val="18"/>
          <w:szCs w:val="18"/>
          <w:color w:val="auto"/>
        </w:rPr>
        <w:t>amount limit for daily outgoing payment (s) of such account: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112" w:hanging="453"/>
        <w:spacing w:after="0"/>
        <w:tabs>
          <w:tab w:leader="none" w:pos="2112"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restrictions on internet-banking functions of such account: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2132" w:hanging="473"/>
        <w:spacing w:after="0"/>
        <w:tabs>
          <w:tab w:leader="none" w:pos="2132"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outgoing payment shall be made without Party B’s prior consent;</w:t>
      </w:r>
    </w:p>
    <w:p>
      <w:pPr>
        <w:spacing w:after="0" w:line="225" w:lineRule="exact"/>
        <w:rPr>
          <w:rFonts w:ascii="Arial" w:cs="Arial" w:eastAsia="Arial" w:hAnsi="Arial"/>
          <w:sz w:val="18"/>
          <w:szCs w:val="18"/>
          <w:color w:val="auto"/>
        </w:rPr>
      </w:pPr>
    </w:p>
    <w:p>
      <w:pPr>
        <w:ind w:left="2112" w:right="580" w:hanging="453"/>
        <w:spacing w:after="0" w:line="277" w:lineRule="auto"/>
        <w:tabs>
          <w:tab w:leader="none" w:pos="21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Such account shall be used only for the purposes of collecting sale proceeds and repaying the loan, and not for any other purpose;</w:t>
      </w:r>
    </w:p>
    <w:p>
      <w:pPr>
        <w:spacing w:after="0" w:line="170" w:lineRule="exact"/>
        <w:rPr>
          <w:sz w:val="20"/>
          <w:szCs w:val="20"/>
          <w:color w:val="auto"/>
        </w:rPr>
      </w:pPr>
    </w:p>
    <w:p>
      <w:pPr>
        <w:ind w:left="1652"/>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1392"/>
          </w:cols>
          <w:pgMar w:left="248" w:top="341" w:right="259" w:bottom="32" w:gutter="0" w:footer="0" w:header="0"/>
        </w:sectPr>
      </w:pPr>
    </w:p>
    <w:bookmarkStart w:id="47" w:name="page48"/>
    <w:bookmarkEnd w:id="47"/>
    <w:p>
      <w:pPr>
        <w:ind w:left="2112" w:hanging="453"/>
        <w:spacing w:after="0"/>
        <w:tabs>
          <w:tab w:leader="none" w:pos="2112" w:val="left"/>
        </w:tabs>
        <w:numPr>
          <w:ilvl w:val="1"/>
          <w:numId w:val="43"/>
        </w:numPr>
        <w:rPr>
          <w:rFonts w:ascii="Arial" w:cs="Arial" w:eastAsia="Arial" w:hAnsi="Arial"/>
          <w:sz w:val="18"/>
          <w:szCs w:val="18"/>
          <w:color w:val="auto"/>
        </w:rPr>
      </w:pPr>
      <w:r>
        <w:rPr>
          <w:rFonts w:ascii="Arial" w:cs="Arial" w:eastAsia="Arial" w:hAnsi="Arial"/>
          <w:sz w:val="18"/>
          <w:szCs w:val="18"/>
          <w:color w:val="auto"/>
        </w:rPr>
        <w:t>other requirements by Party B;</w:t>
      </w:r>
    </w:p>
    <w:p>
      <w:pPr>
        <w:spacing w:after="0" w:line="225" w:lineRule="exact"/>
        <w:rPr>
          <w:rFonts w:ascii="Arial" w:cs="Arial" w:eastAsia="Arial" w:hAnsi="Arial"/>
          <w:sz w:val="18"/>
          <w:szCs w:val="18"/>
          <w:color w:val="auto"/>
        </w:rPr>
      </w:pPr>
    </w:p>
    <w:p>
      <w:pPr>
        <w:ind w:left="2112" w:hanging="453"/>
        <w:spacing w:after="0"/>
        <w:tabs>
          <w:tab w:leader="none" w:pos="2112" w:val="left"/>
        </w:tabs>
        <w:numPr>
          <w:ilvl w:val="1"/>
          <w:numId w:val="43"/>
        </w:numPr>
        <w:rPr>
          <w:rFonts w:ascii="Arial" w:cs="Arial" w:eastAsia="Arial" w:hAnsi="Arial"/>
          <w:sz w:val="18"/>
          <w:szCs w:val="18"/>
          <w:color w:val="auto"/>
        </w:rPr>
      </w:pPr>
      <w:r>
        <w:rPr>
          <w:rFonts w:ascii="Arial" w:cs="Arial" w:eastAsia="Arial" w:hAnsi="Arial"/>
          <w:sz w:val="18"/>
          <w:szCs w:val="18"/>
          <w:color w:val="auto"/>
        </w:rPr>
        <w:t>A separate Account Management Agreement signed by both Parties shall be complied with.</w:t>
      </w:r>
    </w:p>
    <w:p>
      <w:pPr>
        <w:spacing w:after="0" w:line="221" w:lineRule="exact"/>
        <w:rPr>
          <w:rFonts w:ascii="Arial" w:cs="Arial" w:eastAsia="Arial" w:hAnsi="Arial"/>
          <w:sz w:val="18"/>
          <w:szCs w:val="18"/>
          <w:color w:val="auto"/>
        </w:rPr>
      </w:pPr>
    </w:p>
    <w:p>
      <w:pPr>
        <w:ind w:left="652" w:hanging="652"/>
        <w:spacing w:after="0"/>
        <w:tabs>
          <w:tab w:leader="none" w:pos="65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REPAYMENT</w:t>
      </w:r>
    </w:p>
    <w:p>
      <w:pPr>
        <w:spacing w:after="0" w:line="22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7.1 General Principles for Repayment</w:t>
      </w:r>
    </w:p>
    <w:p>
      <w:pPr>
        <w:spacing w:after="0" w:line="225" w:lineRule="exact"/>
        <w:rPr>
          <w:sz w:val="20"/>
          <w:szCs w:val="20"/>
          <w:color w:val="auto"/>
        </w:rPr>
      </w:pPr>
    </w:p>
    <w:p>
      <w:pPr>
        <w:ind w:left="972"/>
        <w:spacing w:after="0" w:line="302" w:lineRule="auto"/>
        <w:rPr>
          <w:sz w:val="20"/>
          <w:szCs w:val="20"/>
          <w:color w:val="auto"/>
        </w:rPr>
      </w:pPr>
      <w:r>
        <w:rPr>
          <w:rFonts w:ascii="Arial" w:cs="Arial" w:eastAsia="Arial" w:hAnsi="Arial"/>
          <w:sz w:val="16"/>
          <w:szCs w:val="16"/>
          <w:color w:val="auto"/>
        </w:rPr>
        <w:t>Party A shall repay the Loan in accordance with the following principles: Party B has the right to apply Party A’s repayment first towards payment of any expense which shall be borne by Party A as provided hereunder but has been advanced by Party B and the expenses incurred by Party B for realizing its creditor’s rights. Party B shall apply the balance of such repayment in the order of interest first and then principal adhering to the principle that the interest shall be fully repaid concurrently with the repayment in full of all the principal amounts.</w:t>
      </w:r>
    </w:p>
    <w:p>
      <w:pPr>
        <w:spacing w:after="0" w:line="154" w:lineRule="exact"/>
        <w:rPr>
          <w:sz w:val="20"/>
          <w:szCs w:val="20"/>
          <w:color w:val="auto"/>
        </w:rPr>
      </w:pPr>
    </w:p>
    <w:p>
      <w:pPr>
        <w:ind w:left="972"/>
        <w:spacing w:after="0" w:line="259" w:lineRule="auto"/>
        <w:rPr>
          <w:sz w:val="20"/>
          <w:szCs w:val="20"/>
          <w:color w:val="auto"/>
        </w:rPr>
      </w:pPr>
      <w:r>
        <w:rPr>
          <w:rFonts w:ascii="Arial" w:cs="Arial" w:eastAsia="Arial" w:hAnsi="Arial"/>
          <w:sz w:val="18"/>
          <w:szCs w:val="18"/>
          <w:color w:val="auto"/>
        </w:rPr>
        <w:t>For any advance of which the principal has become due but unpaid for more than ninety days, or any advance on which the interest has become due but unpaid for more than ninety days, or any advance otherwise provided by the laws, regulations or rules, Party B may first apply Party A’s repayment towards those payments of expenses set out in the first paragraph of this article. Then Party B may apply the balance of such repayment towards payment in the order of principal first and then interest.</w:t>
      </w:r>
    </w:p>
    <w:p>
      <w:pPr>
        <w:spacing w:after="0" w:line="187" w:lineRule="exact"/>
        <w:rPr>
          <w:sz w:val="20"/>
          <w:szCs w:val="20"/>
          <w:color w:val="auto"/>
        </w:rPr>
      </w:pPr>
    </w:p>
    <w:p>
      <w:pPr>
        <w:ind w:left="652"/>
        <w:spacing w:after="0"/>
        <w:rPr>
          <w:sz w:val="20"/>
          <w:szCs w:val="20"/>
          <w:color w:val="auto"/>
        </w:rPr>
      </w:pPr>
      <w:r>
        <w:rPr>
          <w:rFonts w:ascii="Arial" w:cs="Arial" w:eastAsia="Arial" w:hAnsi="Arial"/>
          <w:sz w:val="18"/>
          <w:szCs w:val="18"/>
          <w:color w:val="auto"/>
        </w:rPr>
        <w:t>7.2 Payment of Interest</w:t>
      </w:r>
    </w:p>
    <w:p>
      <w:pPr>
        <w:spacing w:after="0" w:line="225" w:lineRule="exact"/>
        <w:rPr>
          <w:sz w:val="20"/>
          <w:szCs w:val="20"/>
          <w:color w:val="auto"/>
        </w:rPr>
      </w:pPr>
    </w:p>
    <w:p>
      <w:pPr>
        <w:ind w:left="972" w:right="100"/>
        <w:spacing w:after="0" w:line="342" w:lineRule="auto"/>
        <w:rPr>
          <w:sz w:val="20"/>
          <w:szCs w:val="20"/>
          <w:color w:val="auto"/>
        </w:rPr>
      </w:pPr>
      <w:r>
        <w:rPr>
          <w:rFonts w:ascii="Arial" w:cs="Arial" w:eastAsia="Arial" w:hAnsi="Arial"/>
          <w:sz w:val="16"/>
          <w:szCs w:val="16"/>
          <w:color w:val="auto"/>
        </w:rPr>
        <w:t>Party A shall pay due interest to Party B on the interest settlement date. The first interest payment date shall be the first interest settlement date after the release of an advance. All the interest and principal amounts outstanding shall be paid in full on the last repayment date.</w:t>
      </w:r>
    </w:p>
    <w:p>
      <w:pPr>
        <w:spacing w:after="0" w:line="124" w:lineRule="exact"/>
        <w:rPr>
          <w:sz w:val="20"/>
          <w:szCs w:val="20"/>
          <w:color w:val="auto"/>
        </w:rPr>
      </w:pPr>
    </w:p>
    <w:p>
      <w:pPr>
        <w:ind w:left="652"/>
        <w:spacing w:after="0"/>
        <w:rPr>
          <w:sz w:val="20"/>
          <w:szCs w:val="20"/>
          <w:color w:val="auto"/>
        </w:rPr>
      </w:pPr>
      <w:r>
        <w:rPr>
          <w:rFonts w:ascii="Arial" w:cs="Arial" w:eastAsia="Arial" w:hAnsi="Arial"/>
          <w:sz w:val="18"/>
          <w:szCs w:val="18"/>
          <w:color w:val="auto"/>
        </w:rPr>
        <w:t>7.3 Schedule for Repayment of the Principal</w:t>
      </w:r>
    </w:p>
    <w:p>
      <w:pPr>
        <w:spacing w:after="0" w:line="221" w:lineRule="exact"/>
        <w:rPr>
          <w:sz w:val="20"/>
          <w:szCs w:val="20"/>
          <w:color w:val="auto"/>
        </w:rPr>
      </w:pPr>
    </w:p>
    <w:p>
      <w:pPr>
        <w:ind w:left="972"/>
        <w:spacing w:after="0"/>
        <w:rPr>
          <w:sz w:val="20"/>
          <w:szCs w:val="20"/>
          <w:color w:val="auto"/>
        </w:rPr>
      </w:pPr>
      <w:r>
        <w:rPr>
          <w:rFonts w:ascii="Arial" w:cs="Arial" w:eastAsia="Arial" w:hAnsi="Arial"/>
          <w:sz w:val="18"/>
          <w:szCs w:val="18"/>
          <w:color w:val="auto"/>
        </w:rPr>
        <w:t xml:space="preserve">The repayment schedule hereunder shall be determined in accordance with item </w:t>
      </w:r>
      <w:r>
        <w:rPr>
          <w:rFonts w:ascii="Arial" w:cs="Arial" w:eastAsia="Arial" w:hAnsi="Arial"/>
          <w:sz w:val="18"/>
          <w:szCs w:val="18"/>
          <w:b w:val="1"/>
          <w:bCs w:val="1"/>
          <w:color w:val="auto"/>
        </w:rPr>
        <w:t>[see Schedule A]</w:t>
      </w:r>
      <w:r>
        <w:rPr>
          <w:rFonts w:ascii="Arial" w:cs="Arial" w:eastAsia="Arial" w:hAnsi="Arial"/>
          <w:sz w:val="18"/>
          <w:szCs w:val="18"/>
          <w:color w:val="auto"/>
        </w:rPr>
        <w:t xml:space="preserve"> below:</w:t>
      </w:r>
    </w:p>
    <w:p>
      <w:pPr>
        <w:spacing w:after="0" w:line="229"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52" w:hanging="980"/>
        <w:spacing w:after="0"/>
        <w:tabs>
          <w:tab w:leader="none" w:pos="195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repayment schedule shall be as follows:</w:t>
      </w:r>
    </w:p>
    <w:p>
      <w:pPr>
        <w:spacing w:after="0" w:line="225" w:lineRule="exact"/>
        <w:rPr>
          <w:sz w:val="20"/>
          <w:szCs w:val="20"/>
          <w:color w:val="auto"/>
        </w:rPr>
      </w:pPr>
    </w:p>
    <w:p>
      <w:pPr>
        <w:ind w:left="2132"/>
        <w:spacing w:after="0"/>
        <w:tabs>
          <w:tab w:leader="none" w:pos="6132" w:val="left"/>
        </w:tabs>
        <w:rPr>
          <w:sz w:val="20"/>
          <w:szCs w:val="20"/>
          <w:color w:val="auto"/>
        </w:rPr>
      </w:pPr>
      <w:r>
        <w:rPr>
          <w:rFonts w:ascii="Arial" w:cs="Arial" w:eastAsia="Arial" w:hAnsi="Arial"/>
          <w:sz w:val="18"/>
          <w:szCs w:val="18"/>
          <w:color w:val="auto"/>
        </w:rPr>
        <w:t>Repayment Date(mm/dd/yyyy)</w:t>
      </w:r>
      <w:r>
        <w:rPr>
          <w:sz w:val="20"/>
          <w:szCs w:val="20"/>
          <w:color w:val="auto"/>
        </w:rPr>
        <w:tab/>
      </w:r>
      <w:r>
        <w:rPr>
          <w:rFonts w:ascii="Arial" w:cs="Arial" w:eastAsia="Arial" w:hAnsi="Arial"/>
          <w:sz w:val="17"/>
          <w:szCs w:val="17"/>
          <w:color w:val="auto"/>
        </w:rPr>
        <w:t>Amount</w:t>
      </w:r>
    </w:p>
    <w:p>
      <w:pPr>
        <w:spacing w:after="0" w:line="23" w:lineRule="exact"/>
        <w:rPr>
          <w:sz w:val="20"/>
          <w:szCs w:val="20"/>
          <w:color w:val="auto"/>
        </w:rPr>
      </w:pPr>
    </w:p>
    <w:p>
      <w:pPr>
        <w:ind w:left="1612"/>
        <w:spacing w:after="0"/>
        <w:rPr>
          <w:sz w:val="20"/>
          <w:szCs w:val="20"/>
          <w:color w:val="auto"/>
        </w:rPr>
      </w:pPr>
      <w:r>
        <w:rPr>
          <w:rFonts w:ascii="Arial" w:cs="Arial" w:eastAsia="Arial" w:hAnsi="Arial"/>
          <w:sz w:val="18"/>
          <w:szCs w:val="18"/>
          <w:color w:val="auto"/>
        </w:rPr>
        <w:t>(i)</w:t>
      </w:r>
    </w:p>
    <w:p>
      <w:pPr>
        <w:spacing w:after="0" w:line="211" w:lineRule="exact"/>
        <w:rPr>
          <w:sz w:val="20"/>
          <w:szCs w:val="20"/>
          <w:color w:val="auto"/>
        </w:rPr>
      </w:pPr>
    </w:p>
    <w:p>
      <w:pPr>
        <w:ind w:left="1612"/>
        <w:spacing w:after="0"/>
        <w:rPr>
          <w:sz w:val="20"/>
          <w:szCs w:val="20"/>
          <w:color w:val="auto"/>
        </w:rPr>
      </w:pPr>
      <w:r>
        <w:rPr>
          <w:rFonts w:ascii="Arial" w:cs="Arial" w:eastAsia="Arial" w:hAnsi="Arial"/>
          <w:sz w:val="18"/>
          <w:szCs w:val="18"/>
          <w:color w:val="auto"/>
        </w:rPr>
        <w:t>(ii)</w:t>
      </w:r>
    </w:p>
    <w:p>
      <w:pPr>
        <w:spacing w:after="0" w:line="225" w:lineRule="exact"/>
        <w:rPr>
          <w:sz w:val="20"/>
          <w:szCs w:val="20"/>
          <w:color w:val="auto"/>
        </w:rPr>
      </w:pPr>
    </w:p>
    <w:p>
      <w:pPr>
        <w:ind w:left="1612"/>
        <w:spacing w:after="0"/>
        <w:rPr>
          <w:sz w:val="20"/>
          <w:szCs w:val="20"/>
          <w:color w:val="auto"/>
        </w:rPr>
      </w:pPr>
      <w:r>
        <w:rPr>
          <w:rFonts w:ascii="Arial" w:cs="Arial" w:eastAsia="Arial" w:hAnsi="Arial"/>
          <w:sz w:val="18"/>
          <w:szCs w:val="18"/>
          <w:color w:val="auto"/>
        </w:rPr>
        <w:t>(iii)</w:t>
      </w:r>
    </w:p>
    <w:p>
      <w:pPr>
        <w:spacing w:after="0" w:line="225" w:lineRule="exact"/>
        <w:rPr>
          <w:sz w:val="20"/>
          <w:szCs w:val="20"/>
          <w:color w:val="auto"/>
        </w:rPr>
      </w:pPr>
    </w:p>
    <w:p>
      <w:pPr>
        <w:ind w:left="1612"/>
        <w:spacing w:after="0"/>
        <w:rPr>
          <w:sz w:val="20"/>
          <w:szCs w:val="20"/>
          <w:color w:val="auto"/>
        </w:rPr>
      </w:pPr>
      <w:r>
        <w:rPr>
          <w:rFonts w:ascii="Arial" w:cs="Arial" w:eastAsia="Arial" w:hAnsi="Arial"/>
          <w:sz w:val="18"/>
          <w:szCs w:val="18"/>
          <w:color w:val="auto"/>
        </w:rPr>
        <w:t>(iv)</w:t>
      </w:r>
    </w:p>
    <w:p>
      <w:pPr>
        <w:spacing w:after="0" w:line="225" w:lineRule="exact"/>
        <w:rPr>
          <w:sz w:val="20"/>
          <w:szCs w:val="20"/>
          <w:color w:val="auto"/>
        </w:rPr>
      </w:pPr>
    </w:p>
    <w:p>
      <w:pPr>
        <w:ind w:left="1612"/>
        <w:spacing w:after="0"/>
        <w:rPr>
          <w:sz w:val="20"/>
          <w:szCs w:val="20"/>
          <w:color w:val="auto"/>
        </w:rPr>
      </w:pPr>
      <w:r>
        <w:rPr>
          <w:rFonts w:ascii="Arial" w:cs="Arial" w:eastAsia="Arial" w:hAnsi="Arial"/>
          <w:sz w:val="18"/>
          <w:szCs w:val="18"/>
          <w:color w:val="auto"/>
        </w:rPr>
        <w:t>(v)</w:t>
      </w:r>
    </w:p>
    <w:p>
      <w:pPr>
        <w:spacing w:after="0" w:line="225" w:lineRule="exact"/>
        <w:rPr>
          <w:sz w:val="20"/>
          <w:szCs w:val="20"/>
          <w:color w:val="auto"/>
        </w:rPr>
      </w:pPr>
    </w:p>
    <w:p>
      <w:pPr>
        <w:ind w:left="1612"/>
        <w:spacing w:after="0"/>
        <w:rPr>
          <w:sz w:val="20"/>
          <w:szCs w:val="20"/>
          <w:color w:val="auto"/>
        </w:rPr>
      </w:pPr>
      <w:r>
        <w:rPr>
          <w:rFonts w:ascii="Arial" w:cs="Arial" w:eastAsia="Arial" w:hAnsi="Arial"/>
          <w:sz w:val="18"/>
          <w:szCs w:val="18"/>
          <w:color w:val="auto"/>
        </w:rPr>
        <w:t>(vi)</w:t>
      </w:r>
    </w:p>
    <w:p>
      <w:pPr>
        <w:spacing w:after="0" w:line="225" w:lineRule="exact"/>
        <w:rPr>
          <w:sz w:val="20"/>
          <w:szCs w:val="20"/>
          <w:color w:val="auto"/>
        </w:rPr>
      </w:pPr>
    </w:p>
    <w:p>
      <w:pPr>
        <w:ind w:left="972"/>
        <w:spacing w:after="0"/>
        <w:rPr>
          <w:sz w:val="20"/>
          <w:szCs w:val="20"/>
          <w:color w:val="auto"/>
        </w:rPr>
      </w:pPr>
      <w:r>
        <w:rPr>
          <w:rFonts w:ascii="Arial" w:cs="Arial" w:eastAsia="Arial" w:hAnsi="Arial"/>
          <w:sz w:val="18"/>
          <w:szCs w:val="18"/>
          <w:color w:val="auto"/>
        </w:rPr>
        <w:t>(2)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52"/>
        <w:spacing w:after="0"/>
        <w:rPr>
          <w:sz w:val="20"/>
          <w:szCs w:val="20"/>
          <w:color w:val="auto"/>
        </w:rPr>
      </w:pPr>
      <w:r>
        <w:rPr>
          <w:rFonts w:ascii="Arial" w:cs="Arial" w:eastAsia="Arial" w:hAnsi="Arial"/>
          <w:sz w:val="18"/>
          <w:szCs w:val="18"/>
          <w:color w:val="auto"/>
        </w:rPr>
        <w:t>7.4 Repayment Method</w:t>
      </w:r>
    </w:p>
    <w:p>
      <w:pPr>
        <w:spacing w:after="0" w:line="225" w:lineRule="exact"/>
        <w:rPr>
          <w:sz w:val="20"/>
          <w:szCs w:val="20"/>
          <w:color w:val="auto"/>
        </w:rPr>
      </w:pPr>
    </w:p>
    <w:p>
      <w:pPr>
        <w:jc w:val="both"/>
        <w:ind w:left="972" w:right="160"/>
        <w:spacing w:after="0" w:line="264" w:lineRule="auto"/>
        <w:rPr>
          <w:sz w:val="20"/>
          <w:szCs w:val="20"/>
          <w:color w:val="auto"/>
        </w:rPr>
      </w:pPr>
      <w:r>
        <w:rPr>
          <w:rFonts w:ascii="Arial" w:cs="Arial" w:eastAsia="Arial" w:hAnsi="Arial"/>
          <w:sz w:val="18"/>
          <w:szCs w:val="18"/>
          <w:color w:val="auto"/>
        </w:rPr>
        <w:t>Party A shall deposit sufficient amount into the Account to collect sale processor other account at Party B before the repayment date provided hereunder and transfer such amount to repay the Loan (Party B may also debit such amount from such account to repay the Loan), or transfer such amount from another bank account of Party A to repay the Loan.</w:t>
      </w:r>
    </w:p>
    <w:p>
      <w:pPr>
        <w:spacing w:after="0" w:line="181" w:lineRule="exact"/>
        <w:rPr>
          <w:sz w:val="20"/>
          <w:szCs w:val="20"/>
          <w:color w:val="auto"/>
        </w:rPr>
      </w:pPr>
    </w:p>
    <w:p>
      <w:pPr>
        <w:ind w:left="652"/>
        <w:spacing w:after="0"/>
        <w:rPr>
          <w:sz w:val="20"/>
          <w:szCs w:val="20"/>
          <w:color w:val="auto"/>
        </w:rPr>
      </w:pPr>
      <w:r>
        <w:rPr>
          <w:rFonts w:ascii="Arial" w:cs="Arial" w:eastAsia="Arial" w:hAnsi="Arial"/>
          <w:sz w:val="18"/>
          <w:szCs w:val="18"/>
          <w:color w:val="auto"/>
        </w:rPr>
        <w:t>7.5 Prepayment</w:t>
      </w:r>
    </w:p>
    <w:p>
      <w:pPr>
        <w:spacing w:after="0" w:line="225" w:lineRule="exact"/>
        <w:rPr>
          <w:sz w:val="20"/>
          <w:szCs w:val="20"/>
          <w:color w:val="auto"/>
        </w:rPr>
      </w:pPr>
    </w:p>
    <w:p>
      <w:pPr>
        <w:ind w:left="972" w:right="240"/>
        <w:spacing w:after="0" w:line="277" w:lineRule="auto"/>
        <w:rPr>
          <w:sz w:val="20"/>
          <w:szCs w:val="20"/>
          <w:color w:val="auto"/>
        </w:rPr>
      </w:pPr>
      <w:r>
        <w:rPr>
          <w:rFonts w:ascii="Arial" w:cs="Arial" w:eastAsia="Arial" w:hAnsi="Arial"/>
          <w:sz w:val="18"/>
          <w:szCs w:val="18"/>
          <w:color w:val="auto"/>
        </w:rPr>
        <w:t>Party A may prepay the principals in full or in part upon approval by Party B of a written application submitted to Party B THIRTY working days in advance.</w:t>
      </w:r>
    </w:p>
    <w:p>
      <w:pPr>
        <w:spacing w:after="0" w:line="170" w:lineRule="exact"/>
        <w:rPr>
          <w:sz w:val="20"/>
          <w:szCs w:val="20"/>
          <w:color w:val="auto"/>
        </w:rPr>
      </w:pPr>
    </w:p>
    <w:p>
      <w:pPr>
        <w:ind w:left="972" w:right="460"/>
        <w:spacing w:after="0" w:line="277" w:lineRule="auto"/>
        <w:rPr>
          <w:sz w:val="20"/>
          <w:szCs w:val="20"/>
          <w:color w:val="auto"/>
        </w:rPr>
      </w:pPr>
      <w:r>
        <w:rPr>
          <w:rFonts w:ascii="Arial" w:cs="Arial" w:eastAsia="Arial" w:hAnsi="Arial"/>
          <w:sz w:val="18"/>
          <w:szCs w:val="18"/>
          <w:color w:val="auto"/>
        </w:rPr>
        <w:t>The interest accrued on the principals to be prepaid shall be calculated on the basis of the actual number of days lapsed and the Loan Rate provided herein.</w:t>
      </w:r>
    </w:p>
    <w:p>
      <w:pPr>
        <w:spacing w:after="0" w:line="170" w:lineRule="exact"/>
        <w:rPr>
          <w:sz w:val="20"/>
          <w:szCs w:val="20"/>
          <w:color w:val="auto"/>
        </w:rPr>
      </w:pPr>
    </w:p>
    <w:p>
      <w:pPr>
        <w:ind w:left="972" w:right="680"/>
        <w:spacing w:after="0" w:line="277" w:lineRule="auto"/>
        <w:rPr>
          <w:sz w:val="20"/>
          <w:szCs w:val="20"/>
          <w:color w:val="auto"/>
        </w:rPr>
      </w:pPr>
      <w:r>
        <w:rPr>
          <w:rFonts w:ascii="Arial" w:cs="Arial" w:eastAsia="Arial" w:hAnsi="Arial"/>
          <w:sz w:val="18"/>
          <w:szCs w:val="18"/>
          <w:color w:val="auto"/>
        </w:rPr>
        <w:t>If Party B approves the prepayment by Party A, Party B shall have the right to charge Party A the compensation fee in an amount to be determined in accordance with the (1) of the following methods:</w:t>
      </w:r>
    </w:p>
    <w:p>
      <w:pPr>
        <w:spacing w:after="0" w:line="166" w:lineRule="exact"/>
        <w:rPr>
          <w:sz w:val="20"/>
          <w:szCs w:val="20"/>
          <w:color w:val="auto"/>
        </w:rPr>
      </w:pPr>
    </w:p>
    <w:p>
      <w:pPr>
        <w:ind w:left="1312" w:right="120" w:hanging="340"/>
        <w:spacing w:after="0" w:line="347" w:lineRule="auto"/>
        <w:tabs>
          <w:tab w:leader="none" w:pos="1320"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compensation fee = amount of the principal prepaid × number of months remaining until the scheduled repayment date(the “</w:t>
      </w:r>
      <w:r>
        <w:rPr>
          <w:rFonts w:ascii="Arial" w:cs="Arial" w:eastAsia="Arial" w:hAnsi="Arial"/>
          <w:sz w:val="16"/>
          <w:szCs w:val="16"/>
          <w:b w:val="1"/>
          <w:bCs w:val="1"/>
          <w:color w:val="auto"/>
        </w:rPr>
        <w:t>Remaining</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 1%; provided, however, that the part of the Remaining Period that falls short of a month shall be calculated as a full month; or</w:t>
      </w:r>
    </w:p>
    <w:p>
      <w:pPr>
        <w:spacing w:after="0" w:line="120" w:lineRule="exact"/>
        <w:rPr>
          <w:sz w:val="20"/>
          <w:szCs w:val="20"/>
          <w:color w:val="auto"/>
        </w:rPr>
      </w:pPr>
    </w:p>
    <w:p>
      <w:pPr>
        <w:ind w:left="972"/>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52"/>
          </w:cols>
          <w:pgMar w:left="248" w:top="341" w:right="299" w:bottom="532" w:gutter="0" w:footer="0" w:header="0"/>
        </w:sectPr>
      </w:pPr>
    </w:p>
    <w:bookmarkStart w:id="48" w:name="page49"/>
    <w:bookmarkEnd w:id="48"/>
    <w:p>
      <w:pPr>
        <w:ind w:left="972" w:right="20"/>
        <w:spacing w:after="0" w:line="342" w:lineRule="auto"/>
        <w:rPr>
          <w:sz w:val="20"/>
          <w:szCs w:val="20"/>
          <w:color w:val="auto"/>
        </w:rPr>
      </w:pPr>
      <w:r>
        <w:rPr>
          <w:rFonts w:ascii="Arial" w:cs="Arial" w:eastAsia="Arial" w:hAnsi="Arial"/>
          <w:sz w:val="16"/>
          <w:szCs w:val="16"/>
          <w:color w:val="auto"/>
        </w:rPr>
        <w:t>If Party A is required to repay the Loan in installments and prepays part of the principal, the prepaid amount shall be applied in the reverse order of the repayment schedule. After any partial prepayment, the outstanding Loan shall still be subject to the Loan Rate provided herein.</w:t>
      </w:r>
    </w:p>
    <w:p>
      <w:pPr>
        <w:spacing w:after="0" w:line="1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972" w:right="7020" w:hanging="972"/>
        <w:spacing w:after="0" w:line="503" w:lineRule="auto"/>
        <w:tabs>
          <w:tab w:leader="none" w:pos="97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PARTY A’S RIGHTS AND OBLIGATIONS </w:t>
      </w:r>
      <w:r>
        <w:rPr>
          <w:rFonts w:ascii="Arial" w:cs="Arial" w:eastAsia="Arial" w:hAnsi="Arial"/>
          <w:sz w:val="18"/>
          <w:szCs w:val="18"/>
          <w:color w:val="auto"/>
        </w:rPr>
        <w:t>8.1 Party A’s Rights</w:t>
      </w:r>
    </w:p>
    <w:p>
      <w:pPr>
        <w:ind w:left="972"/>
        <w:spacing w:after="0"/>
        <w:rPr>
          <w:rFonts w:ascii="Arial" w:cs="Arial" w:eastAsia="Arial" w:hAnsi="Arial"/>
          <w:sz w:val="18"/>
          <w:szCs w:val="18"/>
          <w:b w:val="1"/>
          <w:bCs w:val="1"/>
          <w:color w:val="auto"/>
        </w:rPr>
      </w:pPr>
      <w:r>
        <w:rPr>
          <w:rFonts w:ascii="Arial" w:cs="Arial" w:eastAsia="Arial" w:hAnsi="Arial"/>
          <w:sz w:val="18"/>
          <w:szCs w:val="18"/>
          <w:color w:val="auto"/>
        </w:rPr>
        <w:t>Party A has the rights to:</w:t>
      </w:r>
    </w:p>
    <w:p>
      <w:pPr>
        <w:spacing w:after="0" w:line="225" w:lineRule="exact"/>
        <w:rPr>
          <w:rFonts w:ascii="Arial" w:cs="Arial" w:eastAsia="Arial" w:hAnsi="Arial"/>
          <w:sz w:val="18"/>
          <w:szCs w:val="18"/>
          <w:b w:val="1"/>
          <w:bCs w:val="1"/>
          <w:color w:val="auto"/>
        </w:rPr>
      </w:pPr>
    </w:p>
    <w:p>
      <w:pPr>
        <w:ind w:left="1452" w:hanging="341"/>
        <w:spacing w:after="0"/>
        <w:tabs>
          <w:tab w:leader="none" w:pos="1452" w:val="left"/>
        </w:tabs>
        <w:numPr>
          <w:ilvl w:val="1"/>
          <w:numId w:val="47"/>
        </w:numPr>
        <w:rPr>
          <w:rFonts w:ascii="Arial" w:cs="Arial" w:eastAsia="Arial" w:hAnsi="Arial"/>
          <w:sz w:val="18"/>
          <w:szCs w:val="18"/>
          <w:color w:val="auto"/>
        </w:rPr>
      </w:pPr>
      <w:r>
        <w:rPr>
          <w:rFonts w:ascii="Arial" w:cs="Arial" w:eastAsia="Arial" w:hAnsi="Arial"/>
          <w:sz w:val="18"/>
          <w:szCs w:val="18"/>
          <w:color w:val="auto"/>
        </w:rPr>
        <w:t>request Party B to release each advance of the Loan as provided hereunder;</w:t>
      </w:r>
    </w:p>
    <w:p>
      <w:pPr>
        <w:spacing w:after="0" w:line="225" w:lineRule="exact"/>
        <w:rPr>
          <w:rFonts w:ascii="Arial" w:cs="Arial" w:eastAsia="Arial" w:hAnsi="Arial"/>
          <w:sz w:val="18"/>
          <w:szCs w:val="18"/>
          <w:color w:val="auto"/>
        </w:rPr>
      </w:pPr>
    </w:p>
    <w:p>
      <w:pPr>
        <w:ind w:left="1452" w:hanging="341"/>
        <w:spacing w:after="0"/>
        <w:tabs>
          <w:tab w:leader="none" w:pos="1452" w:val="left"/>
        </w:tabs>
        <w:numPr>
          <w:ilvl w:val="1"/>
          <w:numId w:val="47"/>
        </w:numPr>
        <w:rPr>
          <w:rFonts w:ascii="Arial" w:cs="Arial" w:eastAsia="Arial" w:hAnsi="Arial"/>
          <w:sz w:val="18"/>
          <w:szCs w:val="18"/>
          <w:color w:val="auto"/>
        </w:rPr>
      </w:pPr>
      <w:r>
        <w:rPr>
          <w:rFonts w:ascii="Arial" w:cs="Arial" w:eastAsia="Arial" w:hAnsi="Arial"/>
          <w:sz w:val="18"/>
          <w:szCs w:val="18"/>
          <w:color w:val="auto"/>
        </w:rPr>
        <w:t>utilize the Loan for the purposes provided for hereunder;</w:t>
      </w:r>
    </w:p>
    <w:p>
      <w:pPr>
        <w:spacing w:after="0" w:line="225" w:lineRule="exact"/>
        <w:rPr>
          <w:rFonts w:ascii="Arial" w:cs="Arial" w:eastAsia="Arial" w:hAnsi="Arial"/>
          <w:sz w:val="18"/>
          <w:szCs w:val="18"/>
          <w:color w:val="auto"/>
        </w:rPr>
      </w:pPr>
    </w:p>
    <w:p>
      <w:pPr>
        <w:ind w:left="1452" w:hanging="341"/>
        <w:spacing w:after="0"/>
        <w:tabs>
          <w:tab w:leader="none" w:pos="1452" w:val="left"/>
        </w:tabs>
        <w:numPr>
          <w:ilvl w:val="1"/>
          <w:numId w:val="47"/>
        </w:numPr>
        <w:rPr>
          <w:rFonts w:ascii="Arial" w:cs="Arial" w:eastAsia="Arial" w:hAnsi="Arial"/>
          <w:sz w:val="18"/>
          <w:szCs w:val="18"/>
          <w:color w:val="auto"/>
        </w:rPr>
      </w:pPr>
      <w:r>
        <w:rPr>
          <w:rFonts w:ascii="Arial" w:cs="Arial" w:eastAsia="Arial" w:hAnsi="Arial"/>
          <w:sz w:val="18"/>
          <w:szCs w:val="18"/>
          <w:color w:val="auto"/>
        </w:rPr>
        <w:t>apply to Party B for extension of the Term hereunder provided that it has satisfied all the conditions as Party B requests;</w:t>
      </w:r>
    </w:p>
    <w:p>
      <w:pPr>
        <w:spacing w:after="0" w:line="225" w:lineRule="exact"/>
        <w:rPr>
          <w:rFonts w:ascii="Arial" w:cs="Arial" w:eastAsia="Arial" w:hAnsi="Arial"/>
          <w:sz w:val="18"/>
          <w:szCs w:val="18"/>
          <w:color w:val="auto"/>
        </w:rPr>
      </w:pPr>
    </w:p>
    <w:p>
      <w:pPr>
        <w:ind w:left="1452" w:hanging="341"/>
        <w:spacing w:after="0" w:line="264" w:lineRule="auto"/>
        <w:tabs>
          <w:tab w:leader="none" w:pos="14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require Party B to keep confidential the relevant financial information and manufacturing and operating trade secrets furnished by Party A except provided otherwise by law, regulations and rules, or required otherwise by the competent authorities, or agreed otherwise between the both parties hereto;</w:t>
      </w:r>
    </w:p>
    <w:p>
      <w:pPr>
        <w:spacing w:after="0" w:line="181" w:lineRule="exact"/>
        <w:rPr>
          <w:rFonts w:ascii="Arial" w:cs="Arial" w:eastAsia="Arial" w:hAnsi="Arial"/>
          <w:sz w:val="18"/>
          <w:szCs w:val="18"/>
          <w:color w:val="auto"/>
        </w:rPr>
      </w:pPr>
    </w:p>
    <w:p>
      <w:pPr>
        <w:ind w:left="1452" w:right="60" w:hanging="345"/>
        <w:spacing w:after="0" w:line="342" w:lineRule="auto"/>
        <w:tabs>
          <w:tab w:leader="none" w:pos="1458" w:val="left"/>
        </w:tabs>
        <w:numPr>
          <w:ilvl w:val="1"/>
          <w:numId w:val="47"/>
        </w:numPr>
        <w:rPr>
          <w:rFonts w:ascii="Arial" w:cs="Arial" w:eastAsia="Arial" w:hAnsi="Arial"/>
          <w:sz w:val="16"/>
          <w:szCs w:val="16"/>
          <w:color w:val="auto"/>
        </w:rPr>
      </w:pPr>
      <w:r>
        <w:rPr>
          <w:rFonts w:ascii="Arial" w:cs="Arial" w:eastAsia="Arial" w:hAnsi="Arial"/>
          <w:sz w:val="16"/>
          <w:szCs w:val="16"/>
          <w:color w:val="auto"/>
        </w:rPr>
        <w:t>reject Party B or its employees asking for bribe; it shall have the right to lodge complaint with the competent authority about such misconduct and any other act of Party B that may violate the laws and regulations relating to the lending interest rate and service charges.</w:t>
      </w:r>
    </w:p>
    <w:p>
      <w:pPr>
        <w:spacing w:after="0" w:line="124" w:lineRule="exact"/>
        <w:rPr>
          <w:sz w:val="20"/>
          <w:szCs w:val="20"/>
          <w:color w:val="auto"/>
        </w:rPr>
      </w:pPr>
    </w:p>
    <w:p>
      <w:pPr>
        <w:ind w:left="652"/>
        <w:spacing w:after="0"/>
        <w:rPr>
          <w:sz w:val="20"/>
          <w:szCs w:val="20"/>
          <w:color w:val="auto"/>
        </w:rPr>
      </w:pPr>
      <w:r>
        <w:rPr>
          <w:rFonts w:ascii="Arial" w:cs="Arial" w:eastAsia="Arial" w:hAnsi="Arial"/>
          <w:sz w:val="18"/>
          <w:szCs w:val="18"/>
          <w:color w:val="auto"/>
        </w:rPr>
        <w:t>8.2 Party A’s Obligations</w:t>
      </w:r>
    </w:p>
    <w:p>
      <w:pPr>
        <w:spacing w:after="0" w:line="225" w:lineRule="exact"/>
        <w:rPr>
          <w:sz w:val="20"/>
          <w:szCs w:val="20"/>
          <w:color w:val="auto"/>
        </w:rPr>
      </w:pPr>
    </w:p>
    <w:p>
      <w:pPr>
        <w:ind w:left="1592" w:right="180" w:hanging="481"/>
        <w:spacing w:after="0" w:line="277" w:lineRule="auto"/>
        <w:tabs>
          <w:tab w:leader="none" w:pos="1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Party A shall draw the Loan and repay the principal and interest in full as provided herein, and bear the expenses and fees as provided herein;</w:t>
      </w:r>
    </w:p>
    <w:p>
      <w:pPr>
        <w:spacing w:after="0" w:line="170" w:lineRule="exact"/>
        <w:rPr>
          <w:rFonts w:ascii="Arial" w:cs="Arial" w:eastAsia="Arial" w:hAnsi="Arial"/>
          <w:sz w:val="18"/>
          <w:szCs w:val="18"/>
          <w:color w:val="auto"/>
        </w:rPr>
      </w:pPr>
    </w:p>
    <w:p>
      <w:pPr>
        <w:ind w:left="1592" w:right="120" w:hanging="481"/>
        <w:spacing w:after="0" w:line="293" w:lineRule="auto"/>
        <w:tabs>
          <w:tab w:leader="none" w:pos="16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Party A shall provide its financial, accounting as well as manufacturing and operating information and other materials as the Party B may request, and among other things, on or before the TWENTY working day of the first month of each quarter, Party A shall provide to Party B with the balance sheet and the profit and loss statement (or the income and expenditure statement, if Party A is a public institution) up to the end of the preceding quarter, and shall provide the cash flow statement at the end of each year in a timely fashion. Party A shall be responsible for the legality, truthfulness, accuracy, completeness and validity of the information it provides, and shall not provide false information or conceal material facts with respect to its financial and operation status;</w:t>
      </w:r>
    </w:p>
    <w:p>
      <w:pPr>
        <w:spacing w:after="0" w:line="164" w:lineRule="exact"/>
        <w:rPr>
          <w:rFonts w:ascii="Arial" w:cs="Arial" w:eastAsia="Arial" w:hAnsi="Arial"/>
          <w:sz w:val="16"/>
          <w:szCs w:val="16"/>
          <w:color w:val="auto"/>
        </w:rPr>
      </w:pPr>
    </w:p>
    <w:p>
      <w:pPr>
        <w:ind w:left="1592" w:right="20" w:hanging="481"/>
        <w:spacing w:after="0" w:line="257" w:lineRule="auto"/>
        <w:tabs>
          <w:tab w:leader="none" w:pos="1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case of any change in Party A’s name, legal representative (or principal officer), registered address, business scope, registered capital, articles of association or any other registration with local industrial and commercial authority, or there arises any circumstances that may adversely affect Party A’s capability to repay the indebtedness or may endanger Party B’s rights as a creditor, Party A shall notify Party B in writing of the same with relevant documents together with such notification evidencing the changes within 3 working days thereafter;</w:t>
      </w:r>
    </w:p>
    <w:p>
      <w:pPr>
        <w:spacing w:after="0" w:line="188" w:lineRule="exact"/>
        <w:rPr>
          <w:rFonts w:ascii="Arial" w:cs="Arial" w:eastAsia="Arial" w:hAnsi="Arial"/>
          <w:sz w:val="18"/>
          <w:szCs w:val="18"/>
          <w:color w:val="auto"/>
        </w:rPr>
      </w:pPr>
    </w:p>
    <w:p>
      <w:pPr>
        <w:jc w:val="both"/>
        <w:ind w:left="1592" w:right="160" w:hanging="481"/>
        <w:spacing w:after="0" w:line="312" w:lineRule="auto"/>
        <w:tabs>
          <w:tab w:leader="none" w:pos="16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Party A shall utilize the Loan in accordance with the purposes as provided herein, and shall not misappropriate the Loan or utilize the Loan to carry out any transactions in violation of the laws and regulations, nor for investments in fixed assets, or equity or other areas, nor for production or operations prohibited by the state, nor for repaying the indebtedness incurred as a result of Party A’s investments</w:t>
      </w:r>
    </w:p>
    <w:p>
      <w:pPr>
        <w:spacing w:after="0" w:line="14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592" w:right="40"/>
        <w:spacing w:after="0" w:line="291" w:lineRule="auto"/>
        <w:rPr>
          <w:sz w:val="20"/>
          <w:szCs w:val="20"/>
          <w:color w:val="auto"/>
        </w:rPr>
      </w:pPr>
      <w:r>
        <w:rPr>
          <w:rFonts w:ascii="Arial" w:cs="Arial" w:eastAsia="Arial" w:hAnsi="Arial"/>
          <w:sz w:val="16"/>
          <w:szCs w:val="16"/>
          <w:color w:val="auto"/>
        </w:rPr>
        <w:t>in fixed assets or equity etc.; Party A shall cooperate with Party B in its inspection of Party A’s manufacturing, operating and financial activities and utilization of the Loan herein, and shall be subject to the requirements of Party B relating to loan management; Party A shall not try to evade its repayment obligations owing to Party B by means of withdrawing capital it has injected, transferring assets or entering into related-party transactions. Further, Party A shall not attempt to obtain loans or credit facilities from Party B by using dummy contracts with its related parties or by pledging such rights as notes receivable or accounts receivable without actual underlying transactions or by applying to Party B for discounting the same; Party A shall be in compliance with the provisions relating to means of payment and shall not evade Entrusted Payment by way of dividing a larger-amount payment into payments in smaller amounts;</w:t>
      </w:r>
    </w:p>
    <w:p>
      <w:pPr>
        <w:spacing w:after="0" w:line="167" w:lineRule="exact"/>
        <w:rPr>
          <w:sz w:val="20"/>
          <w:szCs w:val="20"/>
          <w:color w:val="auto"/>
        </w:rPr>
      </w:pPr>
    </w:p>
    <w:p>
      <w:pPr>
        <w:ind w:left="1512" w:right="40" w:hanging="401"/>
        <w:spacing w:after="0" w:line="277" w:lineRule="auto"/>
        <w:tabs>
          <w:tab w:leader="none" w:pos="15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Party A shall comply with the regulations relating to environmental protection, if the Loan hereunder shall be utilized for manufacturing or project construction;</w:t>
      </w:r>
    </w:p>
    <w:p>
      <w:pPr>
        <w:spacing w:after="0" w:line="170" w:lineRule="exact"/>
        <w:rPr>
          <w:rFonts w:ascii="Arial" w:cs="Arial" w:eastAsia="Arial" w:hAnsi="Arial"/>
          <w:sz w:val="18"/>
          <w:szCs w:val="18"/>
          <w:color w:val="auto"/>
        </w:rPr>
      </w:pPr>
    </w:p>
    <w:p>
      <w:pPr>
        <w:ind w:left="1512" w:right="100" w:hanging="401"/>
        <w:spacing w:after="0" w:line="277" w:lineRule="auto"/>
        <w:tabs>
          <w:tab w:leader="none" w:pos="15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Without Party B’s consent, Party A shall not mortgage or pledge any assets acquired by utilizing the Loan hereunder for the benefit of a third party before full repayment of the principals and interest accrued thereon;</w:t>
      </w:r>
    </w:p>
    <w:p>
      <w:pPr>
        <w:spacing w:after="0" w:line="170" w:lineRule="exact"/>
        <w:rPr>
          <w:rFonts w:ascii="Arial" w:cs="Arial" w:eastAsia="Arial" w:hAnsi="Arial"/>
          <w:sz w:val="18"/>
          <w:szCs w:val="18"/>
          <w:color w:val="auto"/>
        </w:rPr>
      </w:pPr>
    </w:p>
    <w:p>
      <w:pPr>
        <w:ind w:left="1512" w:right="220" w:hanging="401"/>
        <w:spacing w:after="0" w:line="259" w:lineRule="auto"/>
        <w:tabs>
          <w:tab w:leader="none" w:pos="1544"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Party A qualifies as a group customer, it shall promptly report to Party B any related-party transactions involving more than 10% of Party A’s net assets, including (i) the relationship among all the parties to such transaction; (ii) the transaction and its nature; (iii) the transaction amount or the relevant ratio; and (iv) pricing policy (also applicable to the transactions with no price or merely nominal price);</w:t>
      </w:r>
    </w:p>
    <w:p>
      <w:pPr>
        <w:sectPr>
          <w:pgSz w:w="11900" w:h="16838" w:orient="portrait"/>
          <w:cols w:equalWidth="0" w:num="1">
            <w:col w:w="11412"/>
          </w:cols>
          <w:pgMar w:left="248" w:top="125" w:right="239" w:bottom="129" w:gutter="0" w:footer="0" w:header="0"/>
        </w:sectPr>
      </w:pPr>
    </w:p>
    <w:bookmarkStart w:id="49" w:name="page50"/>
    <w:bookmarkEnd w:id="49"/>
    <w:p>
      <w:pPr>
        <w:spacing w:after="0" w:line="36" w:lineRule="exact"/>
        <w:rPr>
          <w:sz w:val="20"/>
          <w:szCs w:val="20"/>
          <w:color w:val="auto"/>
        </w:rPr>
      </w:pPr>
    </w:p>
    <w:p>
      <w:pPr>
        <w:ind w:left="1512" w:right="240" w:hanging="401"/>
        <w:spacing w:after="0" w:line="259" w:lineRule="auto"/>
        <w:tabs>
          <w:tab w:leader="none" w:pos="1544" w:val="left"/>
        </w:tabs>
        <w:numPr>
          <w:ilvl w:val="1"/>
          <w:numId w:val="50"/>
        </w:numPr>
        <w:rPr>
          <w:rFonts w:ascii="Arial" w:cs="Arial" w:eastAsia="Arial" w:hAnsi="Arial"/>
          <w:sz w:val="18"/>
          <w:szCs w:val="18"/>
          <w:color w:val="auto"/>
        </w:rPr>
      </w:pPr>
      <w:r>
        <w:rPr>
          <w:rFonts w:ascii="Arial" w:cs="Arial" w:eastAsia="Arial" w:hAnsi="Arial"/>
          <w:sz w:val="18"/>
          <w:szCs w:val="18"/>
          <w:color w:val="auto"/>
        </w:rPr>
        <w:t>Party A shall not carry out merger, split-up, transfer of shares, outward investment, substantial increase of debt financing or other activities of importance without Party B’s prior written consent. For the avoidance of doubt, such consent shall not impair Party B’s rights to take remedial measures if Party B determines at a later time that such activities of Party A may endanger Party B’s rights as a creditor;</w:t>
      </w:r>
    </w:p>
    <w:p>
      <w:pPr>
        <w:spacing w:after="0" w:line="186" w:lineRule="exact"/>
        <w:rPr>
          <w:rFonts w:ascii="Arial" w:cs="Arial" w:eastAsia="Arial" w:hAnsi="Arial"/>
          <w:sz w:val="18"/>
          <w:szCs w:val="18"/>
          <w:color w:val="auto"/>
        </w:rPr>
      </w:pPr>
    </w:p>
    <w:p>
      <w:pPr>
        <w:jc w:val="both"/>
        <w:ind w:left="1512" w:right="60" w:hanging="401"/>
        <w:spacing w:after="0" w:line="259" w:lineRule="auto"/>
        <w:tabs>
          <w:tab w:leader="none" w:pos="1542" w:val="left"/>
        </w:tabs>
        <w:numPr>
          <w:ilvl w:val="1"/>
          <w:numId w:val="50"/>
        </w:numPr>
        <w:rPr>
          <w:rFonts w:ascii="Arial" w:cs="Arial" w:eastAsia="Arial" w:hAnsi="Arial"/>
          <w:sz w:val="18"/>
          <w:szCs w:val="18"/>
          <w:color w:val="auto"/>
        </w:rPr>
      </w:pPr>
      <w:r>
        <w:rPr>
          <w:rFonts w:ascii="Arial" w:cs="Arial" w:eastAsia="Arial" w:hAnsi="Arial"/>
          <w:sz w:val="18"/>
          <w:szCs w:val="18"/>
          <w:color w:val="auto"/>
        </w:rPr>
        <w:t>In the case of payment at Party A’s own initiative, Party A shall submit reports to Party B on the use and payment of loan amounts on a monthly basis. Party A shall submit such report for the immediately preceding month within the first TEN working days of each month, together with a list of actual uses of loan amounts, until the date of repayment of all the loan. Such report shall be in the form attached in Schedule 4.</w:t>
      </w:r>
    </w:p>
    <w:p>
      <w:pPr>
        <w:spacing w:after="0" w:line="182" w:lineRule="exact"/>
        <w:rPr>
          <w:rFonts w:ascii="Arial" w:cs="Arial" w:eastAsia="Arial" w:hAnsi="Arial"/>
          <w:sz w:val="18"/>
          <w:szCs w:val="18"/>
          <w:color w:val="auto"/>
        </w:rPr>
      </w:pPr>
    </w:p>
    <w:p>
      <w:pPr>
        <w:ind w:left="652" w:hanging="652"/>
        <w:spacing w:after="0"/>
        <w:tabs>
          <w:tab w:leader="none" w:pos="65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PARTY B’S RIGHTS AND OBLIGATIONS</w:t>
      </w:r>
    </w:p>
    <w:p>
      <w:pPr>
        <w:spacing w:after="0" w:line="229" w:lineRule="exact"/>
        <w:rPr>
          <w:rFonts w:ascii="Arial" w:cs="Arial" w:eastAsia="Arial" w:hAnsi="Arial"/>
          <w:sz w:val="18"/>
          <w:szCs w:val="18"/>
          <w:b w:val="1"/>
          <w:bCs w:val="1"/>
          <w:color w:val="auto"/>
        </w:rPr>
      </w:pPr>
    </w:p>
    <w:p>
      <w:pPr>
        <w:ind w:left="1212" w:right="60" w:hanging="571"/>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9.1Party B is entitled to request Party A to repay the principal, interest accrued thereon and expenses when due, to manage and control the payment of loan amounts, to monitor on a real-time basis overall cash flows of Party A and to accelerate the maturity of the loan considering the status of collection of sale proceeds of Party A. Party B may exercise any other rights hereunder and demand Party A to perform any other obligations hereunder.</w:t>
      </w:r>
    </w:p>
    <w:p>
      <w:pPr>
        <w:spacing w:after="0" w:line="186" w:lineRule="exact"/>
        <w:rPr>
          <w:rFonts w:ascii="Arial" w:cs="Arial" w:eastAsia="Arial" w:hAnsi="Arial"/>
          <w:sz w:val="18"/>
          <w:szCs w:val="18"/>
          <w:b w:val="1"/>
          <w:bCs w:val="1"/>
          <w:color w:val="auto"/>
        </w:rPr>
      </w:pPr>
    </w:p>
    <w:p>
      <w:pPr>
        <w:ind w:left="1212" w:right="200" w:hanging="571"/>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9.2Party B is entitled to engage in Party A’s large-amount financing (The total amount of such financing shall be more than RMB SEVENTY-FOUR MILLION or Foreign Exchange equivalent) , sale of assets, merger, split-up,</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32" w:right="580"/>
        <w:spacing w:after="0" w:line="277" w:lineRule="auto"/>
        <w:rPr>
          <w:sz w:val="20"/>
          <w:szCs w:val="20"/>
          <w:color w:val="auto"/>
        </w:rPr>
      </w:pPr>
      <w:r>
        <w:rPr>
          <w:rFonts w:ascii="Arial" w:cs="Arial" w:eastAsia="Arial" w:hAnsi="Arial"/>
          <w:sz w:val="18"/>
          <w:szCs w:val="18"/>
          <w:color w:val="auto"/>
        </w:rPr>
        <w:t>stock-company restructuring, bankruptcy, liquidation and other activities for the purpose of protecting Party B’s rights. The way(s) of engagement shall be (1) (multiple choices are allowed)</w:t>
      </w:r>
    </w:p>
    <w:p>
      <w:pPr>
        <w:spacing w:after="0" w:line="170" w:lineRule="exact"/>
        <w:rPr>
          <w:sz w:val="20"/>
          <w:szCs w:val="20"/>
          <w:color w:val="auto"/>
        </w:rPr>
      </w:pPr>
    </w:p>
    <w:p>
      <w:pPr>
        <w:ind w:left="1492" w:hanging="260"/>
        <w:spacing w:after="0"/>
        <w:tabs>
          <w:tab w:leader="none" w:pos="1492"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Party A shall seek Party B’s prior written consent before carrying out any of the above activities;</w:t>
      </w:r>
    </w:p>
    <w:p>
      <w:pPr>
        <w:spacing w:after="0" w:line="225" w:lineRule="exact"/>
        <w:rPr>
          <w:rFonts w:ascii="Arial" w:cs="Arial" w:eastAsia="Arial" w:hAnsi="Arial"/>
          <w:sz w:val="18"/>
          <w:szCs w:val="18"/>
          <w:color w:val="auto"/>
        </w:rPr>
      </w:pPr>
    </w:p>
    <w:p>
      <w:pPr>
        <w:ind w:left="1492" w:hanging="260"/>
        <w:spacing w:after="0"/>
        <w:tabs>
          <w:tab w:leader="none" w:pos="1492"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Party B is entitled to arrange for Party A’s large-amount financings;</w:t>
      </w:r>
    </w:p>
    <w:p>
      <w:pPr>
        <w:spacing w:after="0" w:line="225" w:lineRule="exact"/>
        <w:rPr>
          <w:rFonts w:ascii="Arial" w:cs="Arial" w:eastAsia="Arial" w:hAnsi="Arial"/>
          <w:sz w:val="18"/>
          <w:szCs w:val="18"/>
          <w:color w:val="auto"/>
        </w:rPr>
      </w:pPr>
    </w:p>
    <w:p>
      <w:pPr>
        <w:ind w:left="1492" w:hanging="260"/>
        <w:spacing w:after="0"/>
        <w:tabs>
          <w:tab w:leader="none" w:pos="149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sale price and buyer of the assets shall be in compliance with the following: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32"/>
        <w:spacing w:after="0"/>
        <w:rPr>
          <w:sz w:val="20"/>
          <w:szCs w:val="20"/>
          <w:color w:val="auto"/>
        </w:rPr>
      </w:pPr>
      <w:r>
        <w:rPr>
          <w:rFonts w:ascii="Arial" w:cs="Arial" w:eastAsia="Arial" w:hAnsi="Arial"/>
          <w:sz w:val="18"/>
          <w:szCs w:val="18"/>
          <w:color w:val="auto"/>
        </w:rPr>
        <w:t>(4)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32"/>
        <w:spacing w:after="0"/>
        <w:rPr>
          <w:sz w:val="20"/>
          <w:szCs w:val="20"/>
          <w:color w:val="auto"/>
        </w:rPr>
      </w:pPr>
      <w:r>
        <w:rPr>
          <w:rFonts w:ascii="Arial" w:cs="Arial" w:eastAsia="Arial" w:hAnsi="Arial"/>
          <w:sz w:val="18"/>
          <w:szCs w:val="18"/>
          <w:color w:val="auto"/>
        </w:rPr>
        <w:t>(5) other ways Party B deems fit.</w:t>
      </w:r>
    </w:p>
    <w:p>
      <w:pPr>
        <w:spacing w:after="0" w:line="225" w:lineRule="exact"/>
        <w:rPr>
          <w:sz w:val="20"/>
          <w:szCs w:val="20"/>
          <w:color w:val="auto"/>
        </w:rPr>
      </w:pPr>
    </w:p>
    <w:p>
      <w:pPr>
        <w:ind w:left="1212" w:right="240" w:hanging="566"/>
        <w:spacing w:after="0" w:line="277" w:lineRule="auto"/>
        <w:tabs>
          <w:tab w:leader="none" w:pos="1192"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Party B shall advance the Loan as provided herein unless the delay or failure in advancing the Loan is caused by any reason attributable to Party A or any other reason that can not be attributed to Party B.</w:t>
      </w:r>
    </w:p>
    <w:p>
      <w:pPr>
        <w:spacing w:after="0" w:line="170" w:lineRule="exact"/>
        <w:rPr>
          <w:sz w:val="20"/>
          <w:szCs w:val="20"/>
          <w:color w:val="auto"/>
        </w:rPr>
      </w:pPr>
    </w:p>
    <w:p>
      <w:pPr>
        <w:ind w:left="1212" w:right="160" w:hanging="566"/>
        <w:spacing w:after="0" w:line="342" w:lineRule="auto"/>
        <w:tabs>
          <w:tab w:leader="none" w:pos="1192"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Party B shall keep confidential the relevant financial documents and manufacturing and operating trade secrets furnished by Party A except otherwise provided by the laws, regulations and rules, or required by the competent authorities, or agreed between the parties hereto.</w:t>
      </w:r>
    </w:p>
    <w:p>
      <w:pPr>
        <w:spacing w:after="0" w:line="124" w:lineRule="exact"/>
        <w:rPr>
          <w:sz w:val="20"/>
          <w:szCs w:val="20"/>
          <w:color w:val="auto"/>
        </w:rPr>
      </w:pPr>
    </w:p>
    <w:p>
      <w:pPr>
        <w:ind w:left="652"/>
        <w:spacing w:after="0"/>
        <w:tabs>
          <w:tab w:leader="none" w:pos="1112"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Party B shall not bribe Party A or its employees, nor request any bribe or accept any bribe offered by Party A.</w:t>
      </w:r>
    </w:p>
    <w:p>
      <w:pPr>
        <w:spacing w:after="0" w:line="225" w:lineRule="exact"/>
        <w:rPr>
          <w:sz w:val="20"/>
          <w:szCs w:val="20"/>
          <w:color w:val="auto"/>
        </w:rPr>
      </w:pPr>
    </w:p>
    <w:p>
      <w:pPr>
        <w:ind w:left="652"/>
        <w:spacing w:after="0"/>
        <w:tabs>
          <w:tab w:leader="none" w:pos="1112"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color w:val="auto"/>
        </w:rPr>
        <w:t>Party B shall not engage in any activity which is dishonest or will be detrimental to Party A’s lawful interests.</w:t>
      </w:r>
    </w:p>
    <w:p>
      <w:pPr>
        <w:spacing w:after="0" w:line="221" w:lineRule="exact"/>
        <w:rPr>
          <w:sz w:val="20"/>
          <w:szCs w:val="20"/>
          <w:color w:val="auto"/>
        </w:rPr>
      </w:pPr>
    </w:p>
    <w:p>
      <w:pPr>
        <w:ind w:left="652" w:hanging="652"/>
        <w:spacing w:after="0"/>
        <w:tabs>
          <w:tab w:leader="none" w:pos="65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DEFAULT AND REMEDY</w:t>
      </w:r>
    </w:p>
    <w:p>
      <w:pPr>
        <w:spacing w:after="0" w:line="229" w:lineRule="exact"/>
        <w:rPr>
          <w:sz w:val="20"/>
          <w:szCs w:val="20"/>
          <w:color w:val="auto"/>
        </w:rPr>
      </w:pPr>
    </w:p>
    <w:p>
      <w:pPr>
        <w:ind w:left="752"/>
        <w:spacing w:after="0"/>
        <w:rPr>
          <w:sz w:val="20"/>
          <w:szCs w:val="20"/>
          <w:color w:val="auto"/>
        </w:rPr>
      </w:pPr>
      <w:r>
        <w:rPr>
          <w:rFonts w:ascii="Arial" w:cs="Arial" w:eastAsia="Arial" w:hAnsi="Arial"/>
          <w:sz w:val="18"/>
          <w:szCs w:val="18"/>
          <w:color w:val="auto"/>
        </w:rPr>
        <w:t>10.1 Events of Default by Party B and Liabilities</w:t>
      </w:r>
    </w:p>
    <w:p>
      <w:pPr>
        <w:spacing w:after="0" w:line="225" w:lineRule="exact"/>
        <w:rPr>
          <w:sz w:val="20"/>
          <w:szCs w:val="20"/>
          <w:color w:val="auto"/>
        </w:rPr>
      </w:pPr>
    </w:p>
    <w:p>
      <w:pPr>
        <w:ind w:left="1732" w:right="100" w:hanging="347"/>
        <w:spacing w:after="0" w:line="277" w:lineRule="auto"/>
        <w:tabs>
          <w:tab w:leader="none" w:pos="17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Party B does not advance the Loan as provided herein without justifiable reason, Party A may request Party B to advance the Loan in accordance with the Contract.</w:t>
      </w:r>
    </w:p>
    <w:p>
      <w:pPr>
        <w:spacing w:after="0" w:line="170" w:lineRule="exact"/>
        <w:rPr>
          <w:rFonts w:ascii="Arial" w:cs="Arial" w:eastAsia="Arial" w:hAnsi="Arial"/>
          <w:sz w:val="18"/>
          <w:szCs w:val="18"/>
          <w:color w:val="auto"/>
        </w:rPr>
      </w:pPr>
    </w:p>
    <w:p>
      <w:pPr>
        <w:ind w:left="1732" w:hanging="347"/>
        <w:spacing w:after="0" w:line="277" w:lineRule="auto"/>
        <w:tabs>
          <w:tab w:leader="none" w:pos="1737"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Party B charges any interest or fee which is prohibited by the laws or regulations, Party A may request Party B to refund the interest or fee charged.</w:t>
      </w:r>
    </w:p>
    <w:p>
      <w:pPr>
        <w:spacing w:after="0" w:line="170" w:lineRule="exact"/>
        <w:rPr>
          <w:sz w:val="20"/>
          <w:szCs w:val="20"/>
          <w:color w:val="auto"/>
        </w:rPr>
      </w:pPr>
    </w:p>
    <w:p>
      <w:pPr>
        <w:ind w:left="752"/>
        <w:spacing w:after="0"/>
        <w:rPr>
          <w:sz w:val="20"/>
          <w:szCs w:val="20"/>
          <w:color w:val="auto"/>
        </w:rPr>
      </w:pPr>
      <w:r>
        <w:rPr>
          <w:rFonts w:ascii="Arial" w:cs="Arial" w:eastAsia="Arial" w:hAnsi="Arial"/>
          <w:sz w:val="18"/>
          <w:szCs w:val="18"/>
          <w:color w:val="auto"/>
        </w:rPr>
        <w:t>10.2 Events of Default by Party A</w:t>
      </w:r>
    </w:p>
    <w:p>
      <w:pPr>
        <w:spacing w:after="0" w:line="225" w:lineRule="exact"/>
        <w:rPr>
          <w:sz w:val="20"/>
          <w:szCs w:val="20"/>
          <w:color w:val="auto"/>
        </w:rPr>
      </w:pPr>
    </w:p>
    <w:p>
      <w:pPr>
        <w:ind w:left="1012"/>
        <w:spacing w:after="0"/>
        <w:rPr>
          <w:sz w:val="20"/>
          <w:szCs w:val="20"/>
          <w:color w:val="auto"/>
        </w:rPr>
      </w:pPr>
      <w:r>
        <w:rPr>
          <w:rFonts w:ascii="Arial" w:cs="Arial" w:eastAsia="Arial" w:hAnsi="Arial"/>
          <w:sz w:val="18"/>
          <w:szCs w:val="18"/>
          <w:color w:val="auto"/>
        </w:rPr>
        <w:t>The events of default by Party A shall include:</w:t>
      </w:r>
    </w:p>
    <w:p>
      <w:pPr>
        <w:spacing w:after="0" w:line="225" w:lineRule="exact"/>
        <w:rPr>
          <w:sz w:val="20"/>
          <w:szCs w:val="20"/>
          <w:color w:val="auto"/>
        </w:rPr>
      </w:pPr>
    </w:p>
    <w:p>
      <w:pPr>
        <w:ind w:left="5612" w:right="3540" w:hanging="4223"/>
        <w:spacing w:after="0" w:line="528" w:lineRule="auto"/>
        <w:tabs>
          <w:tab w:leader="none" w:pos="1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Party A breaches any statutory obligation or any contractual obligation hereunder; and 15</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1652" w:hanging="263"/>
        <w:spacing w:after="0"/>
        <w:tabs>
          <w:tab w:leader="none" w:pos="1652"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Party A has repudiated its obligations hereunder expressly or by its conduct.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-509905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left="752"/>
        <w:spacing w:after="0"/>
        <w:rPr>
          <w:sz w:val="20"/>
          <w:szCs w:val="20"/>
          <w:color w:val="auto"/>
        </w:rPr>
      </w:pPr>
      <w:r>
        <w:rPr>
          <w:rFonts w:ascii="Arial" w:cs="Arial" w:eastAsia="Arial" w:hAnsi="Arial"/>
          <w:sz w:val="18"/>
          <w:szCs w:val="18"/>
          <w:color w:val="auto"/>
        </w:rPr>
        <w:t>10.3 Events that may Adversely Impact Creditor’s Rights</w:t>
      </w:r>
    </w:p>
    <w:p>
      <w:pPr>
        <w:spacing w:after="0" w:line="225" w:lineRule="exact"/>
        <w:rPr>
          <w:sz w:val="20"/>
          <w:szCs w:val="20"/>
          <w:color w:val="auto"/>
        </w:rPr>
      </w:pPr>
    </w:p>
    <w:p>
      <w:pPr>
        <w:ind w:left="1152"/>
        <w:spacing w:after="0"/>
        <w:rPr>
          <w:sz w:val="20"/>
          <w:szCs w:val="20"/>
          <w:color w:val="auto"/>
        </w:rPr>
      </w:pPr>
      <w:r>
        <w:rPr>
          <w:rFonts w:ascii="Arial" w:cs="Arial" w:eastAsia="Arial" w:hAnsi="Arial"/>
          <w:sz w:val="18"/>
          <w:szCs w:val="18"/>
          <w:color w:val="auto"/>
        </w:rPr>
        <w:t>(1) the occurrence of any of the following events upon Party A which Party B believes may adversely impact its creditor’s rights:</w:t>
      </w:r>
    </w:p>
    <w:p>
      <w:pPr>
        <w:sectPr>
          <w:pgSz w:w="11900" w:h="16874" w:orient="portrait"/>
          <w:cols w:equalWidth="0" w:num="1">
            <w:col w:w="11412"/>
          </w:cols>
          <w:pgMar w:left="248" w:top="125" w:right="239" w:bottom="0" w:gutter="0" w:footer="0" w:header="0"/>
        </w:sectPr>
      </w:pPr>
    </w:p>
    <w:bookmarkStart w:id="50" w:name="page51"/>
    <w:bookmarkEnd w:id="50"/>
    <w:p>
      <w:pPr>
        <w:spacing w:after="0" w:line="36" w:lineRule="exact"/>
        <w:rPr>
          <w:sz w:val="20"/>
          <w:szCs w:val="20"/>
          <w:color w:val="auto"/>
        </w:rPr>
      </w:pPr>
    </w:p>
    <w:p>
      <w:pPr>
        <w:ind w:left="640" w:right="60" w:firstLine="2"/>
        <w:spacing w:after="0" w:line="272" w:lineRule="auto"/>
        <w:rPr>
          <w:sz w:val="20"/>
          <w:szCs w:val="20"/>
          <w:color w:val="auto"/>
        </w:rPr>
      </w:pPr>
      <w:r>
        <w:rPr>
          <w:rFonts w:ascii="Arial" w:cs="Arial" w:eastAsia="Arial" w:hAnsi="Arial"/>
          <w:sz w:val="17"/>
          <w:szCs w:val="17"/>
          <w:color w:val="auto"/>
        </w:rPr>
        <w:t>contracting, trustee (receiver) being appointed, lease, shareholding restructuring, decrease of its registered capital, investment, joint operation, mergers and acquisitions, acquisition and restructuring, division, joint venture, shares transfer, substantial increase of debt financing, applying for (or subject to an application for) temporary cessation of operation or dissolution, revocation, applying for (or subject to an application for) bankruptcy, change of controlling shareholders/actual controllers, transfer of material assets, suspension of production or operation, significant penalty imposed by regulatory authorities, cancellation of registration, revocation of business license, involvement in material legal proceedings, severe deterioration in operation and financial condition, deterioration of credit standing, legal representative/principal officer being unable to perform their duties;</w:t>
      </w:r>
    </w:p>
    <w:p>
      <w:pPr>
        <w:spacing w:after="0" w:line="178" w:lineRule="exact"/>
        <w:rPr>
          <w:sz w:val="20"/>
          <w:szCs w:val="20"/>
          <w:color w:val="auto"/>
        </w:rPr>
      </w:pPr>
    </w:p>
    <w:p>
      <w:pPr>
        <w:ind w:left="660" w:hanging="287"/>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occurrence of any of the following events which Party B believes may adversely impact its creditor’s rights:</w:t>
      </w:r>
    </w:p>
    <w:p>
      <w:pPr>
        <w:spacing w:after="0" w:line="225" w:lineRule="exact"/>
        <w:rPr>
          <w:rFonts w:ascii="Arial" w:cs="Arial" w:eastAsia="Arial" w:hAnsi="Arial"/>
          <w:sz w:val="18"/>
          <w:szCs w:val="18"/>
          <w:color w:val="auto"/>
        </w:rPr>
      </w:pPr>
    </w:p>
    <w:p>
      <w:pPr>
        <w:ind w:left="640" w:right="20" w:firstLine="2"/>
        <w:spacing w:after="0" w:line="293" w:lineRule="auto"/>
        <w:rPr>
          <w:rFonts w:ascii="Arial" w:cs="Arial" w:eastAsia="Arial" w:hAnsi="Arial"/>
          <w:sz w:val="18"/>
          <w:szCs w:val="18"/>
          <w:color w:val="auto"/>
        </w:rPr>
      </w:pPr>
      <w:r>
        <w:rPr>
          <w:rFonts w:ascii="Arial" w:cs="Arial" w:eastAsia="Arial" w:hAnsi="Arial"/>
          <w:sz w:val="16"/>
          <w:szCs w:val="16"/>
          <w:color w:val="auto"/>
        </w:rPr>
        <w:t>Party A fails to repay any other due debts, including such debts owed to any other branch or organization of China Construction Bank or to any other third party; Party A transfers assets at a low price or for free; Party A relieves or waives any debt of a third party; Party A fails to exercise its creditor’s rights or any other rights; or Party A provides security for a third party; financial indicators of Party A fail to meet, on a continuous basis, the requirements specified in Schedule2; there are unusual fluctuations in any of Party A’s accounts (including without limitation account to collect sale proceeds and other account subject to Party B’s supervision) ; there are grave cross-defaults by Party A; profit-making capability of Party A’s core business is undesirable; there is irregularity in the use of loan;</w:t>
      </w:r>
    </w:p>
    <w:p>
      <w:pPr>
        <w:spacing w:after="0" w:line="164" w:lineRule="exact"/>
        <w:rPr>
          <w:rFonts w:ascii="Arial" w:cs="Arial" w:eastAsia="Arial" w:hAnsi="Arial"/>
          <w:sz w:val="18"/>
          <w:szCs w:val="18"/>
          <w:color w:val="auto"/>
        </w:rPr>
      </w:pPr>
    </w:p>
    <w:p>
      <w:pPr>
        <w:ind w:left="640" w:right="100" w:hanging="267"/>
        <w:spacing w:after="0" w:line="277" w:lineRule="auto"/>
        <w:tabs>
          <w:tab w:leader="none" w:pos="6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Party A’s shareholder manipulates the independence status of Party A as a legal person or the limited liability status of the shareholder in order to evade debts, and Party B believes this manipulation may adversely impact its creditor’s rights;</w:t>
      </w:r>
    </w:p>
    <w:p>
      <w:pPr>
        <w:spacing w:after="0" w:line="170" w:lineRule="exact"/>
        <w:rPr>
          <w:rFonts w:ascii="Arial" w:cs="Arial" w:eastAsia="Arial" w:hAnsi="Arial"/>
          <w:sz w:val="18"/>
          <w:szCs w:val="18"/>
          <w:color w:val="auto"/>
        </w:rPr>
      </w:pPr>
    </w:p>
    <w:p>
      <w:pPr>
        <w:ind w:left="660" w:hanging="287"/>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of the conditions precedent to advance the Loan has not been satisfied continuously;</w:t>
      </w:r>
    </w:p>
    <w:p>
      <w:pPr>
        <w:spacing w:after="0" w:line="225" w:lineRule="exact"/>
        <w:rPr>
          <w:rFonts w:ascii="Arial" w:cs="Arial" w:eastAsia="Arial" w:hAnsi="Arial"/>
          <w:sz w:val="18"/>
          <w:szCs w:val="18"/>
          <w:color w:val="auto"/>
        </w:rPr>
      </w:pPr>
    </w:p>
    <w:p>
      <w:pPr>
        <w:ind w:left="660" w:hanging="287"/>
        <w:spacing w:after="0"/>
        <w:tabs>
          <w:tab w:leader="none" w:pos="6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occurrence of any of the following events upon the guarantor which Party B believes may adversely impact its creditor’s rights:</w:t>
      </w:r>
    </w:p>
    <w:p>
      <w:pPr>
        <w:spacing w:after="0" w:line="236" w:lineRule="exact"/>
        <w:rPr>
          <w:rFonts w:ascii="Arial" w:cs="Arial" w:eastAsia="Arial" w:hAnsi="Arial"/>
          <w:sz w:val="17"/>
          <w:szCs w:val="17"/>
          <w:color w:val="auto"/>
        </w:rPr>
      </w:pPr>
    </w:p>
    <w:p>
      <w:pPr>
        <w:ind w:left="900" w:right="160" w:hanging="267"/>
        <w:spacing w:after="0" w:line="277" w:lineRule="auto"/>
        <w:tabs>
          <w:tab w:leader="none" w:pos="921"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guarantor breaches any provision of the guarantee contract, or any of the representations and warranties it has made proves to be false, wrong or incomplete;</w:t>
      </w:r>
    </w:p>
    <w:p>
      <w:pPr>
        <w:spacing w:after="0" w:line="170" w:lineRule="exact"/>
        <w:rPr>
          <w:rFonts w:ascii="Arial" w:cs="Arial" w:eastAsia="Arial" w:hAnsi="Arial"/>
          <w:sz w:val="18"/>
          <w:szCs w:val="18"/>
          <w:color w:val="auto"/>
        </w:rPr>
      </w:pPr>
    </w:p>
    <w:p>
      <w:pPr>
        <w:ind w:left="900" w:right="140" w:hanging="267"/>
        <w:spacing w:after="0" w:line="342" w:lineRule="auto"/>
        <w:tabs>
          <w:tab w:leader="none" w:pos="931" w:val="left"/>
        </w:tabs>
        <w:numPr>
          <w:ilvl w:val="1"/>
          <w:numId w:val="56"/>
        </w:numPr>
        <w:rPr>
          <w:rFonts w:ascii="Arial" w:cs="Arial" w:eastAsia="Arial" w:hAnsi="Arial"/>
          <w:sz w:val="16"/>
          <w:szCs w:val="16"/>
          <w:color w:val="auto"/>
        </w:rPr>
      </w:pPr>
      <w:r>
        <w:rPr>
          <w:rFonts w:ascii="Arial" w:cs="Arial" w:eastAsia="Arial" w:hAnsi="Arial"/>
          <w:sz w:val="16"/>
          <w:szCs w:val="16"/>
          <w:color w:val="auto"/>
        </w:rPr>
        <w:t>contracting, trustee (receiver) being appointed, lease, shareholding restructuring, decrease of its registered capital, investment, joint operation, mergers and acquisitions, acquisition and restructuring, division, joint venture, shares transfer, substantial increase of debt</w:t>
      </w:r>
    </w:p>
    <w:p>
      <w:pPr>
        <w:spacing w:after="0" w:line="124"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220" w:firstLine="2"/>
        <w:spacing w:after="0" w:line="255" w:lineRule="auto"/>
        <w:rPr>
          <w:sz w:val="20"/>
          <w:szCs w:val="20"/>
          <w:color w:val="auto"/>
        </w:rPr>
      </w:pPr>
      <w:r>
        <w:rPr>
          <w:rFonts w:ascii="Arial" w:cs="Arial" w:eastAsia="Arial" w:hAnsi="Arial"/>
          <w:sz w:val="18"/>
          <w:szCs w:val="18"/>
          <w:color w:val="auto"/>
        </w:rPr>
        <w:t>financing, applying for (or subject to an application for) temporary cessation of operation or dissolution, revocation, applying for (or subject to an application for) bankruptcy, change of controlling shareholders/actual controllers, transfer of material assets, transfer of assets at a low price or for free, relieving or waiving any debt of a third party; failure to exercise its creditor’s rights or any other rights, suspension of production or operation, significant penalty imposed by regulatory authorities, cancellation of registration, revocation of business license, involvement in material legal proceedings, severe deterioration in operation and financial condition, deterioration of credit standing, legal representative/principal officer’s inability to perform their duties, which may adversely impact its capability as a guarantor;</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(iii) other events in which the guarantor has lost or may lose its capability as guarantor.</w:t>
      </w:r>
    </w:p>
    <w:p>
      <w:pPr>
        <w:spacing w:after="0" w:line="225" w:lineRule="exact"/>
        <w:rPr>
          <w:sz w:val="20"/>
          <w:szCs w:val="20"/>
          <w:color w:val="auto"/>
        </w:rPr>
      </w:pPr>
    </w:p>
    <w:p>
      <w:pPr>
        <w:ind w:left="620" w:right="440" w:hanging="463"/>
        <w:spacing w:after="0" w:line="277" w:lineRule="auto"/>
        <w:tabs>
          <w:tab w:leader="none" w:pos="67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occurrence of any of the following events on the mortgage or pledge which Party B believes may adversely impact its creditor’s rights:</w:t>
      </w:r>
    </w:p>
    <w:p>
      <w:pPr>
        <w:spacing w:after="0" w:line="170" w:lineRule="exact"/>
        <w:rPr>
          <w:rFonts w:ascii="Arial" w:cs="Arial" w:eastAsia="Arial" w:hAnsi="Arial"/>
          <w:sz w:val="18"/>
          <w:szCs w:val="18"/>
          <w:color w:val="auto"/>
        </w:rPr>
      </w:pPr>
    </w:p>
    <w:p>
      <w:pPr>
        <w:ind w:left="1040" w:right="160" w:hanging="407"/>
        <w:spacing w:after="0" w:line="342" w:lineRule="auto"/>
        <w:tabs>
          <w:tab w:leader="none" w:pos="1061"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mortgaged or pledged property is damaged, destroyed or its value is reduced as a result of a third-party’s action, expropriation, confiscation, eminent domain or redevelopment and relocation by the government, market change, or any other reason;</w:t>
      </w:r>
    </w:p>
    <w:p>
      <w:pPr>
        <w:spacing w:after="0" w:line="123" w:lineRule="exact"/>
        <w:rPr>
          <w:rFonts w:ascii="Arial" w:cs="Arial" w:eastAsia="Arial" w:hAnsi="Arial"/>
          <w:sz w:val="16"/>
          <w:szCs w:val="16"/>
          <w:color w:val="auto"/>
        </w:rPr>
      </w:pPr>
    </w:p>
    <w:p>
      <w:pPr>
        <w:ind w:left="1040" w:right="40" w:hanging="407"/>
        <w:spacing w:after="0" w:line="342" w:lineRule="auto"/>
        <w:tabs>
          <w:tab w:leader="none" w:pos="1071"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mortgaged or pledged property has been seized, impounded, frozen, mandatorily debited, put on lien, sold by auction, subject to administration order by a government authority, or a dispute over the ownership of the mortgaged or pledged property occurs;</w:t>
      </w:r>
    </w:p>
    <w:p>
      <w:pPr>
        <w:spacing w:after="0" w:line="123" w:lineRule="exact"/>
        <w:rPr>
          <w:rFonts w:ascii="Arial" w:cs="Arial" w:eastAsia="Arial" w:hAnsi="Arial"/>
          <w:sz w:val="16"/>
          <w:szCs w:val="16"/>
          <w:color w:val="auto"/>
        </w:rPr>
      </w:pPr>
    </w:p>
    <w:p>
      <w:pPr>
        <w:ind w:left="1040" w:hanging="407"/>
        <w:spacing w:after="0" w:line="277" w:lineRule="auto"/>
        <w:tabs>
          <w:tab w:leader="none" w:pos="10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mortgagor or pledgor breaches any provision of the mortgage/pledge contract, or any of the representations and warranties it has made proves to be false, wrong or incomplete;</w:t>
      </w:r>
    </w:p>
    <w:p>
      <w:pPr>
        <w:spacing w:after="0" w:line="170" w:lineRule="exact"/>
        <w:rPr>
          <w:rFonts w:ascii="Arial" w:cs="Arial" w:eastAsia="Arial" w:hAnsi="Arial"/>
          <w:sz w:val="18"/>
          <w:szCs w:val="18"/>
          <w:color w:val="auto"/>
        </w:rPr>
      </w:pPr>
    </w:p>
    <w:p>
      <w:pPr>
        <w:ind w:left="1060" w:hanging="427"/>
        <w:spacing w:after="0"/>
        <w:tabs>
          <w:tab w:leader="none" w:pos="10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other events that may adversely impact Party B’s ability to realize its mortgage or pledge.</w:t>
      </w:r>
    </w:p>
    <w:p>
      <w:pPr>
        <w:spacing w:after="0" w:line="225" w:lineRule="exact"/>
        <w:rPr>
          <w:rFonts w:ascii="Arial" w:cs="Arial" w:eastAsia="Arial" w:hAnsi="Arial"/>
          <w:sz w:val="18"/>
          <w:szCs w:val="18"/>
          <w:color w:val="auto"/>
        </w:rPr>
      </w:pPr>
    </w:p>
    <w:p>
      <w:pPr>
        <w:ind w:left="620" w:right="220" w:hanging="463"/>
        <w:spacing w:after="0" w:line="312" w:lineRule="auto"/>
        <w:tabs>
          <w:tab w:leader="none" w:pos="628"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security is not effected, becomes ineffective, invalid, or is rescinded or terminated, or the security provider defaults or repudiates its obligations expressly or by conduct, or the security provider has lost its capability to perform its obligations as a security provider in whole or in part, or the value of the collateral is reduced, which Party B believes may adversely impact its creditor’s rights; or</w:t>
      </w:r>
    </w:p>
    <w:p>
      <w:pPr>
        <w:spacing w:after="0" w:line="146" w:lineRule="exact"/>
        <w:rPr>
          <w:rFonts w:ascii="Arial" w:cs="Arial" w:eastAsia="Arial" w:hAnsi="Arial"/>
          <w:sz w:val="16"/>
          <w:szCs w:val="16"/>
          <w:color w:val="auto"/>
        </w:rPr>
      </w:pPr>
    </w:p>
    <w:p>
      <w:pPr>
        <w:ind w:left="640" w:hanging="483"/>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other events which Party B believes may adversely impact its creditor’s rights.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Party B’s Remedy</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Upon occurrence of any event under Article 10.2 or 10.3, Party B may exercise one or more of the following rights:</w:t>
      </w:r>
    </w:p>
    <w:p>
      <w:pPr>
        <w:spacing w:after="0" w:line="225" w:lineRule="exact"/>
        <w:rPr>
          <w:sz w:val="20"/>
          <w:szCs w:val="20"/>
          <w:color w:val="auto"/>
        </w:rPr>
      </w:pPr>
    </w:p>
    <w:p>
      <w:pPr>
        <w:ind w:left="1180" w:hanging="547"/>
        <w:spacing w:after="0"/>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stop advancing the Loan;</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tabs>
          <w:tab w:leader="none" w:pos="100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to request for more conditions precedent for loan advance and payment;</w:t>
      </w:r>
    </w:p>
    <w:p>
      <w:pPr>
        <w:sectPr>
          <w:pgSz w:w="11900" w:h="16874" w:orient="portrait"/>
          <w:cols w:equalWidth="0" w:num="1">
            <w:col w:w="10600"/>
          </w:cols>
          <w:pgMar w:left="1020" w:top="341" w:right="279" w:bottom="0" w:gutter="0" w:footer="0" w:header="0"/>
        </w:sectPr>
      </w:pPr>
    </w:p>
    <w:bookmarkStart w:id="51" w:name="page52"/>
    <w:bookmarkEnd w:id="51"/>
    <w:p>
      <w:pPr>
        <w:spacing w:after="0" w:line="46" w:lineRule="exact"/>
        <w:rPr>
          <w:sz w:val="20"/>
          <w:szCs w:val="20"/>
          <w:color w:val="auto"/>
        </w:rPr>
      </w:pPr>
    </w:p>
    <w:p>
      <w:pPr>
        <w:ind w:left="1792" w:hanging="387"/>
        <w:spacing w:after="0"/>
        <w:tabs>
          <w:tab w:leader="none" w:pos="179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change the means of payment of loan in accordance with this Contract;</w:t>
      </w:r>
    </w:p>
    <w:p>
      <w:pPr>
        <w:spacing w:after="0" w:line="225" w:lineRule="exact"/>
        <w:rPr>
          <w:rFonts w:ascii="Arial" w:cs="Arial" w:eastAsia="Arial" w:hAnsi="Arial"/>
          <w:sz w:val="18"/>
          <w:szCs w:val="18"/>
          <w:color w:val="auto"/>
        </w:rPr>
      </w:pPr>
    </w:p>
    <w:p>
      <w:pPr>
        <w:ind w:left="1772" w:right="100" w:hanging="367"/>
        <w:spacing w:after="0" w:line="277" w:lineRule="auto"/>
        <w:tabs>
          <w:tab w:leader="none" w:pos="178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declare the Loan immediately due and payable, and request Party A to repay immediately all the due and undue principal, interest and fees;</w:t>
      </w:r>
    </w:p>
    <w:p>
      <w:pPr>
        <w:spacing w:after="0" w:line="170" w:lineRule="exact"/>
        <w:rPr>
          <w:rFonts w:ascii="Arial" w:cs="Arial" w:eastAsia="Arial" w:hAnsi="Arial"/>
          <w:sz w:val="18"/>
          <w:szCs w:val="18"/>
          <w:color w:val="auto"/>
        </w:rPr>
      </w:pPr>
    </w:p>
    <w:p>
      <w:pPr>
        <w:ind w:left="1792" w:hanging="387"/>
        <w:spacing w:after="0"/>
        <w:tabs>
          <w:tab w:leader="none" w:pos="1792"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Party A fails to make any drawdown in accordance with the Contract, Party B may hold Party A liable to pay a penalty equal to 0</w:t>
      </w:r>
    </w:p>
    <w:p>
      <w:pPr>
        <w:spacing w:after="0" w:line="46" w:lineRule="exact"/>
        <w:rPr>
          <w:rFonts w:ascii="Arial" w:cs="Arial" w:eastAsia="Arial" w:hAnsi="Arial"/>
          <w:sz w:val="16"/>
          <w:szCs w:val="16"/>
          <w:color w:val="auto"/>
        </w:rPr>
      </w:pPr>
    </w:p>
    <w:p>
      <w:pPr>
        <w:ind w:left="1972" w:hanging="191"/>
        <w:spacing w:after="0"/>
        <w:tabs>
          <w:tab w:leader="none" w:pos="1972" w:val="left"/>
        </w:tabs>
        <w:numPr>
          <w:ilvl w:val="1"/>
          <w:numId w:val="59"/>
        </w:numPr>
        <w:rPr>
          <w:rFonts w:ascii="Arial" w:cs="Arial" w:eastAsia="Arial" w:hAnsi="Arial"/>
          <w:sz w:val="18"/>
          <w:szCs w:val="18"/>
          <w:color w:val="auto"/>
        </w:rPr>
      </w:pPr>
      <w:r>
        <w:rPr>
          <w:rFonts w:ascii="Arial" w:cs="Arial" w:eastAsia="Arial" w:hAnsi="Arial"/>
          <w:sz w:val="18"/>
          <w:szCs w:val="18"/>
          <w:color w:val="auto"/>
        </w:rPr>
        <w:t>of the Loan proceeds not drawn and may reject Party A’s request for drawing such Loan;</w:t>
      </w:r>
    </w:p>
    <w:p>
      <w:pPr>
        <w:spacing w:after="0" w:line="210" w:lineRule="exact"/>
        <w:rPr>
          <w:rFonts w:ascii="Arial" w:cs="Arial" w:eastAsia="Arial" w:hAnsi="Arial"/>
          <w:sz w:val="18"/>
          <w:szCs w:val="18"/>
          <w:color w:val="auto"/>
        </w:rPr>
      </w:pPr>
    </w:p>
    <w:p>
      <w:pPr>
        <w:ind w:left="1772" w:right="20" w:hanging="367"/>
        <w:spacing w:after="0" w:line="312" w:lineRule="auto"/>
        <w:tabs>
          <w:tab w:leader="none" w:pos="1781" w:val="left"/>
        </w:tabs>
        <w:numPr>
          <w:ilvl w:val="0"/>
          <w:numId w:val="59"/>
        </w:numPr>
        <w:rPr>
          <w:rFonts w:ascii="Arial" w:cs="Arial" w:eastAsia="Arial" w:hAnsi="Arial"/>
          <w:sz w:val="16"/>
          <w:szCs w:val="16"/>
          <w:color w:val="auto"/>
        </w:rPr>
      </w:pPr>
      <w:r>
        <w:rPr>
          <w:rFonts w:ascii="Arial" w:cs="Arial" w:eastAsia="Arial" w:hAnsi="Arial"/>
          <w:sz w:val="16"/>
          <w:szCs w:val="16"/>
          <w:color w:val="auto"/>
        </w:rPr>
        <w:t>if Party A utilizes any part of the Loan for any purpose other than as provided herein, interest on the misappropriated amount shall be calculated and compounded for the period from the date of the misappropriation to the date when all the principal and interest have been fully paid in accordance with the relevant default interest rate and the interest settlement method as provided herein;</w:t>
      </w:r>
    </w:p>
    <w:p>
      <w:pPr>
        <w:spacing w:after="0" w:line="146" w:lineRule="exact"/>
        <w:rPr>
          <w:rFonts w:ascii="Arial" w:cs="Arial" w:eastAsia="Arial" w:hAnsi="Arial"/>
          <w:sz w:val="16"/>
          <w:szCs w:val="16"/>
          <w:color w:val="auto"/>
        </w:rPr>
      </w:pPr>
    </w:p>
    <w:p>
      <w:pPr>
        <w:ind w:left="1772" w:right="140" w:hanging="367"/>
        <w:spacing w:after="0" w:line="259" w:lineRule="auto"/>
        <w:tabs>
          <w:tab w:leader="none" w:pos="1781"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any principal is overdue, the interest on such principal and on any overdue interest (including whole or part of the principal and interest which have been accelerated), shall be calculated and compounded for the period from the first date such principal becomes overdue to the date when all the principal and interest have been fully paid, in accordance with the relevant default interest rate and the interest settlement method as provided herein;</w:t>
      </w:r>
    </w:p>
    <w:p>
      <w:pPr>
        <w:spacing w:after="0" w:line="186" w:lineRule="exact"/>
        <w:rPr>
          <w:rFonts w:ascii="Arial" w:cs="Arial" w:eastAsia="Arial" w:hAnsi="Arial"/>
          <w:sz w:val="18"/>
          <w:szCs w:val="18"/>
          <w:color w:val="auto"/>
        </w:rPr>
      </w:pPr>
    </w:p>
    <w:p>
      <w:pPr>
        <w:ind w:left="1792" w:right="160"/>
        <w:spacing w:after="0" w:line="277" w:lineRule="auto"/>
        <w:rPr>
          <w:rFonts w:ascii="Arial" w:cs="Arial" w:eastAsia="Arial" w:hAnsi="Arial"/>
          <w:sz w:val="18"/>
          <w:szCs w:val="18"/>
          <w:color w:val="auto"/>
        </w:rPr>
      </w:pPr>
      <w:r>
        <w:rPr>
          <w:rFonts w:ascii="Arial" w:cs="Arial" w:eastAsia="Arial" w:hAnsi="Arial"/>
          <w:sz w:val="18"/>
          <w:szCs w:val="18"/>
          <w:color w:val="auto"/>
        </w:rPr>
        <w:t>“Overdue” herein means that Party A fails to repay the Loan on the repayment date or, in case of repayment in installments, fails to repay the relevant installments in accordance with the repayment schedule as provided herein.</w:t>
      </w:r>
    </w:p>
    <w:p>
      <w:pPr>
        <w:spacing w:after="0" w:line="170" w:lineRule="exact"/>
        <w:rPr>
          <w:rFonts w:ascii="Arial" w:cs="Arial" w:eastAsia="Arial" w:hAnsi="Arial"/>
          <w:sz w:val="18"/>
          <w:szCs w:val="18"/>
          <w:color w:val="auto"/>
        </w:rPr>
      </w:pPr>
    </w:p>
    <w:p>
      <w:pPr>
        <w:ind w:left="1792" w:right="560"/>
        <w:spacing w:after="0" w:line="277" w:lineRule="auto"/>
        <w:rPr>
          <w:rFonts w:ascii="Arial" w:cs="Arial" w:eastAsia="Arial" w:hAnsi="Arial"/>
          <w:sz w:val="18"/>
          <w:szCs w:val="18"/>
          <w:color w:val="auto"/>
        </w:rPr>
      </w:pPr>
      <w:r>
        <w:rPr>
          <w:rFonts w:ascii="Arial" w:cs="Arial" w:eastAsia="Arial" w:hAnsi="Arial"/>
          <w:sz w:val="18"/>
          <w:szCs w:val="18"/>
          <w:color w:val="auto"/>
        </w:rPr>
        <w:t>Before any principal is overdue, the overdue interest shall be compounded in accordance with the interest rate and the interest settlement method as provided herein;</w:t>
      </w:r>
    </w:p>
    <w:p>
      <w:pPr>
        <w:spacing w:after="0" w:line="170" w:lineRule="exact"/>
        <w:rPr>
          <w:rFonts w:ascii="Arial" w:cs="Arial" w:eastAsia="Arial" w:hAnsi="Arial"/>
          <w:sz w:val="18"/>
          <w:szCs w:val="18"/>
          <w:color w:val="auto"/>
        </w:rPr>
      </w:pPr>
    </w:p>
    <w:p>
      <w:pPr>
        <w:ind w:left="1792" w:hanging="387"/>
        <w:spacing w:after="0"/>
        <w:tabs>
          <w:tab w:leader="none" w:pos="1792" w:val="left"/>
        </w:tabs>
        <w:numPr>
          <w:ilvl w:val="0"/>
          <w:numId w:val="59"/>
        </w:numPr>
        <w:rPr>
          <w:rFonts w:ascii="Arial" w:cs="Arial" w:eastAsia="Arial" w:hAnsi="Arial"/>
          <w:sz w:val="18"/>
          <w:szCs w:val="18"/>
          <w:color w:val="auto"/>
        </w:rPr>
      </w:pPr>
      <w:r>
        <w:rPr>
          <w:rFonts w:ascii="Arial" w:cs="Arial" w:eastAsia="Arial" w:hAnsi="Arial"/>
          <w:sz w:val="18"/>
          <w:szCs w:val="18"/>
          <w:color w:val="auto"/>
        </w:rPr>
        <w:t>other remedies, including but not limited to:</w:t>
      </w:r>
    </w:p>
    <w:p>
      <w:pPr>
        <w:spacing w:after="0" w:line="225" w:lineRule="exact"/>
        <w:rPr>
          <w:rFonts w:ascii="Arial" w:cs="Arial" w:eastAsia="Arial" w:hAnsi="Arial"/>
          <w:sz w:val="18"/>
          <w:szCs w:val="18"/>
          <w:color w:val="auto"/>
        </w:rPr>
      </w:pPr>
    </w:p>
    <w:p>
      <w:pPr>
        <w:ind w:left="2532" w:right="240" w:hanging="544"/>
        <w:spacing w:after="0" w:line="277" w:lineRule="auto"/>
        <w:tabs>
          <w:tab w:leader="none" w:pos="2556" w:val="left"/>
        </w:tabs>
        <w:numPr>
          <w:ilvl w:val="2"/>
          <w:numId w:val="59"/>
        </w:numPr>
        <w:rPr>
          <w:rFonts w:ascii="Arial" w:cs="Arial" w:eastAsia="Arial" w:hAnsi="Arial"/>
          <w:sz w:val="18"/>
          <w:szCs w:val="18"/>
          <w:color w:val="auto"/>
        </w:rPr>
      </w:pPr>
      <w:r>
        <w:rPr>
          <w:rFonts w:ascii="Arial" w:cs="Arial" w:eastAsia="Arial" w:hAnsi="Arial"/>
          <w:sz w:val="18"/>
          <w:szCs w:val="18"/>
          <w:color w:val="auto"/>
        </w:rPr>
        <w:t>to debit Party A’s accounts at China Construction Bank in RMB or other currencies with corresponding amount without prior notice to Party A;</w:t>
      </w:r>
    </w:p>
    <w:p>
      <w:pPr>
        <w:spacing w:after="0" w:line="170" w:lineRule="exact"/>
        <w:rPr>
          <w:rFonts w:ascii="Arial" w:cs="Arial" w:eastAsia="Arial" w:hAnsi="Arial"/>
          <w:sz w:val="18"/>
          <w:szCs w:val="18"/>
          <w:color w:val="auto"/>
        </w:rPr>
      </w:pPr>
    </w:p>
    <w:p>
      <w:pPr>
        <w:ind w:left="2572" w:hanging="584"/>
        <w:spacing w:after="0"/>
        <w:tabs>
          <w:tab w:leader="none" w:pos="2572" w:val="left"/>
        </w:tabs>
        <w:numPr>
          <w:ilvl w:val="2"/>
          <w:numId w:val="59"/>
        </w:numPr>
        <w:rPr>
          <w:rFonts w:ascii="Arial" w:cs="Arial" w:eastAsia="Arial" w:hAnsi="Arial"/>
          <w:sz w:val="18"/>
          <w:szCs w:val="18"/>
          <w:color w:val="auto"/>
        </w:rPr>
      </w:pPr>
      <w:r>
        <w:rPr>
          <w:rFonts w:ascii="Arial" w:cs="Arial" w:eastAsia="Arial" w:hAnsi="Arial"/>
          <w:sz w:val="18"/>
          <w:szCs w:val="18"/>
          <w:color w:val="auto"/>
        </w:rPr>
        <w:t>to exercise its rights under the security interest;</w:t>
      </w:r>
    </w:p>
    <w:p>
      <w:pPr>
        <w:spacing w:after="0" w:line="225" w:lineRule="exact"/>
        <w:rPr>
          <w:rFonts w:ascii="Arial" w:cs="Arial" w:eastAsia="Arial" w:hAnsi="Arial"/>
          <w:sz w:val="18"/>
          <w:szCs w:val="18"/>
          <w:color w:val="auto"/>
        </w:rPr>
      </w:pPr>
    </w:p>
    <w:p>
      <w:pPr>
        <w:ind w:left="2592" w:hanging="604"/>
        <w:spacing w:after="0"/>
        <w:tabs>
          <w:tab w:leader="none" w:pos="2592" w:val="left"/>
        </w:tabs>
        <w:numPr>
          <w:ilvl w:val="2"/>
          <w:numId w:val="59"/>
        </w:numPr>
        <w:rPr>
          <w:rFonts w:ascii="Arial" w:cs="Arial" w:eastAsia="Arial" w:hAnsi="Arial"/>
          <w:sz w:val="18"/>
          <w:szCs w:val="18"/>
          <w:color w:val="auto"/>
        </w:rPr>
      </w:pPr>
      <w:r>
        <w:rPr>
          <w:rFonts w:ascii="Arial" w:cs="Arial" w:eastAsia="Arial" w:hAnsi="Arial"/>
          <w:sz w:val="18"/>
          <w:szCs w:val="18"/>
          <w:color w:val="auto"/>
        </w:rPr>
        <w:t>to request Party A to provide new security satisfactory to Party B for all the debts of Party A hereunder;</w:t>
      </w:r>
    </w:p>
    <w:p>
      <w:pPr>
        <w:spacing w:after="0" w:line="225" w:lineRule="exact"/>
        <w:rPr>
          <w:rFonts w:ascii="Arial" w:cs="Arial" w:eastAsia="Arial" w:hAnsi="Arial"/>
          <w:sz w:val="18"/>
          <w:szCs w:val="18"/>
          <w:color w:val="auto"/>
        </w:rPr>
      </w:pPr>
    </w:p>
    <w:p>
      <w:pPr>
        <w:ind w:left="2532" w:right="520" w:hanging="544"/>
        <w:spacing w:after="0" w:line="308" w:lineRule="auto"/>
        <w:tabs>
          <w:tab w:leader="none" w:pos="2551" w:val="left"/>
        </w:tabs>
        <w:numPr>
          <w:ilvl w:val="2"/>
          <w:numId w:val="59"/>
        </w:numPr>
        <w:rPr>
          <w:rFonts w:ascii="Arial" w:cs="Arial" w:eastAsia="Arial" w:hAnsi="Arial"/>
          <w:sz w:val="17"/>
          <w:szCs w:val="17"/>
          <w:color w:val="auto"/>
        </w:rPr>
      </w:pPr>
      <w:r>
        <w:rPr>
          <w:rFonts w:ascii="Arial" w:cs="Arial" w:eastAsia="Arial" w:hAnsi="Arial"/>
          <w:sz w:val="17"/>
          <w:szCs w:val="17"/>
          <w:color w:val="auto"/>
        </w:rPr>
        <w:t>to decline Party A’s request to dispose of its deposits of corresponding amount, within any account opened with any branch of China Construction Bank (including without limitation the account to collect sale proceeds);</w:t>
      </w:r>
    </w:p>
    <w:p>
      <w:pPr>
        <w:spacing w:after="0" w:line="146" w:lineRule="exact"/>
        <w:rPr>
          <w:rFonts w:ascii="Arial" w:cs="Arial" w:eastAsia="Arial" w:hAnsi="Arial"/>
          <w:sz w:val="17"/>
          <w:szCs w:val="17"/>
          <w:color w:val="auto"/>
        </w:rPr>
      </w:pPr>
    </w:p>
    <w:p>
      <w:pPr>
        <w:ind w:left="2552" w:hanging="564"/>
        <w:spacing w:after="0"/>
        <w:tabs>
          <w:tab w:leader="none" w:pos="2552" w:val="left"/>
        </w:tabs>
        <w:numPr>
          <w:ilvl w:val="2"/>
          <w:numId w:val="59"/>
        </w:numPr>
        <w:rPr>
          <w:rFonts w:ascii="Arial" w:cs="Arial" w:eastAsia="Arial" w:hAnsi="Arial"/>
          <w:sz w:val="18"/>
          <w:szCs w:val="18"/>
          <w:color w:val="auto"/>
        </w:rPr>
      </w:pPr>
      <w:r>
        <w:rPr>
          <w:rFonts w:ascii="Arial" w:cs="Arial" w:eastAsia="Arial" w:hAnsi="Arial"/>
          <w:sz w:val="18"/>
          <w:szCs w:val="18"/>
          <w:color w:val="auto"/>
        </w:rPr>
        <w:t>to terminate the Contract.</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32" w:hanging="632"/>
        <w:spacing w:after="0"/>
        <w:tabs>
          <w:tab w:leader="none" w:pos="63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11.1    Cost Allocation</w:t>
      </w:r>
    </w:p>
    <w:p>
      <w:pPr>
        <w:spacing w:after="0" w:line="225" w:lineRule="exact"/>
        <w:rPr>
          <w:rFonts w:ascii="Arial" w:cs="Arial" w:eastAsia="Arial" w:hAnsi="Arial"/>
          <w:sz w:val="18"/>
          <w:szCs w:val="18"/>
          <w:b w:val="1"/>
          <w:bCs w:val="1"/>
          <w:color w:val="auto"/>
        </w:rPr>
      </w:pPr>
    </w:p>
    <w:p>
      <w:pPr>
        <w:ind w:left="1872" w:right="200" w:hanging="359"/>
        <w:spacing w:after="0" w:line="286" w:lineRule="auto"/>
        <w:tabs>
          <w:tab w:leader="none" w:pos="1884" w:val="left"/>
        </w:tabs>
        <w:numPr>
          <w:ilvl w:val="1"/>
          <w:numId w:val="60"/>
        </w:numPr>
        <w:rPr>
          <w:rFonts w:ascii="Arial" w:cs="Arial" w:eastAsia="Arial" w:hAnsi="Arial"/>
          <w:sz w:val="17"/>
          <w:szCs w:val="17"/>
          <w:color w:val="auto"/>
        </w:rPr>
      </w:pPr>
      <w:r>
        <w:rPr>
          <w:rFonts w:ascii="Arial" w:cs="Arial" w:eastAsia="Arial" w:hAnsi="Arial"/>
          <w:sz w:val="17"/>
          <w:szCs w:val="17"/>
          <w:color w:val="auto"/>
        </w:rPr>
        <w:t>all costs and expenses incurred as a result of Party A’s breach of any provision in this Contract, including without limitation court fees, arbitration fees, property preservation fees, travel expenses, enforcement expenses, valuation/appraisal fees, auction fees, notary fees, service fees, public announcement costs, legal fees, shall be borne by Party A.</w:t>
      </w:r>
    </w:p>
    <w:p>
      <w:pPr>
        <w:spacing w:after="0" w:line="165" w:lineRule="exact"/>
        <w:rPr>
          <w:rFonts w:ascii="Arial" w:cs="Arial" w:eastAsia="Arial" w:hAnsi="Arial"/>
          <w:sz w:val="17"/>
          <w:szCs w:val="17"/>
          <w:color w:val="auto"/>
        </w:rPr>
      </w:pPr>
    </w:p>
    <w:p>
      <w:pPr>
        <w:ind w:left="1952" w:hanging="439"/>
        <w:spacing w:after="0"/>
        <w:tabs>
          <w:tab w:leader="none" w:pos="1952"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respect of other fees the parties agree as follows:</w:t>
      </w:r>
    </w:p>
    <w:p>
      <w:pPr>
        <w:spacing w:after="0" w:line="225" w:lineRule="exact"/>
        <w:rPr>
          <w:sz w:val="20"/>
          <w:szCs w:val="20"/>
          <w:color w:val="auto"/>
        </w:rPr>
      </w:pPr>
    </w:p>
    <w:p>
      <w:pPr>
        <w:ind w:left="652"/>
        <w:spacing w:after="0"/>
        <w:tabs>
          <w:tab w:leader="none" w:pos="1252"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Use of Party A’s Information</w:t>
      </w:r>
    </w:p>
    <w:p>
      <w:pPr>
        <w:spacing w:after="0" w:line="225" w:lineRule="exact"/>
        <w:rPr>
          <w:sz w:val="20"/>
          <w:szCs w:val="20"/>
          <w:color w:val="auto"/>
        </w:rPr>
      </w:pPr>
    </w:p>
    <w:p>
      <w:pPr>
        <w:ind w:left="1312"/>
        <w:spacing w:after="0" w:line="259" w:lineRule="auto"/>
        <w:rPr>
          <w:sz w:val="20"/>
          <w:szCs w:val="20"/>
          <w:color w:val="auto"/>
        </w:rPr>
      </w:pPr>
      <w:r>
        <w:rPr>
          <w:rFonts w:ascii="Arial" w:cs="Arial" w:eastAsia="Arial" w:hAnsi="Arial"/>
          <w:sz w:val="18"/>
          <w:szCs w:val="18"/>
          <w:color w:val="auto"/>
        </w:rPr>
        <w:t>Party A agrees that Party B is entitled to inquire about Party A’s creditworthiness with the Credit Database or relevant authorities established or approved by the People’s Bank of China and the Credit Reference Agency, and that Party B is entitled to provide Party A’s information to such Credit Database. Party A further agrees that Party B may reasonably use and disclose Party A’s information for business purpose.</w:t>
      </w:r>
    </w:p>
    <w:p>
      <w:pPr>
        <w:spacing w:after="0" w:line="187" w:lineRule="exact"/>
        <w:rPr>
          <w:sz w:val="20"/>
          <w:szCs w:val="20"/>
          <w:color w:val="auto"/>
        </w:rPr>
      </w:pPr>
    </w:p>
    <w:p>
      <w:pPr>
        <w:ind w:left="652"/>
        <w:spacing w:after="0"/>
        <w:tabs>
          <w:tab w:leader="none" w:pos="1252"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Collection by Public Announcement</w:t>
      </w:r>
    </w:p>
    <w:p>
      <w:pPr>
        <w:spacing w:after="0" w:line="225" w:lineRule="exact"/>
        <w:rPr>
          <w:sz w:val="20"/>
          <w:szCs w:val="20"/>
          <w:color w:val="auto"/>
        </w:rPr>
      </w:pPr>
    </w:p>
    <w:p>
      <w:pPr>
        <w:ind w:left="1312" w:right="160"/>
        <w:spacing w:after="0" w:line="308" w:lineRule="auto"/>
        <w:rPr>
          <w:sz w:val="20"/>
          <w:szCs w:val="20"/>
          <w:color w:val="auto"/>
        </w:rPr>
      </w:pPr>
      <w:r>
        <w:rPr>
          <w:rFonts w:ascii="Arial" w:cs="Arial" w:eastAsia="Arial" w:hAnsi="Arial"/>
          <w:sz w:val="17"/>
          <w:szCs w:val="17"/>
          <w:color w:val="auto"/>
        </w:rPr>
        <w:t>In the event that Party A fails to repay on time any principal or interest or breaches any other contractual obligations hereunder, Party B is entitled to report to relevant authorities and demand repayments by means of public announcement via press.</w:t>
      </w:r>
    </w:p>
    <w:p>
      <w:pPr>
        <w:spacing w:after="0" w:line="147" w:lineRule="exact"/>
        <w:rPr>
          <w:sz w:val="20"/>
          <w:szCs w:val="20"/>
          <w:color w:val="auto"/>
        </w:rPr>
      </w:pPr>
    </w:p>
    <w:p>
      <w:pPr>
        <w:ind w:left="652"/>
        <w:spacing w:after="0"/>
        <w:tabs>
          <w:tab w:leader="none" w:pos="1252"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Party B’s Record as Evidence</w:t>
      </w:r>
    </w:p>
    <w:p>
      <w:pPr>
        <w:spacing w:after="0" w:line="225" w:lineRule="exact"/>
        <w:rPr>
          <w:sz w:val="20"/>
          <w:szCs w:val="20"/>
          <w:color w:val="auto"/>
        </w:rPr>
      </w:pPr>
    </w:p>
    <w:p>
      <w:pPr>
        <w:ind w:left="1312" w:right="120"/>
        <w:spacing w:after="0" w:line="302" w:lineRule="auto"/>
        <w:rPr>
          <w:sz w:val="20"/>
          <w:szCs w:val="20"/>
          <w:color w:val="auto"/>
        </w:rPr>
      </w:pPr>
      <w:r>
        <w:rPr>
          <w:rFonts w:ascii="Arial" w:cs="Arial" w:eastAsia="Arial" w:hAnsi="Arial"/>
          <w:sz w:val="16"/>
          <w:szCs w:val="16"/>
          <w:color w:val="auto"/>
        </w:rPr>
        <w:t>Unless there is reliable and definitive evidence to the contrary, Party B’s internal records of principal, interest, expenses and repayment, receipts, vouchers made or retained by Party B during the course of drawdown, repayment and interest payment, and records and vouchers relating to the collections by Party B shall constitute valid evidence of the creditor-debtor relationship between the two parties. Party A shall not raise any objection merely because the above records, receipts, vouchers are made or retained by Party B.</w:t>
      </w:r>
    </w:p>
    <w:p>
      <w:pPr>
        <w:spacing w:after="0" w:line="154" w:lineRule="exact"/>
        <w:rPr>
          <w:sz w:val="20"/>
          <w:szCs w:val="20"/>
          <w:color w:val="auto"/>
        </w:rPr>
      </w:pPr>
    </w:p>
    <w:p>
      <w:pPr>
        <w:ind w:left="652"/>
        <w:spacing w:after="0"/>
        <w:tabs>
          <w:tab w:leader="none" w:pos="1252"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No Waivers</w:t>
      </w:r>
    </w:p>
    <w:p>
      <w:pPr>
        <w:spacing w:after="0" w:line="225" w:lineRule="exact"/>
        <w:rPr>
          <w:sz w:val="20"/>
          <w:szCs w:val="20"/>
          <w:color w:val="auto"/>
        </w:rPr>
      </w:pPr>
    </w:p>
    <w:p>
      <w:pPr>
        <w:ind w:left="1312" w:right="120"/>
        <w:spacing w:after="0" w:line="312" w:lineRule="auto"/>
        <w:rPr>
          <w:sz w:val="20"/>
          <w:szCs w:val="20"/>
          <w:color w:val="auto"/>
        </w:rPr>
      </w:pPr>
      <w:r>
        <w:rPr>
          <w:rFonts w:ascii="Arial" w:cs="Arial" w:eastAsia="Arial" w:hAnsi="Arial"/>
          <w:sz w:val="16"/>
          <w:szCs w:val="16"/>
          <w:color w:val="auto"/>
        </w:rPr>
        <w:t>Party B’s rights hereunder shall not prejudice or exclude any other rights Party B is entitled to under applicable laws, regulations and other contracts. No forbearance, extension of time limit, preferential treatment or delay in exercising any right hereunder shall be deemed to constitute a waiver of rights and interests hereunder or permit or recognition of any breach of the Contract. Nor shall it restrict, prevent or</w:t>
      </w:r>
    </w:p>
    <w:p>
      <w:pPr>
        <w:sectPr>
          <w:pgSz w:w="11900" w:h="16885" w:orient="portrait"/>
          <w:cols w:equalWidth="0" w:num="1">
            <w:col w:w="11412"/>
          </w:cols>
          <w:pgMar w:left="248" w:top="341" w:right="239" w:bottom="0" w:gutter="0" w:footer="0" w:header="0"/>
        </w:sectPr>
      </w:pPr>
    </w:p>
    <w:bookmarkStart w:id="52" w:name="page53"/>
    <w:bookmarkEnd w:id="52"/>
    <w:p>
      <w:pPr>
        <w:spacing w:after="0" w:line="137" w:lineRule="exact"/>
        <w:rPr>
          <w:sz w:val="20"/>
          <w:szCs w:val="20"/>
          <w:color w:val="auto"/>
        </w:rPr>
      </w:pPr>
    </w:p>
    <w:p>
      <w:pPr>
        <w:ind w:left="1312"/>
        <w:spacing w:after="0" w:line="277" w:lineRule="auto"/>
        <w:rPr>
          <w:sz w:val="20"/>
          <w:szCs w:val="20"/>
          <w:color w:val="auto"/>
        </w:rPr>
      </w:pPr>
      <w:r>
        <w:rPr>
          <w:rFonts w:ascii="Arial" w:cs="Arial" w:eastAsia="Arial" w:hAnsi="Arial"/>
          <w:sz w:val="18"/>
          <w:szCs w:val="18"/>
          <w:color w:val="auto"/>
        </w:rPr>
        <w:t>interfere with the continuous exercise of such right at a later time or any other right, nor shall the foregoing cause Party B to be liable in any way to the Borrower.</w:t>
      </w:r>
    </w:p>
    <w:p>
      <w:pPr>
        <w:spacing w:after="0" w:line="170" w:lineRule="exact"/>
        <w:rPr>
          <w:sz w:val="20"/>
          <w:szCs w:val="20"/>
          <w:color w:val="auto"/>
        </w:rPr>
      </w:pPr>
    </w:p>
    <w:p>
      <w:pPr>
        <w:ind w:left="1272" w:right="200" w:hanging="647"/>
        <w:spacing w:after="0" w:line="264" w:lineRule="auto"/>
        <w:tabs>
          <w:tab w:leader="none" w:pos="1252"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8"/>
          <w:szCs w:val="18"/>
          <w:color w:val="auto"/>
        </w:rPr>
        <w:t>If Party A owes Party B any other due and payable debts in addition to the debts hereunder, Party B may debit any of Party A’s account at China Construction Bank in RMB or other currencies and may choose to repay any of the due and payable debts in the order it deems appropriate. Party A agrees not to raise any objection with respect thereto.</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52"/>
        <w:spacing w:after="0"/>
        <w:tabs>
          <w:tab w:leader="none" w:pos="1252"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In the event of any change to the address or other contact information, Party A shall promptly notify Party B of such change in writing.</w:t>
      </w:r>
    </w:p>
    <w:p>
      <w:pPr>
        <w:spacing w:after="0" w:line="23"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Party A shall be liable for any loss caused by its failure of giving prompt notice of such change.</w:t>
      </w:r>
    </w:p>
    <w:p>
      <w:pPr>
        <w:spacing w:after="0" w:line="211" w:lineRule="exact"/>
        <w:rPr>
          <w:sz w:val="20"/>
          <w:szCs w:val="20"/>
          <w:color w:val="auto"/>
        </w:rPr>
      </w:pPr>
    </w:p>
    <w:p>
      <w:pPr>
        <w:ind w:left="652"/>
        <w:spacing w:after="0"/>
        <w:tabs>
          <w:tab w:leader="none" w:pos="1252"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7"/>
          <w:szCs w:val="17"/>
          <w:color w:val="auto"/>
        </w:rPr>
        <w:t>Direct Debit Right</w:t>
      </w:r>
    </w:p>
    <w:p>
      <w:pPr>
        <w:spacing w:after="0" w:line="225" w:lineRule="exact"/>
        <w:rPr>
          <w:sz w:val="20"/>
          <w:szCs w:val="20"/>
          <w:color w:val="auto"/>
        </w:rPr>
      </w:pPr>
    </w:p>
    <w:p>
      <w:pPr>
        <w:jc w:val="both"/>
        <w:ind w:left="1292" w:right="80"/>
        <w:spacing w:after="0" w:line="264" w:lineRule="auto"/>
        <w:rPr>
          <w:sz w:val="20"/>
          <w:szCs w:val="20"/>
          <w:color w:val="auto"/>
        </w:rPr>
      </w:pPr>
      <w:r>
        <w:rPr>
          <w:rFonts w:ascii="Arial" w:cs="Arial" w:eastAsia="Arial" w:hAnsi="Arial"/>
          <w:sz w:val="18"/>
          <w:szCs w:val="18"/>
          <w:color w:val="auto"/>
        </w:rPr>
        <w:t>Party B is entitled to debit, without prior notice to Party A, any account of Party A at China Construction Bank in RMB or other currencies to pay all amounts payable under the Contract. Party A shall assist Party B to complete any procedures for foreign exchange settlement or sale, and Party A shall bear the risk of exchange rate fluctuation.</w:t>
      </w:r>
    </w:p>
    <w:p>
      <w:pPr>
        <w:spacing w:after="0" w:line="181" w:lineRule="exact"/>
        <w:rPr>
          <w:sz w:val="20"/>
          <w:szCs w:val="20"/>
          <w:color w:val="auto"/>
        </w:rPr>
      </w:pPr>
    </w:p>
    <w:p>
      <w:pPr>
        <w:ind w:left="652"/>
        <w:spacing w:after="0"/>
        <w:tabs>
          <w:tab w:leader="none" w:pos="1252"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Dispute Resolution</w:t>
      </w:r>
    </w:p>
    <w:p>
      <w:pPr>
        <w:spacing w:after="0" w:line="225" w:lineRule="exact"/>
        <w:rPr>
          <w:sz w:val="20"/>
          <w:szCs w:val="20"/>
          <w:color w:val="auto"/>
        </w:rPr>
      </w:pPr>
    </w:p>
    <w:p>
      <w:pPr>
        <w:ind w:left="1292" w:right="700" w:hanging="36"/>
        <w:spacing w:after="0" w:line="277" w:lineRule="auto"/>
        <w:rPr>
          <w:sz w:val="20"/>
          <w:szCs w:val="20"/>
          <w:color w:val="auto"/>
        </w:rPr>
      </w:pPr>
      <w:r>
        <w:rPr>
          <w:rFonts w:ascii="Arial" w:cs="Arial" w:eastAsia="Arial" w:hAnsi="Arial"/>
          <w:sz w:val="18"/>
          <w:szCs w:val="18"/>
          <w:color w:val="auto"/>
        </w:rPr>
        <w:t>Any dispute arising from the performance of the Contract may be settled by consultation. If the dispute cannot be resolved through consultation, such dispute shall be submitted to (1) [please select from below]:</w:t>
      </w:r>
    </w:p>
    <w:p>
      <w:pPr>
        <w:spacing w:after="0" w:line="170" w:lineRule="exact"/>
        <w:rPr>
          <w:sz w:val="20"/>
          <w:szCs w:val="20"/>
          <w:color w:val="auto"/>
        </w:rPr>
      </w:pPr>
    </w:p>
    <w:p>
      <w:pPr>
        <w:ind w:left="1872" w:hanging="575"/>
        <w:spacing w:after="0"/>
        <w:tabs>
          <w:tab w:leader="none" w:pos="1872"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People’s court within the jurisdiction where Party B is located.</w:t>
      </w:r>
    </w:p>
    <w:p>
      <w:pPr>
        <w:spacing w:after="0" w:line="225" w:lineRule="exact"/>
        <w:rPr>
          <w:sz w:val="20"/>
          <w:szCs w:val="20"/>
          <w:color w:val="auto"/>
        </w:rPr>
      </w:pPr>
    </w:p>
    <w:p>
      <w:pPr>
        <w:ind w:left="1872" w:right="120" w:hanging="566"/>
        <w:spacing w:after="0" w:line="277" w:lineRule="auto"/>
        <w:tabs>
          <w:tab w:leader="none" w:pos="1852"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[name of the arbitration committee] for arbitration at [place of arbitration] in accordance with the then prevailing arbitration rules. The arbitration award shall be final and binding on both Party A and Party B.</w:t>
      </w:r>
    </w:p>
    <w:p>
      <w:pPr>
        <w:spacing w:after="0" w:line="170" w:lineRule="exact"/>
        <w:rPr>
          <w:sz w:val="20"/>
          <w:szCs w:val="20"/>
          <w:color w:val="auto"/>
        </w:rPr>
      </w:pPr>
    </w:p>
    <w:p>
      <w:pPr>
        <w:ind w:left="1252"/>
        <w:spacing w:after="0"/>
        <w:rPr>
          <w:sz w:val="20"/>
          <w:szCs w:val="20"/>
          <w:color w:val="auto"/>
        </w:rPr>
      </w:pPr>
      <w:r>
        <w:rPr>
          <w:rFonts w:ascii="Arial" w:cs="Arial" w:eastAsia="Arial" w:hAnsi="Arial"/>
          <w:sz w:val="18"/>
          <w:szCs w:val="18"/>
          <w:color w:val="auto"/>
        </w:rPr>
        <w:t>The undisputed provisions shall remain enforceable during the process of litigation or arbitration.</w:t>
      </w:r>
    </w:p>
    <w:p>
      <w:pPr>
        <w:spacing w:after="0" w:line="225" w:lineRule="exact"/>
        <w:rPr>
          <w:sz w:val="20"/>
          <w:szCs w:val="20"/>
          <w:color w:val="auto"/>
        </w:rPr>
      </w:pPr>
    </w:p>
    <w:p>
      <w:pPr>
        <w:ind w:left="732"/>
        <w:spacing w:after="0"/>
        <w:tabs>
          <w:tab w:leader="none" w:pos="1252"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Effectiveness of the Contract</w:t>
      </w:r>
    </w:p>
    <w:p>
      <w:pPr>
        <w:spacing w:after="0" w:line="225" w:lineRule="exact"/>
        <w:rPr>
          <w:sz w:val="20"/>
          <w:szCs w:val="20"/>
          <w:color w:val="auto"/>
        </w:rPr>
      </w:pPr>
    </w:p>
    <w:p>
      <w:pPr>
        <w:ind w:left="1752"/>
        <w:spacing w:after="0"/>
        <w:rPr>
          <w:sz w:val="20"/>
          <w:szCs w:val="20"/>
          <w:color w:val="auto"/>
        </w:rPr>
      </w:pPr>
      <w:r>
        <w:rPr>
          <w:rFonts w:ascii="Arial" w:cs="Arial" w:eastAsia="Arial" w:hAnsi="Arial"/>
          <w:sz w:val="18"/>
          <w:szCs w:val="18"/>
          <w:color w:val="auto"/>
        </w:rPr>
        <w:t>The Contract shall become effective upon:</w:t>
      </w:r>
    </w:p>
    <w:p>
      <w:pPr>
        <w:spacing w:after="0" w:line="225" w:lineRule="exact"/>
        <w:rPr>
          <w:sz w:val="20"/>
          <w:szCs w:val="20"/>
          <w:color w:val="auto"/>
        </w:rPr>
      </w:pPr>
    </w:p>
    <w:p>
      <w:pPr>
        <w:ind w:left="2232" w:right="400" w:hanging="471"/>
        <w:spacing w:after="0" w:line="277" w:lineRule="auto"/>
        <w:tabs>
          <w:tab w:leader="none" w:pos="2242"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execution by the legal representative/(principal officer) or authorized representative of Party A and being affixed with the company chop of Party A; and</w:t>
      </w:r>
    </w:p>
    <w:p>
      <w:pPr>
        <w:spacing w:after="0" w:line="170" w:lineRule="exact"/>
        <w:rPr>
          <w:rFonts w:ascii="Arial" w:cs="Arial" w:eastAsia="Arial" w:hAnsi="Arial"/>
          <w:sz w:val="18"/>
          <w:szCs w:val="18"/>
          <w:color w:val="auto"/>
        </w:rPr>
      </w:pPr>
    </w:p>
    <w:p>
      <w:pPr>
        <w:ind w:left="2232" w:right="60" w:hanging="471"/>
        <w:spacing w:after="0" w:line="308" w:lineRule="auto"/>
        <w:tabs>
          <w:tab w:leader="none" w:pos="2242"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execution by the principal officer or authorized representative of Party B and being affixed with the company chop of Party B. All Schedules of this Contract shall constitute integral parts of this Contract and shall be equally binding.</w:t>
      </w:r>
    </w:p>
    <w:p>
      <w:pPr>
        <w:spacing w:after="0" w:line="147" w:lineRule="exact"/>
        <w:rPr>
          <w:sz w:val="20"/>
          <w:szCs w:val="20"/>
          <w:color w:val="auto"/>
        </w:rPr>
      </w:pPr>
    </w:p>
    <w:p>
      <w:pPr>
        <w:ind w:left="732"/>
        <w:spacing w:after="0"/>
        <w:tabs>
          <w:tab w:leader="none" w:pos="1252" w:val="left"/>
          <w:tab w:leader="none" w:pos="5472" w:val="left"/>
        </w:tabs>
        <w:rPr>
          <w:sz w:val="20"/>
          <w:szCs w:val="20"/>
          <w:color w:val="auto"/>
        </w:rPr>
      </w:pPr>
      <w:r>
        <w:rPr>
          <w:rFonts w:ascii="Arial" w:cs="Arial" w:eastAsia="Arial" w:hAnsi="Arial"/>
          <w:sz w:val="18"/>
          <w:szCs w:val="18"/>
          <w:color w:val="auto"/>
        </w:rPr>
        <w:t>11.11</w:t>
        <w:tab/>
        <w:t>The Contract shall be executed in</w:t>
      </w:r>
      <w:r>
        <w:rPr>
          <w:sz w:val="20"/>
          <w:szCs w:val="20"/>
          <w:color w:val="auto"/>
        </w:rPr>
        <w:tab/>
      </w:r>
      <w:r>
        <w:rPr>
          <w:rFonts w:ascii="Arial" w:cs="Arial" w:eastAsia="Arial" w:hAnsi="Arial"/>
          <w:sz w:val="15"/>
          <w:szCs w:val="15"/>
          <w:color w:val="auto"/>
        </w:rPr>
        <w:t>counterparts.</w:t>
      </w:r>
    </w:p>
    <w:p>
      <w:pPr>
        <w:spacing w:after="0" w:line="225" w:lineRule="exact"/>
        <w:rPr>
          <w:sz w:val="20"/>
          <w:szCs w:val="20"/>
          <w:color w:val="auto"/>
        </w:rPr>
      </w:pPr>
    </w:p>
    <w:p>
      <w:pPr>
        <w:ind w:left="732"/>
        <w:spacing w:after="0"/>
        <w:tabs>
          <w:tab w:leader="none" w:pos="1252"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Other Provisions:</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672" w:hanging="672"/>
        <w:spacing w:after="0"/>
        <w:tabs>
          <w:tab w:leader="none" w:pos="67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w:t>
      </w:r>
    </w:p>
    <w:p>
      <w:pPr>
        <w:spacing w:after="0" w:line="229" w:lineRule="exact"/>
        <w:rPr>
          <w:sz w:val="20"/>
          <w:szCs w:val="20"/>
          <w:color w:val="auto"/>
        </w:rPr>
      </w:pPr>
    </w:p>
    <w:p>
      <w:pPr>
        <w:ind w:left="872"/>
        <w:spacing w:after="0"/>
        <w:tabs>
          <w:tab w:leader="none" w:pos="1372"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Party A clearly understands the business scope and authorization limit of Party B.</w:t>
      </w:r>
    </w:p>
    <w:p>
      <w:pPr>
        <w:spacing w:after="0" w:line="225" w:lineRule="exact"/>
        <w:rPr>
          <w:sz w:val="20"/>
          <w:szCs w:val="20"/>
          <w:color w:val="auto"/>
        </w:rPr>
      </w:pPr>
    </w:p>
    <w:p>
      <w:pPr>
        <w:ind w:left="1392" w:right="220" w:hanging="539"/>
        <w:spacing w:after="0" w:line="277" w:lineRule="auto"/>
        <w:tabs>
          <w:tab w:leader="none" w:pos="1372" w:val="left"/>
        </w:tabs>
        <w:rPr>
          <w:sz w:val="20"/>
          <w:szCs w:val="20"/>
          <w:color w:val="auto"/>
        </w:rPr>
      </w:pPr>
      <w:r>
        <w:rPr>
          <w:rFonts w:ascii="Arial" w:cs="Arial" w:eastAsia="Arial" w:hAnsi="Arial"/>
          <w:sz w:val="18"/>
          <w:szCs w:val="18"/>
          <w:color w:val="auto"/>
        </w:rPr>
        <w:t>12.2</w:t>
        <w:tab/>
        <w:t>Party A has read the Contract. Party B, at Party A’s request, has explained the terms of the Contract, and Party A fully understands their meanings and corresponding legal consequences.</w:t>
      </w:r>
    </w:p>
    <w:p>
      <w:pPr>
        <w:spacing w:after="0" w:line="170" w:lineRule="exact"/>
        <w:rPr>
          <w:sz w:val="20"/>
          <w:szCs w:val="20"/>
          <w:color w:val="auto"/>
        </w:rPr>
      </w:pPr>
    </w:p>
    <w:p>
      <w:pPr>
        <w:ind w:left="1392" w:right="80" w:hanging="539"/>
        <w:spacing w:after="0" w:line="264" w:lineRule="auto"/>
        <w:tabs>
          <w:tab w:leader="none" w:pos="1372" w:val="left"/>
        </w:tabs>
        <w:rPr>
          <w:sz w:val="20"/>
          <w:szCs w:val="20"/>
          <w:color w:val="auto"/>
        </w:rPr>
      </w:pPr>
      <w:r>
        <w:rPr>
          <w:rFonts w:ascii="Arial" w:cs="Arial" w:eastAsia="Arial" w:hAnsi="Arial"/>
          <w:sz w:val="18"/>
          <w:szCs w:val="18"/>
          <w:color w:val="auto"/>
        </w:rPr>
        <w:t>12.3</w:t>
        <w:tab/>
        <w:t>The execution and performance of the Contract by Party A is in compliance with laws, administrative regulations, rules and Party A’s articles of association (or its other internal constitutional documents) and has been approved by its internal competent organization and/or the competent governmental authorities.</w:t>
      </w:r>
    </w:p>
    <w:p>
      <w:pPr>
        <w:spacing w:after="0" w:line="181" w:lineRule="exact"/>
        <w:rPr>
          <w:sz w:val="20"/>
          <w:szCs w:val="20"/>
          <w:color w:val="auto"/>
        </w:rPr>
      </w:pPr>
    </w:p>
    <w:p>
      <w:pPr>
        <w:ind w:left="872"/>
        <w:spacing w:after="0"/>
        <w:tabs>
          <w:tab w:leader="none" w:pos="1372"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Party A carries out production and operation in compliance with laws and regulations.</w:t>
      </w:r>
    </w:p>
    <w:p>
      <w:pPr>
        <w:spacing w:after="0" w:line="225" w:lineRule="exact"/>
        <w:rPr>
          <w:sz w:val="20"/>
          <w:szCs w:val="20"/>
          <w:color w:val="auto"/>
        </w:rPr>
      </w:pPr>
    </w:p>
    <w:p>
      <w:pPr>
        <w:ind w:left="872"/>
        <w:spacing w:after="0"/>
        <w:tabs>
          <w:tab w:leader="none" w:pos="1372"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Party A has the capability to keep its business going and has the legitimate sources to repay the loan.</w:t>
      </w:r>
    </w:p>
    <w:p>
      <w:pPr>
        <w:spacing w:after="0" w:line="225" w:lineRule="exact"/>
        <w:rPr>
          <w:sz w:val="20"/>
          <w:szCs w:val="20"/>
          <w:color w:val="auto"/>
        </w:rPr>
      </w:pPr>
    </w:p>
    <w:p>
      <w:pPr>
        <w:ind w:left="1392" w:right="260" w:hanging="539"/>
        <w:spacing w:after="0" w:line="277" w:lineRule="auto"/>
        <w:tabs>
          <w:tab w:leader="none" w:pos="1372" w:val="left"/>
        </w:tabs>
        <w:rPr>
          <w:sz w:val="20"/>
          <w:szCs w:val="20"/>
          <w:color w:val="auto"/>
        </w:rPr>
      </w:pPr>
      <w:r>
        <w:rPr>
          <w:rFonts w:ascii="Arial" w:cs="Arial" w:eastAsia="Arial" w:hAnsi="Arial"/>
          <w:sz w:val="18"/>
          <w:szCs w:val="18"/>
          <w:color w:val="auto"/>
        </w:rPr>
        <w:t>12.6</w:t>
        <w:tab/>
        <w:t>Party A warrants that the loan amount requested under this Contract is no more than necessary to meet the real needs of Party A for the purposes specified herein.</w:t>
      </w:r>
    </w:p>
    <w:p>
      <w:pPr>
        <w:spacing w:after="0" w:line="170" w:lineRule="exact"/>
        <w:rPr>
          <w:sz w:val="20"/>
          <w:szCs w:val="20"/>
          <w:color w:val="auto"/>
        </w:rPr>
      </w:pPr>
    </w:p>
    <w:p>
      <w:pPr>
        <w:ind w:left="872"/>
        <w:spacing w:after="0"/>
        <w:tabs>
          <w:tab w:leader="none" w:pos="1372"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Both Party A and its controlling shareholder have good financial standing and have no record of gross misconducts.</w:t>
      </w:r>
    </w:p>
    <w:p>
      <w:pPr>
        <w:spacing w:after="0" w:line="225" w:lineRule="exact"/>
        <w:rPr>
          <w:sz w:val="20"/>
          <w:szCs w:val="20"/>
          <w:color w:val="auto"/>
        </w:rPr>
      </w:pPr>
    </w:p>
    <w:p>
      <w:pPr>
        <w:ind w:left="1392" w:right="60" w:hanging="539"/>
        <w:spacing w:after="0" w:line="277" w:lineRule="auto"/>
        <w:tabs>
          <w:tab w:leader="none" w:pos="1372" w:val="left"/>
        </w:tabs>
        <w:rPr>
          <w:sz w:val="20"/>
          <w:szCs w:val="20"/>
          <w:color w:val="auto"/>
        </w:rPr>
      </w:pPr>
      <w:r>
        <w:rPr>
          <w:rFonts w:ascii="Arial" w:cs="Arial" w:eastAsia="Arial" w:hAnsi="Arial"/>
          <w:sz w:val="18"/>
          <w:szCs w:val="18"/>
          <w:color w:val="auto"/>
        </w:rPr>
        <w:t>12.8</w:t>
        <w:tab/>
        <w:t>Party A agrees that Party B has the right to instruct other branches of China Construction Bank to advance loan under this Contract and to exercise or perform the rights and obligations hereunder.</w:t>
      </w:r>
    </w:p>
    <w:p>
      <w:pPr>
        <w:spacing w:after="0" w:line="170" w:lineRule="exact"/>
        <w:rPr>
          <w:sz w:val="20"/>
          <w:szCs w:val="20"/>
          <w:color w:val="auto"/>
        </w:rPr>
      </w:pPr>
    </w:p>
    <w:p>
      <w:pPr>
        <w:jc w:val="right"/>
        <w:ind w:left="872" w:right="720"/>
        <w:spacing w:after="0" w:line="342" w:lineRule="auto"/>
        <w:rPr>
          <w:sz w:val="20"/>
          <w:szCs w:val="20"/>
          <w:color w:val="auto"/>
        </w:rPr>
      </w:pPr>
      <w:r>
        <w:rPr>
          <w:rFonts w:ascii="Arial" w:cs="Arial" w:eastAsia="Arial" w:hAnsi="Arial"/>
          <w:sz w:val="16"/>
          <w:szCs w:val="16"/>
          <w:color w:val="auto"/>
        </w:rPr>
        <w:t>12.9   Party A represents that, at the time of execution of this Contract, there exists no action or event that violates any applicable laws, regulations or rules in relation to environmental protection, energy saving and emission/pollution reduction (the “Environmental</w:t>
      </w:r>
    </w:p>
    <w:p>
      <w:pPr>
        <w:sectPr>
          <w:pgSz w:w="11900" w:h="16975" w:orient="portrait"/>
          <w:cols w:equalWidth="0" w:num="1">
            <w:col w:w="11392"/>
          </w:cols>
          <w:pgMar w:left="248" w:top="125" w:right="259" w:bottom="0" w:gutter="0" w:footer="0" w:header="0"/>
        </w:sectPr>
      </w:pPr>
    </w:p>
    <w:bookmarkStart w:id="53" w:name="page54"/>
    <w:bookmarkEnd w:id="53"/>
    <w:p>
      <w:pPr>
        <w:ind w:left="1420" w:right="80"/>
        <w:spacing w:after="0" w:line="279" w:lineRule="auto"/>
        <w:rPr>
          <w:sz w:val="20"/>
          <w:szCs w:val="20"/>
          <w:color w:val="auto"/>
        </w:rPr>
      </w:pPr>
      <w:r>
        <w:rPr>
          <w:rFonts w:ascii="Arial" w:cs="Arial" w:eastAsia="Arial" w:hAnsi="Arial"/>
          <w:sz w:val="17"/>
          <w:szCs w:val="17"/>
          <w:color w:val="auto"/>
        </w:rPr>
        <w:t>Laws”). Party A further warrants that it shall strictly comply with such Environmental Law after the execution of this Contract. If any of the above representations or warranties is untrue, or Party A defaults on any of the above undertakings, or there is any potential risk of energy dissipation or pollution by Party A, Party B is entitled to stop advancing loans, to declare an acceleration of the principal and interest not yet due hereunder, or adopt other remedial measures provided hereunder or permitted by laws.</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Party A </w:t>
      </w:r>
      <w:r>
        <w:rPr>
          <w:rFonts w:ascii="Arial" w:cs="Arial" w:eastAsia="Arial" w:hAnsi="Arial"/>
          <w:sz w:val="18"/>
          <w:szCs w:val="18"/>
          <w:color w:val="auto"/>
        </w:rPr>
        <w:t>(Company Chop)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the legal representative (principal officer) or 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65874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Party B </w:t>
      </w:r>
      <w:r>
        <w:rPr>
          <w:rFonts w:ascii="Arial" w:cs="Arial" w:eastAsia="Arial" w:hAnsi="Arial"/>
          <w:sz w:val="18"/>
          <w:szCs w:val="18"/>
          <w:color w:val="auto"/>
        </w:rPr>
        <w:t>(Company Chop)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the principal officer or 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14605</wp:posOffset>
            </wp:positionV>
            <wp:extent cx="26587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Loan Information</w:t>
      </w:r>
    </w:p>
    <w:p>
      <w:pPr>
        <w:spacing w:after="0" w:line="229" w:lineRule="exact"/>
        <w:rPr>
          <w:sz w:val="20"/>
          <w:szCs w:val="20"/>
          <w:color w:val="auto"/>
        </w:rPr>
      </w:pPr>
    </w:p>
    <w:p>
      <w:pPr>
        <w:ind w:left="660" w:hanging="220"/>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Specific purposes of the loan:</w:t>
      </w:r>
    </w:p>
    <w:p>
      <w:pPr>
        <w:spacing w:after="0" w:line="225" w:lineRule="exact"/>
        <w:rPr>
          <w:rFonts w:ascii="Arial" w:cs="Arial" w:eastAsia="Arial" w:hAnsi="Arial"/>
          <w:sz w:val="18"/>
          <w:szCs w:val="18"/>
          <w:color w:val="auto"/>
        </w:rPr>
      </w:pPr>
    </w:p>
    <w:p>
      <w:pPr>
        <w:ind w:left="660" w:right="2120"/>
        <w:spacing w:after="0" w:line="501" w:lineRule="auto"/>
        <w:rPr>
          <w:rFonts w:ascii="Arial" w:cs="Arial" w:eastAsia="Arial" w:hAnsi="Arial"/>
          <w:sz w:val="18"/>
          <w:szCs w:val="18"/>
          <w:color w:val="auto"/>
        </w:rPr>
      </w:pPr>
      <w:r>
        <w:rPr>
          <w:rFonts w:ascii="Arial" w:cs="Arial" w:eastAsia="Arial" w:hAnsi="Arial"/>
          <w:sz w:val="18"/>
          <w:szCs w:val="18"/>
          <w:color w:val="auto"/>
        </w:rPr>
        <w:t>This Loan is used for company’s daily operation expense, including material purchase payment and employee’s salary. Party A shall not change the purpose of the loan without Party B’s written consent.</w:t>
      </w:r>
    </w:p>
    <w:p>
      <w:pPr>
        <w:ind w:left="660" w:right="7940" w:hanging="220"/>
        <w:spacing w:after="0" w:line="563" w:lineRule="auto"/>
        <w:tabs>
          <w:tab w:leader="none" w:pos="669" w:val="left"/>
        </w:tabs>
        <w:numPr>
          <w:ilvl w:val="0"/>
          <w:numId w:val="64"/>
        </w:numPr>
        <w:rPr>
          <w:rFonts w:ascii="Arial" w:cs="Arial" w:eastAsia="Arial" w:hAnsi="Arial"/>
          <w:sz w:val="16"/>
          <w:szCs w:val="16"/>
          <w:color w:val="auto"/>
        </w:rPr>
      </w:pPr>
      <w:r>
        <w:rPr>
          <w:rFonts w:ascii="Arial" w:cs="Arial" w:eastAsia="Arial" w:hAnsi="Arial"/>
          <w:sz w:val="16"/>
          <w:szCs w:val="16"/>
          <w:color w:val="auto"/>
        </w:rPr>
        <w:t>Sources of funds for loan repayment : Company’s proceeds of sales.</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7"/>
          <w:szCs w:val="17"/>
          <w:color w:val="auto"/>
        </w:rPr>
        <w:t>Party A guarantees the truthfulness and legality of such sources of funds and the steadiness and adequacy of cash flows of such sources.</w:t>
      </w:r>
    </w:p>
    <w:p>
      <w:pPr>
        <w:spacing w:after="0" w:line="236" w:lineRule="exact"/>
        <w:rPr>
          <w:rFonts w:ascii="Arial" w:cs="Arial" w:eastAsia="Arial" w:hAnsi="Arial"/>
          <w:sz w:val="16"/>
          <w:szCs w:val="16"/>
          <w:color w:val="auto"/>
        </w:rPr>
      </w:pPr>
    </w:p>
    <w:p>
      <w:pPr>
        <w:ind w:left="660" w:hanging="220"/>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Mandatory Financial Indicators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indicators of Party A shall on a continuous basis meet the following requirements: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Maximum Monthly Capital/Debt</w:t>
            </w:r>
          </w:p>
        </w:tc>
        <w:tc>
          <w:tcPr>
            <w:tcW w:w="960" w:type="dxa"/>
            <w:vAlign w:val="bottom"/>
          </w:tcPr>
          <w:p>
            <w:pPr>
              <w:ind w:left="540"/>
              <w:spacing w:after="0"/>
              <w:rPr>
                <w:sz w:val="20"/>
                <w:szCs w:val="20"/>
                <w:color w:val="auto"/>
              </w:rPr>
            </w:pPr>
            <w:r>
              <w:rPr>
                <w:rFonts w:ascii="Arial" w:cs="Arial" w:eastAsia="Arial" w:hAnsi="Arial"/>
                <w:sz w:val="18"/>
                <w:szCs w:val="18"/>
                <w:color w:val="auto"/>
              </w:rPr>
              <w:t>65%</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Minimum Current Ratio:</w:t>
            </w:r>
          </w:p>
        </w:tc>
        <w:tc>
          <w:tcPr>
            <w:tcW w:w="960" w:type="dxa"/>
            <w:vAlign w:val="bottom"/>
          </w:tcPr>
          <w:p>
            <w:pPr>
              <w:ind w:left="540"/>
              <w:spacing w:after="0"/>
              <w:rPr>
                <w:sz w:val="20"/>
                <w:szCs w:val="20"/>
                <w:color w:val="auto"/>
              </w:rPr>
            </w:pPr>
            <w:r>
              <w:rPr>
                <w:rFonts w:ascii="Arial" w:cs="Arial" w:eastAsia="Arial" w:hAnsi="Arial"/>
                <w:sz w:val="18"/>
                <w:szCs w:val="18"/>
                <w:color w:val="auto"/>
                <w:w w:val="86"/>
              </w:rPr>
              <w:t>100%</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Minimum liquidity Ratio:</w:t>
            </w:r>
          </w:p>
        </w:tc>
        <w:tc>
          <w:tcPr>
            <w:tcW w:w="960" w:type="dxa"/>
            <w:vAlign w:val="bottom"/>
          </w:tcPr>
          <w:p>
            <w:pPr>
              <w:ind w:left="540"/>
              <w:spacing w:after="0"/>
              <w:rPr>
                <w:sz w:val="20"/>
                <w:szCs w:val="20"/>
                <w:color w:val="auto"/>
              </w:rPr>
            </w:pPr>
            <w:r>
              <w:rPr>
                <w:rFonts w:ascii="Arial" w:cs="Arial" w:eastAsia="Arial" w:hAnsi="Arial"/>
                <w:sz w:val="18"/>
                <w:szCs w:val="18"/>
                <w:color w:val="auto"/>
              </w:rPr>
              <w:t>60%</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Maximum contingency liability/Capital</w:t>
            </w:r>
          </w:p>
        </w:tc>
        <w:tc>
          <w:tcPr>
            <w:tcW w:w="960" w:type="dxa"/>
            <w:vAlign w:val="bottom"/>
          </w:tcPr>
          <w:p>
            <w:pPr>
              <w:ind w:left="540"/>
              <w:spacing w:after="0"/>
              <w:rPr>
                <w:sz w:val="20"/>
                <w:szCs w:val="20"/>
                <w:color w:val="auto"/>
              </w:rPr>
            </w:pPr>
            <w:r>
              <w:rPr>
                <w:rFonts w:ascii="Arial" w:cs="Arial" w:eastAsia="Arial" w:hAnsi="Arial"/>
                <w:sz w:val="18"/>
                <w:szCs w:val="18"/>
                <w:color w:val="auto"/>
              </w:rPr>
              <w:t>30%</w:t>
            </w: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Maximum accumulated long term investment/Capital</w:t>
            </w:r>
          </w:p>
        </w:tc>
        <w:tc>
          <w:tcPr>
            <w:tcW w:w="960" w:type="dxa"/>
            <w:vAlign w:val="bottom"/>
          </w:tcPr>
          <w:p>
            <w:pPr>
              <w:ind w:left="540"/>
              <w:spacing w:after="0"/>
              <w:rPr>
                <w:sz w:val="20"/>
                <w:szCs w:val="20"/>
                <w:color w:val="auto"/>
              </w:rPr>
            </w:pPr>
            <w:r>
              <w:rPr>
                <w:rFonts w:ascii="Arial" w:cs="Arial" w:eastAsia="Arial" w:hAnsi="Arial"/>
                <w:sz w:val="18"/>
                <w:szCs w:val="18"/>
                <w:color w:val="auto"/>
              </w:rPr>
              <w:t>30%</w:t>
            </w:r>
          </w:p>
        </w:tc>
      </w:tr>
    </w:tbl>
    <w:p>
      <w:pPr>
        <w:spacing w:after="0" w:line="20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Party B has the right to change unilaterally such requirements as to mandatory indicators provided that FIVE working-day advanced notice is issued to Party A.</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3</w:t>
      </w:r>
    </w:p>
    <w:p>
      <w:pPr>
        <w:sectPr>
          <w:pgSz w:w="11900" w:h="16838" w:orient="portrait"/>
          <w:cols w:equalWidth="0" w:num="1">
            <w:col w:w="11320"/>
          </w:cols>
          <w:pgMar w:left="240" w:top="125" w:right="339" w:bottom="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Schedule for Loan Drawdown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Contract Number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of Drawdown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vMerge w:val="restart"/>
          </w:tcPr>
          <w:p>
            <w:pPr>
              <w:spacing w:after="0"/>
              <w:rPr>
                <w:sz w:val="20"/>
                <w:szCs w:val="20"/>
                <w:color w:val="auto"/>
              </w:rPr>
            </w:pPr>
            <w:r>
              <w:rPr>
                <w:rFonts w:ascii="Arial" w:cs="Arial" w:eastAsia="Arial" w:hAnsi="Arial"/>
                <w:sz w:val="14"/>
                <w:szCs w:val="14"/>
                <w:b w:val="1"/>
                <w:bCs w:val="1"/>
                <w:color w:val="auto"/>
                <w:w w:val="88"/>
              </w:rPr>
              <w:t>No.</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Proposed</w:t>
            </w:r>
          </w:p>
        </w:tc>
        <w:tc>
          <w:tcPr>
            <w:tcW w:w="2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Proposed Payment</w:t>
            </w:r>
          </w:p>
        </w:tc>
        <w:tc>
          <w:tcPr>
            <w:tcW w:w="3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Proposed Recipient</w:t>
            </w:r>
          </w:p>
        </w:tc>
        <w:tc>
          <w:tcPr>
            <w:tcW w:w="82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Notes</w:t>
            </w:r>
          </w:p>
        </w:tc>
        <w:tc>
          <w:tcPr>
            <w:tcW w:w="0" w:type="dxa"/>
            <w:vAlign w:val="bottom"/>
          </w:tcPr>
          <w:p>
            <w:pPr>
              <w:spacing w:after="0"/>
              <w:rPr>
                <w:sz w:val="1"/>
                <w:szCs w:val="1"/>
                <w:color w:val="auto"/>
              </w:rPr>
            </w:pPr>
          </w:p>
        </w:tc>
      </w:tr>
      <w:tr>
        <w:trPr>
          <w:trHeight w:val="171"/>
        </w:trPr>
        <w:tc>
          <w:tcPr>
            <w:tcW w:w="22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Purpose</w:t>
            </w:r>
          </w:p>
        </w:tc>
        <w:tc>
          <w:tcPr>
            <w:tcW w:w="2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3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(if any)</w:t>
            </w: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99"/>
              </w:rPr>
              <w:t>1</w:t>
            </w:r>
          </w:p>
        </w:tc>
        <w:tc>
          <w:tcPr>
            <w:tcW w:w="240" w:type="dxa"/>
            <w:vAlign w:val="bottom"/>
            <w:tcBorders>
              <w:top w:val="single" w:sz="8" w:color="CCEEFF"/>
            </w:tcBorders>
            <w:shd w:val="clear" w:color="auto" w:fill="CCEEFF"/>
          </w:tcPr>
          <w:p>
            <w:pPr>
              <w:spacing w:after="0"/>
              <w:rPr>
                <w:sz w:val="18"/>
                <w:szCs w:val="18"/>
                <w:color w:val="auto"/>
              </w:rPr>
            </w:pPr>
          </w:p>
        </w:tc>
        <w:tc>
          <w:tcPr>
            <w:tcW w:w="3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80" w:type="dxa"/>
            <w:vAlign w:val="bottom"/>
          </w:tcPr>
          <w:p>
            <w:pPr>
              <w:jc w:val="center"/>
              <w:ind w:right="110"/>
              <w:spacing w:after="0"/>
              <w:rPr>
                <w:sz w:val="20"/>
                <w:szCs w:val="20"/>
                <w:color w:val="auto"/>
              </w:rPr>
            </w:pPr>
            <w:r>
              <w:rPr>
                <w:rFonts w:ascii="Arial" w:cs="Arial" w:eastAsia="Arial" w:hAnsi="Arial"/>
                <w:sz w:val="18"/>
                <w:szCs w:val="18"/>
                <w:color w:val="auto"/>
                <w:w w:val="99"/>
              </w:rPr>
              <w:t>2</w:t>
            </w:r>
          </w:p>
        </w:tc>
        <w:tc>
          <w:tcPr>
            <w:tcW w:w="2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360" w:type="dxa"/>
            <w:vAlign w:val="bottom"/>
            <w:gridSpan w:val="4"/>
            <w:shd w:val="clear" w:color="auto" w:fill="CCEEFF"/>
          </w:tcPr>
          <w:p>
            <w:pPr>
              <w:jc w:val="center"/>
              <w:ind w:right="3980"/>
              <w:spacing w:after="0"/>
              <w:rPr>
                <w:sz w:val="20"/>
                <w:szCs w:val="20"/>
                <w:color w:val="auto"/>
              </w:rPr>
            </w:pPr>
            <w:r>
              <w:rPr>
                <w:rFonts w:ascii="Arial" w:cs="Arial" w:eastAsia="Arial" w:hAnsi="Arial"/>
                <w:sz w:val="18"/>
                <w:szCs w:val="18"/>
                <w:color w:val="auto"/>
                <w:w w:val="99"/>
              </w:rPr>
              <w:t>…</w:t>
            </w: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4360" w:type="dxa"/>
            <w:vAlign w:val="bottom"/>
            <w:gridSpan w:val="4"/>
          </w:tcPr>
          <w:p>
            <w:pPr>
              <w:jc w:val="center"/>
              <w:ind w:right="3980"/>
              <w:spacing w:after="0"/>
              <w:rPr>
                <w:sz w:val="20"/>
                <w:szCs w:val="20"/>
                <w:color w:val="auto"/>
              </w:rPr>
            </w:pPr>
            <w:r>
              <w:rPr>
                <w:rFonts w:ascii="Arial" w:cs="Arial" w:eastAsia="Arial" w:hAnsi="Arial"/>
                <w:sz w:val="18"/>
                <w:szCs w:val="18"/>
                <w:color w:val="auto"/>
                <w:w w:val="99"/>
              </w:rPr>
              <w:t>…</w:t>
            </w: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4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2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RMB (CAPITALIZE WORDS)</w:t>
            </w:r>
          </w:p>
        </w:tc>
        <w:tc>
          <w:tcPr>
            <w:tcW w:w="2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Name of the Borrower (company seal):</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report on payment at Party A’s initiative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Contract Number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of Delivery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00" w:type="dxa"/>
            <w:vAlign w:val="bottom"/>
          </w:tcPr>
          <w:p>
            <w:pPr>
              <w:jc w:val="center"/>
              <w:spacing w:after="0"/>
              <w:rPr>
                <w:sz w:val="20"/>
                <w:szCs w:val="20"/>
                <w:color w:val="auto"/>
              </w:rPr>
            </w:pPr>
            <w:r>
              <w:rPr>
                <w:rFonts w:ascii="Arial" w:cs="Arial" w:eastAsia="Arial" w:hAnsi="Arial"/>
                <w:sz w:val="14"/>
                <w:szCs w:val="14"/>
                <w:b w:val="1"/>
                <w:bCs w:val="1"/>
                <w:color w:val="auto"/>
                <w:w w:val="94"/>
              </w:rPr>
              <w:t>Whether or not</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compliance</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with the</w:t>
            </w:r>
          </w:p>
        </w:tc>
        <w:tc>
          <w:tcPr>
            <w:tcW w:w="0" w:type="dxa"/>
            <w:vAlign w:val="bottom"/>
          </w:tcPr>
          <w:p>
            <w:pPr>
              <w:spacing w:after="0"/>
              <w:rPr>
                <w:sz w:val="1"/>
                <w:szCs w:val="1"/>
                <w:color w:val="auto"/>
              </w:rPr>
            </w:pPr>
          </w:p>
        </w:tc>
      </w:tr>
      <w:tr>
        <w:trPr>
          <w:trHeight w:val="149"/>
        </w:trPr>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Actual purpose of</w:t>
            </w: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Evidencing</w:t>
            </w:r>
          </w:p>
        </w:tc>
        <w:tc>
          <w:tcPr>
            <w:tcW w:w="3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purpose</w:t>
            </w:r>
          </w:p>
        </w:tc>
        <w:tc>
          <w:tcPr>
            <w:tcW w:w="0" w:type="dxa"/>
            <w:vAlign w:val="bottom"/>
          </w:tcPr>
          <w:p>
            <w:pPr>
              <w:spacing w:after="0"/>
              <w:rPr>
                <w:sz w:val="1"/>
                <w:szCs w:val="1"/>
                <w:color w:val="auto"/>
              </w:rPr>
            </w:pPr>
          </w:p>
        </w:tc>
      </w:tr>
      <w:tr>
        <w:trPr>
          <w:trHeight w:val="149"/>
        </w:trPr>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w:t>
            </w:r>
          </w:p>
        </w:tc>
        <w:tc>
          <w:tcPr>
            <w:tcW w:w="2920" w:type="dxa"/>
            <w:vAlign w:val="bottom"/>
            <w:gridSpan w:val="2"/>
            <w:vMerge w:val="continue"/>
          </w:tcPr>
          <w:p>
            <w:pPr>
              <w:spacing w:after="0"/>
              <w:rPr>
                <w:sz w:val="12"/>
                <w:szCs w:val="12"/>
                <w:color w:val="auto"/>
              </w:rPr>
            </w:pPr>
          </w:p>
        </w:tc>
        <w:tc>
          <w:tcPr>
            <w:tcW w:w="100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Recipient</w:t>
            </w:r>
          </w:p>
        </w:tc>
        <w:tc>
          <w:tcPr>
            <w:tcW w:w="240" w:type="dxa"/>
            <w:vAlign w:val="bottom"/>
          </w:tcPr>
          <w:p>
            <w:pPr>
              <w:spacing w:after="0"/>
              <w:rPr>
                <w:sz w:val="12"/>
                <w:szCs w:val="12"/>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Amount</w:t>
            </w:r>
          </w:p>
        </w:tc>
        <w:tc>
          <w:tcPr>
            <w:tcW w:w="2120" w:type="dxa"/>
            <w:vAlign w:val="bottom"/>
            <w:gridSpan w:val="2"/>
            <w:vMerge w:val="continue"/>
          </w:tcPr>
          <w:p>
            <w:pPr>
              <w:spacing w:after="0"/>
              <w:rPr>
                <w:sz w:val="12"/>
                <w:szCs w:val="12"/>
                <w:color w:val="auto"/>
              </w:rPr>
            </w:pPr>
          </w:p>
        </w:tc>
        <w:tc>
          <w:tcPr>
            <w:tcW w:w="3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specified in</w:t>
            </w:r>
          </w:p>
        </w:tc>
        <w:tc>
          <w:tcPr>
            <w:tcW w:w="0" w:type="dxa"/>
            <w:vAlign w:val="bottom"/>
          </w:tcPr>
          <w:p>
            <w:pPr>
              <w:spacing w:after="0"/>
              <w:rPr>
                <w:sz w:val="1"/>
                <w:szCs w:val="1"/>
                <w:color w:val="auto"/>
              </w:rPr>
            </w:pPr>
          </w:p>
        </w:tc>
      </w:tr>
      <w:tr>
        <w:trPr>
          <w:trHeight w:val="171"/>
        </w:trPr>
        <w:tc>
          <w:tcPr>
            <w:tcW w:w="920" w:type="dxa"/>
            <w:vAlign w:val="bottom"/>
            <w:gridSpan w:val="2"/>
            <w:vMerge w:val="continue"/>
          </w:tcPr>
          <w:p>
            <w:pPr>
              <w:spacing w:after="0"/>
              <w:rPr>
                <w:sz w:val="14"/>
                <w:szCs w:val="14"/>
                <w:color w:val="auto"/>
              </w:rPr>
            </w:pPr>
          </w:p>
        </w:tc>
        <w:tc>
          <w:tcPr>
            <w:tcW w:w="2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the Loan</w:t>
            </w:r>
          </w:p>
        </w:tc>
        <w:tc>
          <w:tcPr>
            <w:tcW w:w="10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Materials</w:t>
            </w:r>
          </w:p>
        </w:tc>
        <w:tc>
          <w:tcPr>
            <w:tcW w:w="3100" w:type="dxa"/>
            <w:vAlign w:val="bottom"/>
          </w:tcPr>
          <w:p>
            <w:pPr>
              <w:jc w:val="center"/>
              <w:spacing w:after="0"/>
              <w:rPr>
                <w:sz w:val="20"/>
                <w:szCs w:val="20"/>
                <w:color w:val="auto"/>
              </w:rPr>
            </w:pPr>
            <w:r>
              <w:rPr>
                <w:rFonts w:ascii="Arial" w:cs="Arial" w:eastAsia="Arial" w:hAnsi="Arial"/>
                <w:sz w:val="14"/>
                <w:szCs w:val="14"/>
                <w:b w:val="1"/>
                <w:bCs w:val="1"/>
                <w:color w:val="auto"/>
                <w:w w:val="94"/>
              </w:rPr>
              <w:t>this Contract</w:t>
            </w:r>
          </w:p>
        </w:tc>
        <w:tc>
          <w:tcPr>
            <w:tcW w:w="0" w:type="dxa"/>
            <w:vAlign w:val="bottom"/>
          </w:tcPr>
          <w:p>
            <w:pPr>
              <w:spacing w:after="0"/>
              <w:rPr>
                <w:sz w:val="1"/>
                <w:szCs w:val="1"/>
                <w:color w:val="auto"/>
              </w:rPr>
            </w:pPr>
          </w:p>
        </w:tc>
      </w:tr>
      <w:tr>
        <w:trPr>
          <w:trHeight w:val="210"/>
        </w:trPr>
        <w:tc>
          <w:tcPr>
            <w:tcW w:w="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24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2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10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2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80" w:type="dxa"/>
            <w:vAlign w:val="bottom"/>
            <w:gridSpan w:val="5"/>
          </w:tcPr>
          <w:p>
            <w:pPr>
              <w:ind w:left="180"/>
              <w:spacing w:after="0"/>
              <w:rPr>
                <w:sz w:val="20"/>
                <w:szCs w:val="20"/>
                <w:color w:val="auto"/>
              </w:rPr>
            </w:pPr>
            <w:r>
              <w:rPr>
                <w:rFonts w:ascii="Arial" w:cs="Arial" w:eastAsia="Arial" w:hAnsi="Arial"/>
                <w:sz w:val="18"/>
                <w:szCs w:val="18"/>
                <w:color w:val="auto"/>
              </w:rPr>
              <w:t>RMB (CAPITALIZE WORDS)</w:t>
            </w: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Name of the Borrower_ (company seal):</w:t>
      </w:r>
    </w:p>
    <w:p>
      <w:pPr>
        <w:spacing w:after="0" w:line="22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Relationship Manager (signature):</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Internal review</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Officer in charge of reviewing loan advances and payments (signature):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Schedule A to Form of RMB Working Capital Loan Agreement</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Loan</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Loan Expiration</w:t>
            </w:r>
          </w:p>
        </w:tc>
        <w:tc>
          <w:tcPr>
            <w:tcW w:w="14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Loan Amount</w:t>
            </w:r>
          </w:p>
        </w:tc>
        <w:tc>
          <w:tcPr>
            <w:tcW w:w="2720" w:type="dxa"/>
            <w:vAlign w:val="bottom"/>
            <w:tcBorders>
              <w:top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Loan Rate</w:t>
            </w: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Drawdown</w:t>
            </w:r>
          </w:p>
        </w:tc>
        <w:tc>
          <w:tcPr>
            <w:tcW w:w="22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w w:val="96"/>
              </w:rPr>
              <w:t>Schedule for Repayment</w:t>
            </w:r>
          </w:p>
        </w:tc>
      </w:tr>
      <w:tr>
        <w:trPr>
          <w:trHeight w:val="216"/>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Commencement</w:t>
            </w:r>
          </w:p>
        </w:tc>
        <w:tc>
          <w:tcPr>
            <w:tcW w:w="16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Schedule</w:t>
            </w:r>
          </w:p>
        </w:tc>
        <w:tc>
          <w:tcPr>
            <w:tcW w:w="2260" w:type="dxa"/>
            <w:vAlign w:val="bottom"/>
            <w:tcBorders>
              <w:right w:val="single" w:sz="8" w:color="auto"/>
            </w:tcBorders>
          </w:tcPr>
          <w:p>
            <w:pPr>
              <w:spacing w:after="0"/>
              <w:rPr>
                <w:sz w:val="18"/>
                <w:szCs w:val="18"/>
                <w:color w:val="auto"/>
              </w:rPr>
            </w:pPr>
          </w:p>
        </w:tc>
      </w:tr>
      <w:tr>
        <w:trPr>
          <w:trHeight w:val="234"/>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210"/>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r>
      <w:tr>
        <w:trPr>
          <w:trHeight w:val="210"/>
        </w:trPr>
        <w:tc>
          <w:tcPr>
            <w:tcW w:w="174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1600" w:type="dxa"/>
            <w:vAlign w:val="bottom"/>
            <w:tcBorders>
              <w:bottom w:val="single" w:sz="8" w:color="auto"/>
              <w:right w:val="single" w:sz="8" w:color="auto"/>
            </w:tcBorders>
          </w:tcPr>
          <w:p>
            <w:pPr>
              <w:spacing w:after="0"/>
              <w:rPr>
                <w:sz w:val="18"/>
                <w:szCs w:val="18"/>
                <w:color w:val="auto"/>
              </w:rPr>
            </w:pPr>
          </w:p>
        </w:tc>
        <w:tc>
          <w:tcPr>
            <w:tcW w:w="22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t>Exhibit 10.03</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Contract No.: 1230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between</w:t>
      </w:r>
    </w:p>
    <w:p>
      <w:pPr>
        <w:spacing w:after="0" w:line="200" w:lineRule="exact"/>
        <w:rPr>
          <w:sz w:val="20"/>
          <w:szCs w:val="20"/>
          <w:color w:val="auto"/>
        </w:rPr>
      </w:pPr>
    </w:p>
    <w:p>
      <w:pPr>
        <w:spacing w:after="0" w:line="237"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GLOBAL TECHNOLOGY INC.</w:t>
      </w:r>
    </w:p>
    <w:p>
      <w:pPr>
        <w:spacing w:after="0" w:line="200" w:lineRule="exact"/>
        <w:rPr>
          <w:sz w:val="20"/>
          <w:szCs w:val="20"/>
          <w:color w:val="auto"/>
        </w:rPr>
      </w:pPr>
    </w:p>
    <w:p>
      <w:pPr>
        <w:spacing w:after="0" w:line="24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as Borrower</w:t>
      </w:r>
    </w:p>
    <w:p>
      <w:pPr>
        <w:spacing w:after="0" w:line="200" w:lineRule="exact"/>
        <w:rPr>
          <w:sz w:val="20"/>
          <w:szCs w:val="20"/>
          <w:color w:val="auto"/>
        </w:rPr>
      </w:pPr>
    </w:p>
    <w:p>
      <w:pPr>
        <w:spacing w:after="0" w:line="241"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and</w:t>
      </w:r>
    </w:p>
    <w:p>
      <w:pPr>
        <w:spacing w:after="0" w:line="200" w:lineRule="exact"/>
        <w:rPr>
          <w:sz w:val="20"/>
          <w:szCs w:val="20"/>
          <w:color w:val="auto"/>
        </w:rPr>
      </w:pPr>
    </w:p>
    <w:p>
      <w:pPr>
        <w:spacing w:after="0" w:line="237" w:lineRule="exact"/>
        <w:rPr>
          <w:sz w:val="20"/>
          <w:szCs w:val="20"/>
          <w:color w:val="auto"/>
        </w:rPr>
      </w:pPr>
    </w:p>
    <w:p>
      <w:pPr>
        <w:ind w:left="2280"/>
        <w:spacing w:after="0"/>
        <w:rPr>
          <w:sz w:val="20"/>
          <w:szCs w:val="20"/>
          <w:color w:val="auto"/>
        </w:rPr>
      </w:pPr>
      <w:r>
        <w:rPr>
          <w:rFonts w:ascii="Arial" w:cs="Arial" w:eastAsia="Arial" w:hAnsi="Arial"/>
          <w:sz w:val="18"/>
          <w:szCs w:val="18"/>
          <w:b w:val="1"/>
          <w:bCs w:val="1"/>
          <w:color w:val="auto"/>
        </w:rPr>
        <w:t>CHINA CONSTRUCTION BANK - NINGBO YINZHOU BRANCH</w:t>
      </w:r>
    </w:p>
    <w:p>
      <w:pPr>
        <w:spacing w:after="0" w:line="200" w:lineRule="exact"/>
        <w:rPr>
          <w:sz w:val="20"/>
          <w:szCs w:val="20"/>
          <w:color w:val="auto"/>
        </w:rPr>
      </w:pPr>
    </w:p>
    <w:p>
      <w:pPr>
        <w:spacing w:after="0" w:line="24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958850</wp:posOffset>
            </wp:positionH>
            <wp:positionV relativeFrom="paragraph">
              <wp:posOffset>803910</wp:posOffset>
            </wp:positionV>
            <wp:extent cx="434784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RMB WORKING CAPITAL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958850</wp:posOffset>
            </wp:positionH>
            <wp:positionV relativeFrom="paragraph">
              <wp:posOffset>669290</wp:posOffset>
            </wp:positionV>
            <wp:extent cx="434784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ectPr>
          <w:pgSz w:w="11900" w:h="16838" w:orient="portrait"/>
          <w:cols w:equalWidth="0" w:num="1">
            <w:col w:w="10640"/>
          </w:cols>
          <w:pgMar w:left="1020" w:top="112" w:right="239" w:bottom="1440" w:gutter="0" w:footer="0" w:header="0"/>
        </w:sectPr>
      </w:pPr>
    </w:p>
    <w:bookmarkStart w:id="56" w:name="page57"/>
    <w:bookmarkEnd w:id="56"/>
    <w:p>
      <w:pPr>
        <w:spacing w:after="0" w:line="28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RMB Loan Agreement</w:t>
      </w:r>
      <w:r>
        <w:rPr>
          <w:rFonts w:ascii="Arial" w:cs="Arial" w:eastAsia="Arial" w:hAnsi="Arial"/>
          <w:sz w:val="18"/>
          <w:szCs w:val="18"/>
          <w:color w:val="auto"/>
        </w:rPr>
        <w:t xml:space="preserve"> (the “</w:t>
      </w:r>
      <w:r>
        <w:rPr>
          <w:rFonts w:ascii="Arial" w:cs="Arial" w:eastAsia="Arial" w:hAnsi="Arial"/>
          <w:sz w:val="18"/>
          <w:szCs w:val="18"/>
          <w:b w:val="1"/>
          <w:bCs w:val="1"/>
          <w:color w:val="auto"/>
        </w:rPr>
        <w:t>Contract</w:t>
      </w:r>
      <w:r>
        <w:rPr>
          <w:rFonts w:ascii="Arial" w:cs="Arial" w:eastAsia="Arial" w:hAnsi="Arial"/>
          <w:sz w:val="18"/>
          <w:szCs w:val="18"/>
          <w:color w:val="auto"/>
        </w:rPr>
        <w:t>”) is entered into in order for the company’s daily operation expense [, including material purchase payment and employee’s salary], by and between:</w:t>
      </w:r>
    </w:p>
    <w:p>
      <w:pPr>
        <w:spacing w:after="0" w:line="162" w:lineRule="exact"/>
        <w:rPr>
          <w:sz w:val="20"/>
          <w:szCs w:val="20"/>
          <w:color w:val="auto"/>
        </w:rPr>
      </w:pPr>
    </w:p>
    <w:p>
      <w:pPr>
        <w:jc w:val="both"/>
        <w:ind w:right="100"/>
        <w:spacing w:after="0" w:line="282" w:lineRule="auto"/>
        <w:rPr>
          <w:sz w:val="20"/>
          <w:szCs w:val="20"/>
          <w:color w:val="auto"/>
        </w:rPr>
      </w:pPr>
      <w:r>
        <w:rPr>
          <w:rFonts w:ascii="Arial" w:cs="Arial" w:eastAsia="Arial" w:hAnsi="Arial"/>
          <w:sz w:val="18"/>
          <w:szCs w:val="18"/>
          <w:b w:val="1"/>
          <w:bCs w:val="1"/>
          <w:color w:val="auto"/>
        </w:rPr>
        <w:t>GLOBAL TECHNOLOGY INC.</w:t>
      </w:r>
      <w:r>
        <w:rPr>
          <w:rFonts w:ascii="Arial" w:cs="Arial" w:eastAsia="Arial" w:hAnsi="Arial"/>
          <w:sz w:val="18"/>
          <w:szCs w:val="18"/>
          <w:color w:val="auto"/>
        </w:rPr>
        <w:t xml:space="preserve">, located at NO. 88, QIUSHI RD, WANGCHUN INDUSTRIAL PART, NINGBO, CHINA, P.C.315176 with CHIH-HSIANG LIN as its legal representative and its fax number 88133820 and its telephone number 574-88133818 as borrower </w:t>
      </w:r>
      <w:r>
        <w:rPr>
          <w:rFonts w:ascii="Arial" w:cs="Arial" w:eastAsia="Arial" w:hAnsi="Arial"/>
          <w:sz w:val="18"/>
          <w:szCs w:val="18"/>
          <w:b w:val="1"/>
          <w:bCs w:val="1"/>
          <w:color w:val="auto"/>
        </w:rPr>
        <w:t>(“Party A”)</w:t>
      </w:r>
      <w:r>
        <w:rPr>
          <w:rFonts w:ascii="Arial" w:cs="Arial" w:eastAsia="Arial" w:hAnsi="Arial"/>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2410460</wp:posOffset>
            </wp:positionH>
            <wp:positionV relativeFrom="paragraph">
              <wp:posOffset>-185420</wp:posOffset>
            </wp:positionV>
            <wp:extent cx="457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720" cy="8890"/>
                    </a:xfrm>
                    <a:prstGeom prst="rect">
                      <a:avLst/>
                    </a:prstGeom>
                    <a:noFill/>
                  </pic:spPr>
                </pic:pic>
              </a:graphicData>
            </a:graphic>
          </wp:anchor>
        </w:drawing>
      </w:r>
    </w:p>
    <w:p>
      <w:pPr>
        <w:spacing w:after="0" w:line="142"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CHINA CONSTRUCTION BANK - NINGBO YINZHOU BRANCH</w:t>
      </w:r>
      <w:r>
        <w:rPr>
          <w:rFonts w:ascii="Arial" w:cs="Arial" w:eastAsia="Arial" w:hAnsi="Arial"/>
          <w:sz w:val="18"/>
          <w:szCs w:val="18"/>
          <w:color w:val="auto"/>
        </w:rPr>
        <w:t>, located at TAIKANG ZHONG RD S. COMMERCIAL AREA 2ND FL,</w:t>
      </w:r>
      <w:r>
        <w:rPr>
          <w:rFonts w:ascii="Arial" w:cs="Arial" w:eastAsia="Arial" w:hAnsi="Arial"/>
          <w:sz w:val="18"/>
          <w:szCs w:val="18"/>
          <w:b w:val="1"/>
          <w:bCs w:val="1"/>
          <w:color w:val="auto"/>
        </w:rPr>
        <w:t xml:space="preserve"> </w:t>
      </w:r>
      <w:r>
        <w:rPr>
          <w:rFonts w:ascii="Arial" w:cs="Arial" w:eastAsia="Arial" w:hAnsi="Arial"/>
          <w:sz w:val="18"/>
          <w:szCs w:val="18"/>
          <w:color w:val="auto"/>
        </w:rPr>
        <w:t>GUOHUA INT'L BLDG NO. 500, 315040 with ● as its principal officer and its fax number being 87370029 and its telephone number being 87374267, as lender (“</w:t>
      </w:r>
      <w:r>
        <w:rPr>
          <w:rFonts w:ascii="Arial" w:cs="Arial" w:eastAsia="Arial" w:hAnsi="Arial"/>
          <w:sz w:val="18"/>
          <w:szCs w:val="18"/>
          <w:b w:val="1"/>
          <w:bCs w:val="1"/>
          <w:color w:val="auto"/>
        </w:rPr>
        <w:t>Party B</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WHEREAS</w:t>
      </w:r>
    </w:p>
    <w:p>
      <w:pPr>
        <w:spacing w:after="0" w:line="229" w:lineRule="exact"/>
        <w:rPr>
          <w:sz w:val="20"/>
          <w:szCs w:val="20"/>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Party A wishes to apply to Party B for a loan, and Party B agrees to extend to Party A such loan.</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NOW THEREFORE upon consultation in accordance with applicable laws and regulations, both parties hereto agree as follows:</w:t>
      </w:r>
    </w:p>
    <w:p>
      <w:pPr>
        <w:spacing w:after="0" w:line="221"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LOAN AMOUNT</w:t>
      </w:r>
    </w:p>
    <w:p>
      <w:pPr>
        <w:spacing w:after="0" w:line="33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amount of the loan that Party B provides to Party A hereunder shall be RMB </w:t>
      </w:r>
      <w:r>
        <w:rPr>
          <w:rFonts w:ascii="Arial" w:cs="Arial" w:eastAsia="Arial" w:hAnsi="Arial"/>
          <w:sz w:val="18"/>
          <w:szCs w:val="18"/>
          <w:b w:val="1"/>
          <w:bCs w:val="1"/>
          <w:color w:val="auto"/>
        </w:rPr>
        <w:t>[see Schedule A]</w:t>
      </w:r>
      <w:r>
        <w:rPr>
          <w:rFonts w:ascii="Arial" w:cs="Arial" w:eastAsia="Arial" w:hAnsi="Arial"/>
          <w:sz w:val="18"/>
          <w:szCs w:val="18"/>
          <w:color w:val="auto"/>
        </w:rPr>
        <w:t xml:space="preserve"> (the “</w:t>
      </w:r>
      <w:r>
        <w:rPr>
          <w:rFonts w:ascii="Arial" w:cs="Arial" w:eastAsia="Arial" w:hAnsi="Arial"/>
          <w:sz w:val="18"/>
          <w:szCs w:val="18"/>
          <w:b w:val="1"/>
          <w:bCs w:val="1"/>
          <w:color w:val="auto"/>
        </w:rPr>
        <w:t>Loan</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ind w:left="340" w:hanging="332"/>
        <w:spacing w:after="0"/>
        <w:tabs>
          <w:tab w:leader="none" w:pos="3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LOAN AND SOURCES OF FUNDS FOR REPAYMENT</w:t>
      </w:r>
    </w:p>
    <w:p>
      <w:pPr>
        <w:spacing w:after="0" w:line="33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Party A shall utilize the loan for the purpose of the routine production operation.</w:t>
      </w:r>
    </w:p>
    <w:p>
      <w:pPr>
        <w:spacing w:after="0" w:line="225" w:lineRule="exact"/>
        <w:rPr>
          <w:rFonts w:ascii="Arial" w:cs="Arial" w:eastAsia="Arial" w:hAnsi="Arial"/>
          <w:sz w:val="18"/>
          <w:szCs w:val="18"/>
          <w:b w:val="1"/>
          <w:bCs w:val="1"/>
          <w:color w:val="auto"/>
        </w:rPr>
      </w:pPr>
    </w:p>
    <w:p>
      <w:pPr>
        <w:ind w:lef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information relating to specific purposes of such loan under the Contract and sources of funds for repayment shall be determined in Schedule 1 “</w:t>
      </w:r>
      <w:r>
        <w:rPr>
          <w:rFonts w:ascii="Arial" w:cs="Arial" w:eastAsia="Arial" w:hAnsi="Arial"/>
          <w:sz w:val="18"/>
          <w:szCs w:val="18"/>
          <w:b w:val="1"/>
          <w:bCs w:val="1"/>
          <w:color w:val="auto"/>
        </w:rPr>
        <w:t>Loan Information</w:t>
      </w:r>
      <w:r>
        <w:rPr>
          <w:rFonts w:ascii="Arial" w:cs="Arial" w:eastAsia="Arial" w:hAnsi="Arial"/>
          <w:sz w:val="18"/>
          <w:szCs w:val="18"/>
          <w:color w:val="auto"/>
        </w:rPr>
        <w:t>”.</w:t>
      </w:r>
    </w:p>
    <w:p>
      <w:pPr>
        <w:spacing w:after="0" w:line="166" w:lineRule="exact"/>
        <w:rPr>
          <w:rFonts w:ascii="Arial" w:cs="Arial" w:eastAsia="Arial" w:hAnsi="Arial"/>
          <w:sz w:val="18"/>
          <w:szCs w:val="18"/>
          <w:b w:val="1"/>
          <w:bCs w:val="1"/>
          <w:color w:val="auto"/>
        </w:rPr>
      </w:pPr>
    </w:p>
    <w:p>
      <w:pPr>
        <w:ind w:left="340" w:hanging="332"/>
        <w:spacing w:after="0"/>
        <w:tabs>
          <w:tab w:leader="none" w:pos="3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TERM OF THE LOAN</w:t>
      </w:r>
    </w:p>
    <w:p>
      <w:pPr>
        <w:spacing w:after="0" w:line="33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term of the Loan shall be 12 months, commencing from [see Schedule A] and expiring on [see Schedule A]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225" w:lineRule="exact"/>
        <w:rPr>
          <w:rFonts w:ascii="Arial" w:cs="Arial" w:eastAsia="Arial" w:hAnsi="Arial"/>
          <w:sz w:val="18"/>
          <w:szCs w:val="18"/>
          <w:b w:val="1"/>
          <w:bCs w:val="1"/>
          <w:color w:val="auto"/>
        </w:rPr>
      </w:pPr>
    </w:p>
    <w:p>
      <w:pPr>
        <w:jc w:val="both"/>
        <w:ind w:left="340"/>
        <w:spacing w:after="0" w:line="289" w:lineRule="auto"/>
        <w:rPr>
          <w:rFonts w:ascii="Arial" w:cs="Arial" w:eastAsia="Arial" w:hAnsi="Arial"/>
          <w:sz w:val="18"/>
          <w:szCs w:val="18"/>
          <w:b w:val="1"/>
          <w:bCs w:val="1"/>
          <w:color w:val="auto"/>
        </w:rPr>
      </w:pPr>
      <w:r>
        <w:rPr>
          <w:rFonts w:ascii="Arial" w:cs="Arial" w:eastAsia="Arial" w:hAnsi="Arial"/>
          <w:sz w:val="17"/>
          <w:szCs w:val="17"/>
          <w:color w:val="auto"/>
        </w:rPr>
        <w:t>Where the above commencement date is inconsistent with the date set forth on the loan-to deposit certificate (the “</w:t>
      </w:r>
      <w:r>
        <w:rPr>
          <w:rFonts w:ascii="Arial" w:cs="Arial" w:eastAsia="Arial" w:hAnsi="Arial"/>
          <w:sz w:val="17"/>
          <w:szCs w:val="17"/>
          <w:b w:val="1"/>
          <w:bCs w:val="1"/>
          <w:color w:val="auto"/>
        </w:rPr>
        <w:t>LDC</w:t>
      </w:r>
      <w:r>
        <w:rPr>
          <w:rFonts w:ascii="Arial" w:cs="Arial" w:eastAsia="Arial" w:hAnsi="Arial"/>
          <w:sz w:val="17"/>
          <w:szCs w:val="17"/>
          <w:color w:val="auto"/>
        </w:rPr>
        <w:t>” or “Loan Receipt”, the date set forth on the LDC for the first advance of the Loan shall be the commencement date of the Term and the expiry date of the Term shall be adjusted accordingly. The LDC shall constitute an integral part of the Contract and have the equal legal force as the Contract.</w:t>
      </w:r>
    </w:p>
    <w:p>
      <w:pPr>
        <w:spacing w:after="0" w:line="158" w:lineRule="exact"/>
        <w:rPr>
          <w:rFonts w:ascii="Arial" w:cs="Arial" w:eastAsia="Arial" w:hAnsi="Arial"/>
          <w:sz w:val="18"/>
          <w:szCs w:val="18"/>
          <w:b w:val="1"/>
          <w:bCs w:val="1"/>
          <w:color w:val="auto"/>
        </w:rPr>
      </w:pPr>
    </w:p>
    <w:p>
      <w:pPr>
        <w:ind w:left="340" w:hanging="332"/>
        <w:spacing w:after="0"/>
        <w:tabs>
          <w:tab w:leader="none" w:pos="34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ON THE LOAN, DEFAULT INTEREST RATE, INTEREST CALCULATION AND SETTLEMENT</w:t>
      </w:r>
    </w:p>
    <w:p>
      <w:pPr>
        <w:spacing w:after="0" w:line="33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4.1 Interest Rate on the Loan (the “</w:t>
      </w:r>
      <w:r>
        <w:rPr>
          <w:rFonts w:ascii="Arial" w:cs="Arial" w:eastAsia="Arial" w:hAnsi="Arial"/>
          <w:sz w:val="18"/>
          <w:szCs w:val="18"/>
          <w:b w:val="1"/>
          <w:bCs w:val="1"/>
          <w:color w:val="auto"/>
        </w:rPr>
        <w:t>Loan Rate</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The Loan Rate hereunder shall be an annual rate set forth in item (2) below:</w:t>
      </w:r>
    </w:p>
    <w:p>
      <w:pPr>
        <w:spacing w:after="0" w:line="225" w:lineRule="exact"/>
        <w:rPr>
          <w:rFonts w:ascii="Arial" w:cs="Arial" w:eastAsia="Arial" w:hAnsi="Arial"/>
          <w:sz w:val="18"/>
          <w:szCs w:val="18"/>
          <w:b w:val="1"/>
          <w:bCs w:val="1"/>
          <w:color w:val="auto"/>
        </w:rPr>
      </w:pPr>
    </w:p>
    <w:p>
      <w:pPr>
        <w:ind w:left="1140" w:hanging="322"/>
        <w:spacing w:after="0"/>
        <w:tabs>
          <w:tab w:leader="none" w:pos="1140" w:val="left"/>
        </w:tabs>
        <w:numPr>
          <w:ilvl w:val="1"/>
          <w:numId w:val="66"/>
        </w:numPr>
        <w:rPr>
          <w:rFonts w:ascii="Arial" w:cs="Arial" w:eastAsia="Arial" w:hAnsi="Arial"/>
          <w:sz w:val="18"/>
          <w:szCs w:val="18"/>
          <w:color w:val="auto"/>
        </w:rPr>
      </w:pPr>
      <w:r>
        <w:rPr>
          <w:rFonts w:ascii="Arial" w:cs="Arial" w:eastAsia="Arial" w:hAnsi="Arial"/>
          <w:sz w:val="18"/>
          <w:szCs w:val="18"/>
          <w:color w:val="auto"/>
        </w:rPr>
        <w:t>a fixed interest rate of % which shall remain the same during the Term;</w:t>
      </w:r>
    </w:p>
    <w:p>
      <w:pPr>
        <w:spacing w:after="0" w:line="221" w:lineRule="exact"/>
        <w:rPr>
          <w:rFonts w:ascii="Arial" w:cs="Arial" w:eastAsia="Arial" w:hAnsi="Arial"/>
          <w:sz w:val="18"/>
          <w:szCs w:val="18"/>
          <w:color w:val="auto"/>
        </w:rPr>
      </w:pPr>
    </w:p>
    <w:p>
      <w:pPr>
        <w:ind w:left="1140" w:hanging="322"/>
        <w:spacing w:after="0" w:line="282" w:lineRule="auto"/>
        <w:tabs>
          <w:tab w:leader="none" w:pos="1140" w:val="left"/>
        </w:tabs>
        <w:numPr>
          <w:ilvl w:val="1"/>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[See Schedule A] </w:t>
      </w:r>
      <w:r>
        <w:rPr>
          <w:rFonts w:ascii="Arial" w:cs="Arial" w:eastAsia="Arial" w:hAnsi="Arial"/>
          <w:sz w:val="18"/>
          <w:szCs w:val="18"/>
          <w:color w:val="auto"/>
        </w:rPr>
        <w:t>on the date when interest commences to accrue (the “</w:t>
      </w:r>
      <w:r>
        <w:rPr>
          <w:rFonts w:ascii="Arial" w:cs="Arial" w:eastAsia="Arial" w:hAnsi="Arial"/>
          <w:sz w:val="18"/>
          <w:szCs w:val="18"/>
          <w:b w:val="1"/>
          <w:bCs w:val="1"/>
          <w:color w:val="auto"/>
        </w:rPr>
        <w:t>Interest Commencement Date</w:t>
      </w:r>
      <w:r>
        <w:rPr>
          <w:rFonts w:ascii="Arial" w:cs="Arial" w:eastAsia="Arial" w:hAnsi="Arial"/>
          <w:sz w:val="18"/>
          <w:szCs w:val="18"/>
          <w:color w:val="auto"/>
        </w:rPr>
        <w:t>”). Such interest rate shall remain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during the Term;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3921760</wp:posOffset>
            </wp:positionH>
            <wp:positionV relativeFrom="paragraph">
              <wp:posOffset>-3821430</wp:posOffset>
            </wp:positionV>
            <wp:extent cx="2857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-2174875</wp:posOffset>
            </wp:positionV>
            <wp:extent cx="285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58" w:name="page59"/>
    <w:bookmarkEnd w:id="58"/>
    <w:p>
      <w:pPr>
        <w:jc w:val="both"/>
        <w:ind w:left="800" w:hanging="322"/>
        <w:spacing w:after="0" w:line="255" w:lineRule="auto"/>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floating interest rate equal to __ (100% a floating percentage of __ %) (the “</w:t>
      </w:r>
      <w:r>
        <w:rPr>
          <w:rFonts w:ascii="Arial" w:cs="Arial" w:eastAsia="Arial" w:hAnsi="Arial"/>
          <w:sz w:val="18"/>
          <w:szCs w:val="18"/>
          <w:b w:val="1"/>
          <w:bCs w:val="1"/>
          <w:color w:val="auto"/>
        </w:rPr>
        <w:t>Floating Percentage</w:t>
      </w:r>
      <w:r>
        <w:rPr>
          <w:rFonts w:ascii="Arial" w:cs="Arial" w:eastAsia="Arial" w:hAnsi="Arial"/>
          <w:sz w:val="18"/>
          <w:szCs w:val="18"/>
          <w:color w:val="auto"/>
        </w:rPr>
        <w:t>”) of the Base Rate (as defined below) on the date when interest commences to accrue (the “</w:t>
      </w:r>
      <w:r>
        <w:rPr>
          <w:rFonts w:ascii="Arial" w:cs="Arial" w:eastAsia="Arial" w:hAnsi="Arial"/>
          <w:sz w:val="18"/>
          <w:szCs w:val="18"/>
          <w:b w:val="1"/>
          <w:bCs w:val="1"/>
          <w:color w:val="auto"/>
        </w:rPr>
        <w:t>Interest Commencement Date</w:t>
      </w:r>
      <w:r>
        <w:rPr>
          <w:rFonts w:ascii="Arial" w:cs="Arial" w:eastAsia="Arial" w:hAnsi="Arial"/>
          <w:sz w:val="18"/>
          <w:szCs w:val="18"/>
          <w:color w:val="auto"/>
        </w:rPr>
        <w:t>”). The Loan Rate shall, during the period between the Interest Commencement Date and the date when all the principal amount and interest accrued thereon under the Contract have been fully repaid, be adjusted once every ___ months in accordance with the Base Rate on the interest rate adjustment date and the Floating Percentage. The interest rate adjustment date shall be a date corresponding to the Interest Commencement Date in the month when such interest is adjusted. If there is no such a date corresponding to the Interest Commencement Date in such month, the adjustment date for the interest rate shall be the last day of such month.</w:t>
      </w:r>
    </w:p>
    <w:p>
      <w:pPr>
        <w:spacing w:after="0" w:line="19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Default Interest Rate</w:t>
      </w:r>
    </w:p>
    <w:p>
      <w:pPr>
        <w:spacing w:after="0" w:line="221" w:lineRule="exact"/>
        <w:rPr>
          <w:sz w:val="20"/>
          <w:szCs w:val="20"/>
          <w:color w:val="auto"/>
        </w:rPr>
      </w:pPr>
    </w:p>
    <w:p>
      <w:pPr>
        <w:jc w:val="both"/>
        <w:ind w:left="800" w:hanging="322"/>
        <w:spacing w:after="0" w:line="289" w:lineRule="auto"/>
        <w:tabs>
          <w:tab w:leader="none" w:pos="8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If Party A does not use the Loan hereunder for purposes set forth herein (“</w:t>
      </w:r>
      <w:r>
        <w:rPr>
          <w:rFonts w:ascii="Arial" w:cs="Arial" w:eastAsia="Arial" w:hAnsi="Arial"/>
          <w:sz w:val="17"/>
          <w:szCs w:val="17"/>
          <w:b w:val="1"/>
          <w:bCs w:val="1"/>
          <w:color w:val="auto"/>
        </w:rPr>
        <w:t>Misappropriation</w:t>
      </w:r>
      <w:r>
        <w:rPr>
          <w:rFonts w:ascii="Arial" w:cs="Arial" w:eastAsia="Arial" w:hAnsi="Arial"/>
          <w:sz w:val="17"/>
          <w:szCs w:val="17"/>
          <w:color w:val="auto"/>
        </w:rPr>
        <w:t>”), the default interest rate on such Loan shall be (100% plus 100%) of the Loan Rate. If the Loan Rate is adjusted according to Article 4.1 (3) above, the default interest rate shall be adjusted in accordance with the adjusted Loan Rate and the upward floating percentage set out in this Article 4.2 (1).</w:t>
      </w:r>
    </w:p>
    <w:p>
      <w:pPr>
        <w:spacing w:after="0" w:line="162" w:lineRule="exact"/>
        <w:rPr>
          <w:rFonts w:ascii="Arial" w:cs="Arial" w:eastAsia="Arial" w:hAnsi="Arial"/>
          <w:sz w:val="17"/>
          <w:szCs w:val="17"/>
          <w:color w:val="auto"/>
        </w:rPr>
      </w:pPr>
    </w:p>
    <w:p>
      <w:pPr>
        <w:jc w:val="both"/>
        <w:ind w:left="800" w:hanging="322"/>
        <w:spacing w:after="0" w:line="264" w:lineRule="auto"/>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default interest rate on overdue Loan shall be (100% plus 50 %) of the Loan Rate. If the Loan Rate is adjusted according to Article 4.1 (3) above, such default interest rate shall be adjusted in accordance with the adjusted Loan Rate and the upward floating percentage set out in this Article 4.2 (2).</w:t>
      </w:r>
    </w:p>
    <w:p>
      <w:pPr>
        <w:spacing w:after="0" w:line="181" w:lineRule="exact"/>
        <w:rPr>
          <w:rFonts w:ascii="Arial" w:cs="Arial" w:eastAsia="Arial" w:hAnsi="Arial"/>
          <w:sz w:val="18"/>
          <w:szCs w:val="18"/>
          <w:color w:val="auto"/>
        </w:rPr>
      </w:pPr>
    </w:p>
    <w:p>
      <w:pPr>
        <w:ind w:left="800" w:hanging="322"/>
        <w:spacing w:after="0" w:line="277" w:lineRule="auto"/>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Misappropriation and overdue payment occur concurrently, the default interest shall be calculated and compounded in accordance with the higher of the two default interest rates provided for in Articles 4.2(1) and 4.2(2) herein.</w:t>
      </w:r>
    </w:p>
    <w:p>
      <w:pPr>
        <w:spacing w:after="0" w:line="170" w:lineRule="exact"/>
        <w:rPr>
          <w:sz w:val="20"/>
          <w:szCs w:val="20"/>
          <w:color w:val="auto"/>
        </w:rPr>
      </w:pPr>
    </w:p>
    <w:p>
      <w:pPr>
        <w:ind w:left="400" w:right="20" w:hanging="404"/>
        <w:spacing w:after="0" w:line="277" w:lineRule="auto"/>
        <w:tabs>
          <w:tab w:leader="none" w:pos="380" w:val="left"/>
        </w:tabs>
        <w:rPr>
          <w:sz w:val="20"/>
          <w:szCs w:val="20"/>
          <w:color w:val="auto"/>
        </w:rPr>
      </w:pPr>
      <w:r>
        <w:rPr>
          <w:rFonts w:ascii="Arial" w:cs="Arial" w:eastAsia="Arial" w:hAnsi="Arial"/>
          <w:sz w:val="18"/>
          <w:szCs w:val="18"/>
          <w:color w:val="auto"/>
        </w:rPr>
        <w:t>4.3</w:t>
        <w:tab/>
        <w:t>The Interest Commencement Date provided in this Article 4 refers to the date on which the proceeds of the first advance have been deposited into the loan disbursement account designated in Article 6 (the “</w:t>
      </w:r>
      <w:r>
        <w:rPr>
          <w:rFonts w:ascii="Arial" w:cs="Arial" w:eastAsia="Arial" w:hAnsi="Arial"/>
          <w:sz w:val="18"/>
          <w:szCs w:val="18"/>
          <w:b w:val="1"/>
          <w:bCs w:val="1"/>
          <w:color w:val="auto"/>
        </w:rPr>
        <w:t>Loan Disbursement Account</w:t>
      </w:r>
      <w:r>
        <w:rPr>
          <w:rFonts w:ascii="Arial" w:cs="Arial" w:eastAsia="Arial" w:hAnsi="Arial"/>
          <w:sz w:val="18"/>
          <w:szCs w:val="18"/>
          <w:color w:val="auto"/>
        </w:rPr>
        <w:t>”).</w:t>
      </w:r>
    </w:p>
    <w:p>
      <w:pPr>
        <w:spacing w:after="0" w:line="166" w:lineRule="exact"/>
        <w:rPr>
          <w:sz w:val="20"/>
          <w:szCs w:val="20"/>
          <w:color w:val="auto"/>
        </w:rPr>
      </w:pPr>
    </w:p>
    <w:p>
      <w:pPr>
        <w:jc w:val="both"/>
        <w:ind w:left="400" w:firstLine="2"/>
        <w:spacing w:after="0" w:line="255" w:lineRule="auto"/>
        <w:rPr>
          <w:sz w:val="20"/>
          <w:szCs w:val="20"/>
          <w:color w:val="auto"/>
        </w:rPr>
      </w:pPr>
      <w:r>
        <w:rPr>
          <w:rFonts w:ascii="Arial" w:cs="Arial" w:eastAsia="Arial" w:hAnsi="Arial"/>
          <w:sz w:val="18"/>
          <w:szCs w:val="18"/>
          <w:color w:val="auto"/>
        </w:rPr>
        <w:t>For the first advance of the Loan, the Base Rate refers to the lending interest rate quoted by the People’s Bank of China (the “</w:t>
      </w:r>
      <w:r>
        <w:rPr>
          <w:rFonts w:ascii="Arial" w:cs="Arial" w:eastAsia="Arial" w:hAnsi="Arial"/>
          <w:sz w:val="18"/>
          <w:szCs w:val="18"/>
          <w:b w:val="1"/>
          <w:bCs w:val="1"/>
          <w:color w:val="auto"/>
        </w:rPr>
        <w:t>PBOC</w:t>
      </w:r>
      <w:r>
        <w:rPr>
          <w:rFonts w:ascii="Arial" w:cs="Arial" w:eastAsia="Arial" w:hAnsi="Arial"/>
          <w:sz w:val="18"/>
          <w:szCs w:val="18"/>
          <w:color w:val="auto"/>
        </w:rPr>
        <w:t>”) on the Interest Commencement Date for loans with the same tenor and within the same category. If the lending interest rate on other advances of the Loan is adjusted in accordance with Article 4.1 (3), the Base Rate refers to the lending interest rate quoted by the PBOC on the interest rate adjustment date for loans with the same tenor and within the same category. If the PBOC no longer publishes such lending interest rate, the Base Rate shall mean, unless agreed otherwise between the parties, the lending interest rate with the same tenor and within the same category generally accepted by the banking industry on the interest rate adjustment date or an interest rate commonly used for a loan with the same tenor and within the same category.</w:t>
      </w:r>
    </w:p>
    <w:p>
      <w:pPr>
        <w:spacing w:after="0" w:line="193" w:lineRule="exact"/>
        <w:rPr>
          <w:sz w:val="20"/>
          <w:szCs w:val="20"/>
          <w:color w:val="auto"/>
        </w:rPr>
      </w:pPr>
    </w:p>
    <w:p>
      <w:pPr>
        <w:jc w:val="both"/>
        <w:ind w:left="400" w:hanging="404"/>
        <w:spacing w:after="0" w:line="259" w:lineRule="auto"/>
        <w:tabs>
          <w:tab w:leader="none" w:pos="380" w:val="left"/>
        </w:tabs>
        <w:rPr>
          <w:sz w:val="20"/>
          <w:szCs w:val="20"/>
          <w:color w:val="auto"/>
        </w:rPr>
      </w:pPr>
      <w:r>
        <w:rPr>
          <w:rFonts w:ascii="Arial" w:cs="Arial" w:eastAsia="Arial" w:hAnsi="Arial"/>
          <w:sz w:val="18"/>
          <w:szCs w:val="18"/>
          <w:color w:val="auto"/>
        </w:rPr>
        <w:t>4.4</w:t>
        <w:tab/>
        <w:t>The interest on the Loan shall commence to accrue as of the date when such Loan proceeds have been deposited into the Loan Disbursement Account designated by Party A. Interest on the Loan shall be computed daily with the daily interest rate equal to 1/360 of the annual interest rate. If Party A can not pay interest on the interest settlement date as provided herein, the interest shall be compounded as of the date immediately following the applicable interest settlement date.</w:t>
      </w:r>
    </w:p>
    <w:p>
      <w:pPr>
        <w:spacing w:after="0" w:line="1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5" w:right="239" w:bottom="1440" w:gutter="0" w:footer="0" w:header="0"/>
        </w:sectPr>
      </w:pPr>
    </w:p>
    <w:bookmarkStart w:id="59" w:name="page60"/>
    <w:bookmarkEnd w:id="59"/>
    <w:p>
      <w:pPr>
        <w:ind w:left="340"/>
        <w:spacing w:after="0"/>
        <w:tabs>
          <w:tab w:leader="none" w:pos="7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Interest Settlement</w:t>
      </w:r>
    </w:p>
    <w:p>
      <w:pPr>
        <w:spacing w:after="0" w:line="225" w:lineRule="exact"/>
        <w:rPr>
          <w:sz w:val="20"/>
          <w:szCs w:val="20"/>
          <w:color w:val="auto"/>
        </w:rPr>
      </w:pPr>
    </w:p>
    <w:p>
      <w:pPr>
        <w:jc w:val="both"/>
        <w:ind w:left="1140" w:hanging="322"/>
        <w:spacing w:after="0" w:line="297" w:lineRule="auto"/>
        <w:tabs>
          <w:tab w:leader="none" w:pos="11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For a loan subject to a fixed interest rate, the interest accrued thereon shall be calculated in accordance with the agreed fixed interest rate. For a loan subject to a floating interest rate, the interest accrued thereon shall be calculated in accordance with the interest rate determined for each interest rate floating period. If the interest rate has been adjusted more than once during a single interest settlement period, the interest during each interest rate floating period shall be calculated first and the total interest accrued during such interest settlement period shall be the aggregate amount of all the interest accrued during each interest rate floating period within such interest settlement period.</w:t>
      </w:r>
    </w:p>
    <w:p>
      <w:pPr>
        <w:spacing w:after="0" w:line="158" w:lineRule="exact"/>
        <w:rPr>
          <w:rFonts w:ascii="Arial" w:cs="Arial" w:eastAsia="Arial" w:hAnsi="Arial"/>
          <w:sz w:val="16"/>
          <w:szCs w:val="16"/>
          <w:color w:val="auto"/>
        </w:rPr>
      </w:pPr>
    </w:p>
    <w:p>
      <w:pPr>
        <w:ind w:left="1140" w:hanging="322"/>
        <w:spacing w:after="0"/>
        <w:tabs>
          <w:tab w:leader="none" w:pos="1140" w:val="left"/>
        </w:tabs>
        <w:numPr>
          <w:ilvl w:val="1"/>
          <w:numId w:val="69"/>
        </w:numPr>
        <w:rPr>
          <w:rFonts w:ascii="Arial" w:cs="Arial" w:eastAsia="Arial" w:hAnsi="Arial"/>
          <w:sz w:val="18"/>
          <w:szCs w:val="18"/>
          <w:color w:val="auto"/>
        </w:rPr>
      </w:pPr>
      <w:r>
        <w:rPr>
          <w:rFonts w:ascii="Arial" w:cs="Arial" w:eastAsia="Arial" w:hAnsi="Arial"/>
          <w:sz w:val="18"/>
          <w:szCs w:val="18"/>
          <w:color w:val="auto"/>
        </w:rPr>
        <w:t xml:space="preserve">The interest accrued on the Loan hereunder shall be settled in accordance with </w:t>
      </w:r>
      <w:r>
        <w:rPr>
          <w:rFonts w:ascii="Arial" w:cs="Arial" w:eastAsia="Arial" w:hAnsi="Arial"/>
          <w:sz w:val="18"/>
          <w:szCs w:val="18"/>
          <w:u w:val="single" w:color="auto"/>
          <w:color w:val="auto"/>
        </w:rPr>
        <w:t>(i)</w:t>
      </w:r>
      <w:r>
        <w:rPr>
          <w:rFonts w:ascii="Arial" w:cs="Arial" w:eastAsia="Arial" w:hAnsi="Arial"/>
          <w:sz w:val="18"/>
          <w:szCs w:val="18"/>
          <w:color w:val="auto"/>
        </w:rPr>
        <w:t xml:space="preserve"> of the following:</w:t>
      </w:r>
    </w:p>
    <w:p>
      <w:pPr>
        <w:spacing w:after="0" w:line="23" w:lineRule="exact"/>
        <w:rPr>
          <w:rFonts w:ascii="Arial" w:cs="Arial" w:eastAsia="Arial" w:hAnsi="Arial"/>
          <w:sz w:val="18"/>
          <w:szCs w:val="18"/>
          <w:color w:val="auto"/>
        </w:rPr>
      </w:pPr>
    </w:p>
    <w:p>
      <w:pPr>
        <w:ind w:left="1700" w:hanging="409"/>
        <w:spacing w:after="0" w:line="220" w:lineRule="auto"/>
        <w:tabs>
          <w:tab w:leader="none" w:pos="1700" w:val="left"/>
        </w:tabs>
        <w:numPr>
          <w:ilvl w:val="2"/>
          <w:numId w:val="69"/>
        </w:numPr>
        <w:rPr>
          <w:rFonts w:ascii="Arial" w:cs="Arial" w:eastAsia="Arial" w:hAnsi="Arial"/>
          <w:sz w:val="36"/>
          <w:szCs w:val="36"/>
          <w:color w:val="auto"/>
          <w:vertAlign w:val="superscript"/>
        </w:rPr>
      </w:pPr>
      <w:r>
        <w:rPr>
          <w:rFonts w:ascii="Arial" w:cs="Arial" w:eastAsia="Arial" w:hAnsi="Arial"/>
          <w:sz w:val="18"/>
          <w:szCs w:val="18"/>
          <w:color w:val="auto"/>
        </w:rPr>
        <w:t>on a monthly basis and the interest settlement date shall be the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each month;</w:t>
      </w:r>
    </w:p>
    <w:p>
      <w:pPr>
        <w:spacing w:after="0" w:line="77" w:lineRule="exact"/>
        <w:rPr>
          <w:rFonts w:ascii="Arial" w:cs="Arial" w:eastAsia="Arial" w:hAnsi="Arial"/>
          <w:sz w:val="36"/>
          <w:szCs w:val="36"/>
          <w:color w:val="auto"/>
          <w:vertAlign w:val="superscript"/>
        </w:rPr>
      </w:pPr>
    </w:p>
    <w:p>
      <w:pPr>
        <w:ind w:left="1700" w:hanging="395"/>
        <w:spacing w:after="0" w:line="229" w:lineRule="auto"/>
        <w:tabs>
          <w:tab w:leader="none" w:pos="1700" w:val="left"/>
        </w:tabs>
        <w:numPr>
          <w:ilvl w:val="3"/>
          <w:numId w:val="69"/>
        </w:numPr>
        <w:rPr>
          <w:rFonts w:ascii="Arial" w:cs="Arial" w:eastAsia="Arial" w:hAnsi="Arial"/>
          <w:sz w:val="36"/>
          <w:szCs w:val="36"/>
          <w:color w:val="auto"/>
          <w:vertAlign w:val="superscript"/>
        </w:rPr>
      </w:pPr>
      <w:r>
        <w:rPr>
          <w:rFonts w:ascii="Arial" w:cs="Arial" w:eastAsia="Arial" w:hAnsi="Arial"/>
          <w:sz w:val="18"/>
          <w:szCs w:val="18"/>
          <w:color w:val="auto"/>
        </w:rPr>
        <w:t>on a quarterly basis and the interest settlement date shall be the 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the last month of the relevant quarter;</w:t>
      </w:r>
    </w:p>
    <w:p>
      <w:pPr>
        <w:spacing w:after="0" w:line="79" w:lineRule="exact"/>
        <w:rPr>
          <w:rFonts w:ascii="Arial" w:cs="Arial" w:eastAsia="Arial" w:hAnsi="Arial"/>
          <w:sz w:val="36"/>
          <w:szCs w:val="36"/>
          <w:color w:val="auto"/>
          <w:vertAlign w:val="superscript"/>
        </w:rPr>
      </w:pPr>
    </w:p>
    <w:p>
      <w:pPr>
        <w:ind w:left="1700" w:hanging="395"/>
        <w:spacing w:after="0"/>
        <w:tabs>
          <w:tab w:leader="none" w:pos="1700" w:val="left"/>
        </w:tabs>
        <w:numPr>
          <w:ilvl w:val="3"/>
          <w:numId w:val="69"/>
        </w:numPr>
        <w:rPr>
          <w:rFonts w:ascii="Arial" w:cs="Arial" w:eastAsia="Arial" w:hAnsi="Arial"/>
          <w:sz w:val="18"/>
          <w:szCs w:val="18"/>
          <w:color w:val="auto"/>
        </w:rPr>
      </w:pPr>
      <w:r>
        <w:rPr>
          <w:rFonts w:ascii="Arial" w:cs="Arial" w:eastAsia="Arial" w:hAnsi="Arial"/>
          <w:sz w:val="18"/>
          <w:szCs w:val="18"/>
          <w:color w:val="auto"/>
        </w:rPr>
        <w:t>other method:_______________________.</w:t>
      </w:r>
    </w:p>
    <w:p>
      <w:pPr>
        <w:spacing w:after="0" w:line="221" w:lineRule="exact"/>
        <w:rPr>
          <w:rFonts w:ascii="Arial" w:cs="Arial" w:eastAsia="Arial" w:hAnsi="Arial"/>
          <w:sz w:val="18"/>
          <w:szCs w:val="18"/>
          <w:color w:val="auto"/>
        </w:rPr>
      </w:pPr>
    </w:p>
    <w:p>
      <w:pPr>
        <w:ind w:left="340" w:hanging="332"/>
        <w:spacing w:after="0"/>
        <w:tabs>
          <w:tab w:leader="none" w:pos="34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ADVANCE AND DRAWDOWN</w:t>
      </w:r>
    </w:p>
    <w:p>
      <w:pPr>
        <w:spacing w:after="0" w:line="12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5.1  Conditions Precedent to Advance</w:t>
      </w:r>
    </w:p>
    <w:p>
      <w:pPr>
        <w:spacing w:after="0" w:line="225"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Unless Party B waives all or part of the following conditions, Party B shall be obligated to advance any amount of the Loan only if all the following conditions continuously remain satisfied:</w:t>
      </w:r>
    </w:p>
    <w:p>
      <w:pPr>
        <w:spacing w:after="0" w:line="170" w:lineRule="exact"/>
        <w:rPr>
          <w:sz w:val="20"/>
          <w:szCs w:val="20"/>
          <w:color w:val="auto"/>
        </w:rPr>
      </w:pPr>
    </w:p>
    <w:p>
      <w:pPr>
        <w:ind w:left="1300" w:hanging="482"/>
        <w:spacing w:after="0"/>
        <w:tabs>
          <w:tab w:leader="none" w:pos="13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Party A has completed all the approval, registration, delivery, insurance and other statutory procedures in relation to the Loan hereunder;</w:t>
      </w:r>
    </w:p>
    <w:p>
      <w:pPr>
        <w:spacing w:after="0" w:line="248" w:lineRule="exact"/>
        <w:rPr>
          <w:rFonts w:ascii="Arial" w:cs="Arial" w:eastAsia="Arial" w:hAnsi="Arial"/>
          <w:sz w:val="16"/>
          <w:szCs w:val="16"/>
          <w:color w:val="auto"/>
        </w:rPr>
      </w:pPr>
    </w:p>
    <w:p>
      <w:pPr>
        <w:ind w:left="1300" w:hanging="48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security has become and remains effective, if a security is established for the Contract;</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Party A has opened the bank accounts for drawdown and debt service purposes as Party B requests;</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Party A has not triggered any event of default hereunder;</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event has occurred that may adversely impact Party B’s rights as a creditor;</w:t>
      </w:r>
    </w:p>
    <w:p>
      <w:pPr>
        <w:spacing w:after="0" w:line="225" w:lineRule="exact"/>
        <w:rPr>
          <w:rFonts w:ascii="Arial" w:cs="Arial" w:eastAsia="Arial" w:hAnsi="Arial"/>
          <w:sz w:val="18"/>
          <w:szCs w:val="18"/>
          <w:color w:val="auto"/>
        </w:rPr>
      </w:pPr>
    </w:p>
    <w:p>
      <w:pPr>
        <w:ind w:left="1300" w:hanging="48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advance to be made by Party B is not prohibited or restricted by any laws, regulations, rules or competent authorities; and</w:t>
      </w:r>
    </w:p>
    <w:p>
      <w:pPr>
        <w:spacing w:after="0" w:line="225" w:lineRule="exact"/>
        <w:rPr>
          <w:rFonts w:ascii="Arial" w:cs="Arial" w:eastAsia="Arial" w:hAnsi="Arial"/>
          <w:sz w:val="18"/>
          <w:szCs w:val="18"/>
          <w:color w:val="auto"/>
        </w:rPr>
      </w:pPr>
    </w:p>
    <w:p>
      <w:pPr>
        <w:ind w:left="1300" w:hanging="482"/>
        <w:spacing w:after="0" w:line="277"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financial indicators of Party A shall, at all time, continue to meet the requirements specified in Schedule 2 Terms relating to Mandatory Financial Indicators;</w:t>
      </w:r>
    </w:p>
    <w:p>
      <w:pPr>
        <w:spacing w:after="0" w:line="170" w:lineRule="exact"/>
        <w:rPr>
          <w:rFonts w:ascii="Arial" w:cs="Arial" w:eastAsia="Arial" w:hAnsi="Arial"/>
          <w:sz w:val="18"/>
          <w:szCs w:val="18"/>
          <w:color w:val="auto"/>
        </w:rPr>
      </w:pPr>
    </w:p>
    <w:p>
      <w:pPr>
        <w:ind w:left="1300" w:hanging="48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Party A has submitted such materials as required in this Contract before any loan drawdown;</w:t>
      </w:r>
    </w:p>
    <w:p>
      <w:pPr>
        <w:spacing w:after="0" w:line="225" w:lineRule="exact"/>
        <w:rPr>
          <w:rFonts w:ascii="Arial" w:cs="Arial" w:eastAsia="Arial" w:hAnsi="Arial"/>
          <w:sz w:val="18"/>
          <w:szCs w:val="18"/>
          <w:color w:val="auto"/>
        </w:rPr>
      </w:pPr>
    </w:p>
    <w:p>
      <w:pPr>
        <w:ind w:left="1300" w:hanging="482"/>
        <w:spacing w:after="0" w:line="277"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materials submitted by Party A are legal, authenticated, complete, accurate, valid and be in accordance with other requirements of Party B;</w:t>
      </w:r>
    </w:p>
    <w:p>
      <w:pPr>
        <w:spacing w:after="0" w:line="170" w:lineRule="exact"/>
        <w:rPr>
          <w:rFonts w:ascii="Arial" w:cs="Arial" w:eastAsia="Arial" w:hAnsi="Arial"/>
          <w:sz w:val="18"/>
          <w:szCs w:val="18"/>
          <w:color w:val="auto"/>
        </w:rPr>
      </w:pPr>
    </w:p>
    <w:p>
      <w:pPr>
        <w:ind w:left="1300" w:hanging="482"/>
        <w:spacing w:after="0"/>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Other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14605</wp:posOffset>
            </wp:positionV>
            <wp:extent cx="64230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160655</wp:posOffset>
            </wp:positionV>
            <wp:extent cx="642302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306705</wp:posOffset>
            </wp:positionV>
            <wp:extent cx="64230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ind w:left="340"/>
        <w:spacing w:after="0"/>
        <w:tabs>
          <w:tab w:leader="none" w:pos="72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Drawdown Schedule</w:t>
      </w:r>
    </w:p>
    <w:p>
      <w:pPr>
        <w:spacing w:after="0" w:line="225"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“Drawdown” referred to in this Contract shall mean disbursements by Party B of the funds to the Loan Disbursement Account in accordance with Party A’s Application and this Contract.</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The drawdown schedule hereunder shall be item </w:t>
      </w:r>
      <w:r>
        <w:rPr>
          <w:rFonts w:ascii="Arial" w:cs="Arial" w:eastAsia="Arial" w:hAnsi="Arial"/>
          <w:sz w:val="18"/>
          <w:szCs w:val="18"/>
          <w:b w:val="1"/>
          <w:bCs w:val="1"/>
          <w:color w:val="auto"/>
        </w:rPr>
        <w:t>[see Schedule A]</w:t>
      </w:r>
      <w:r>
        <w:rPr>
          <w:rFonts w:ascii="Arial" w:cs="Arial" w:eastAsia="Arial" w:hAnsi="Arial"/>
          <w:sz w:val="18"/>
          <w:szCs w:val="18"/>
          <w:color w:val="auto"/>
        </w:rPr>
        <w:t xml:space="preserve"> of the following:</w:t>
      </w:r>
    </w:p>
    <w:p>
      <w:pPr>
        <w:spacing w:after="0" w:line="229" w:lineRule="exact"/>
        <w:rPr>
          <w:sz w:val="20"/>
          <w:szCs w:val="20"/>
          <w:color w:val="auto"/>
        </w:rPr>
      </w:pPr>
    </w:p>
    <w:p>
      <w:pPr>
        <w:ind w:left="1220" w:hanging="402"/>
        <w:spacing w:after="0"/>
        <w:tabs>
          <w:tab w:leader="none" w:pos="12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drawdown schedule shall be as follows:</w:t>
      </w:r>
    </w:p>
    <w:p>
      <w:pPr>
        <w:spacing w:after="0" w:line="225" w:lineRule="exact"/>
        <w:rPr>
          <w:sz w:val="20"/>
          <w:szCs w:val="20"/>
          <w:color w:val="auto"/>
        </w:rPr>
      </w:pPr>
    </w:p>
    <w:p>
      <w:pPr>
        <w:ind w:left="3680"/>
        <w:spacing w:after="0"/>
        <w:tabs>
          <w:tab w:leader="none" w:pos="9200" w:val="left"/>
        </w:tabs>
        <w:rPr>
          <w:sz w:val="20"/>
          <w:szCs w:val="20"/>
          <w:color w:val="auto"/>
        </w:rPr>
      </w:pPr>
      <w:r>
        <w:rPr>
          <w:rFonts w:ascii="Arial" w:cs="Arial" w:eastAsia="Arial" w:hAnsi="Arial"/>
          <w:sz w:val="18"/>
          <w:szCs w:val="18"/>
          <w:color w:val="auto"/>
        </w:rPr>
        <w:t>Drawdown Date (mm/dd/yyyy)</w:t>
      </w:r>
      <w:r>
        <w:rPr>
          <w:sz w:val="20"/>
          <w:szCs w:val="20"/>
          <w:color w:val="auto"/>
        </w:rPr>
        <w:tab/>
      </w:r>
      <w:r>
        <w:rPr>
          <w:rFonts w:ascii="Arial" w:cs="Arial" w:eastAsia="Arial" w:hAnsi="Arial"/>
          <w:sz w:val="16"/>
          <w:szCs w:val="16"/>
          <w:color w:val="auto"/>
        </w:rPr>
        <w:t>Amount</w:t>
      </w:r>
    </w:p>
    <w:p>
      <w:pPr>
        <w:spacing w:after="0" w:line="225"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(i)</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(ii)</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(iii)</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(iv)</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(v)</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(vi)</w:t>
      </w:r>
    </w:p>
    <w:p>
      <w:pPr>
        <w:spacing w:after="0" w:line="225" w:lineRule="exact"/>
        <w:rPr>
          <w:sz w:val="20"/>
          <w:szCs w:val="20"/>
          <w:color w:val="auto"/>
        </w:rPr>
      </w:pPr>
    </w:p>
    <w:p>
      <w:pPr>
        <w:ind w:left="1220" w:hanging="402"/>
        <w:spacing w:after="0"/>
        <w:tabs>
          <w:tab w:leader="none" w:pos="12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drawdown schedule shall be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ind w:left="1060"/>
              <w:spacing w:after="0"/>
              <w:rPr>
                <w:sz w:val="20"/>
                <w:szCs w:val="20"/>
                <w:color w:val="auto"/>
              </w:rPr>
            </w:pPr>
            <w:r>
              <w:rPr>
                <w:rFonts w:ascii="Arial" w:cs="Arial" w:eastAsia="Arial" w:hAnsi="Arial"/>
                <w:sz w:val="18"/>
                <w:szCs w:val="18"/>
                <w:color w:val="auto"/>
              </w:rPr>
              <w:t>(i) from [</w:t>
            </w:r>
          </w:p>
        </w:tc>
        <w:tc>
          <w:tcPr>
            <w:tcW w:w="1380" w:type="dxa"/>
            <w:vAlign w:val="bottom"/>
            <w:gridSpan w:val="3"/>
          </w:tcPr>
          <w:p>
            <w:pPr>
              <w:spacing w:after="0"/>
              <w:rPr>
                <w:sz w:val="20"/>
                <w:szCs w:val="20"/>
                <w:color w:val="auto"/>
              </w:rPr>
            </w:pPr>
            <w:r>
              <w:rPr>
                <w:rFonts w:ascii="Arial" w:cs="Arial" w:eastAsia="Arial" w:hAnsi="Arial"/>
                <w:sz w:val="18"/>
                <w:szCs w:val="18"/>
                <w:color w:val="auto"/>
              </w:rPr>
              <w:t>] to [</w:t>
            </w:r>
          </w:p>
        </w:tc>
        <w:tc>
          <w:tcPr>
            <w:tcW w:w="7280" w:type="dxa"/>
            <w:vAlign w:val="bottom"/>
          </w:tcPr>
          <w:p>
            <w:pPr>
              <w:ind w:left="20"/>
              <w:spacing w:after="0"/>
              <w:rPr>
                <w:sz w:val="20"/>
                <w:szCs w:val="20"/>
                <w:color w:val="auto"/>
              </w:rPr>
            </w:pPr>
            <w:r>
              <w:rPr>
                <w:rFonts w:ascii="Arial" w:cs="Arial" w:eastAsia="Arial" w:hAnsi="Arial"/>
                <w:sz w:val="18"/>
                <w:szCs w:val="18"/>
                <w:color w:val="auto"/>
              </w:rPr>
              <w:t>], Amount__________;</w:t>
            </w:r>
          </w:p>
        </w:tc>
      </w:tr>
      <w:tr>
        <w:trPr>
          <w:trHeight w:val="230"/>
        </w:trPr>
        <w:tc>
          <w:tcPr>
            <w:tcW w:w="2760" w:type="dxa"/>
            <w:vAlign w:val="bottom"/>
          </w:tcPr>
          <w:p>
            <w:pPr>
              <w:ind w:left="1700"/>
              <w:spacing w:after="0"/>
              <w:rPr>
                <w:sz w:val="20"/>
                <w:szCs w:val="20"/>
                <w:color w:val="auto"/>
              </w:rPr>
            </w:pPr>
            <w:r>
              <w:rPr>
                <w:rFonts w:ascii="Arial" w:cs="Arial" w:eastAsia="Arial" w:hAnsi="Arial"/>
                <w:sz w:val="18"/>
                <w:szCs w:val="18"/>
                <w:color w:val="auto"/>
                <w:w w:val="96"/>
              </w:rPr>
              <w:t>(mm/dd/yyyy)</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(mm/dd/yyyy)</w:t>
            </w:r>
          </w:p>
        </w:tc>
        <w:tc>
          <w:tcPr>
            <w:tcW w:w="7280" w:type="dxa"/>
            <w:vAlign w:val="bottom"/>
          </w:tcPr>
          <w:p>
            <w:pPr>
              <w:spacing w:after="0"/>
              <w:rPr>
                <w:sz w:val="20"/>
                <w:szCs w:val="20"/>
                <w:color w:val="auto"/>
              </w:rPr>
            </w:pPr>
          </w:p>
        </w:tc>
      </w:tr>
      <w:tr>
        <w:trPr>
          <w:trHeight w:val="418"/>
        </w:trPr>
        <w:tc>
          <w:tcPr>
            <w:tcW w:w="2760" w:type="dxa"/>
            <w:vAlign w:val="bottom"/>
          </w:tcPr>
          <w:p>
            <w:pPr>
              <w:ind w:left="1060"/>
              <w:spacing w:after="0"/>
              <w:rPr>
                <w:sz w:val="20"/>
                <w:szCs w:val="20"/>
                <w:color w:val="auto"/>
              </w:rPr>
            </w:pPr>
            <w:r>
              <w:rPr>
                <w:rFonts w:ascii="Arial" w:cs="Arial" w:eastAsia="Arial" w:hAnsi="Arial"/>
                <w:sz w:val="18"/>
                <w:szCs w:val="18"/>
                <w:color w:val="auto"/>
              </w:rPr>
              <w:t>(ii) from [</w:t>
            </w:r>
          </w:p>
        </w:tc>
        <w:tc>
          <w:tcPr>
            <w:tcW w:w="4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 to [</w:t>
            </w:r>
          </w:p>
        </w:tc>
        <w:tc>
          <w:tcPr>
            <w:tcW w:w="7280" w:type="dxa"/>
            <w:vAlign w:val="bottom"/>
          </w:tcPr>
          <w:p>
            <w:pPr>
              <w:ind w:left="60"/>
              <w:spacing w:after="0"/>
              <w:rPr>
                <w:sz w:val="20"/>
                <w:szCs w:val="20"/>
                <w:color w:val="auto"/>
              </w:rPr>
            </w:pPr>
            <w:r>
              <w:rPr>
                <w:rFonts w:ascii="Arial" w:cs="Arial" w:eastAsia="Arial" w:hAnsi="Arial"/>
                <w:sz w:val="18"/>
                <w:szCs w:val="18"/>
                <w:color w:val="auto"/>
              </w:rPr>
              <w:t>], Amount__________;</w:t>
            </w:r>
          </w:p>
        </w:tc>
      </w:tr>
      <w:tr>
        <w:trPr>
          <w:trHeight w:val="230"/>
        </w:trPr>
        <w:tc>
          <w:tcPr>
            <w:tcW w:w="2760" w:type="dxa"/>
            <w:vAlign w:val="bottom"/>
          </w:tcPr>
          <w:p>
            <w:pPr>
              <w:ind w:left="1700"/>
              <w:spacing w:after="0"/>
              <w:rPr>
                <w:sz w:val="20"/>
                <w:szCs w:val="20"/>
                <w:color w:val="auto"/>
              </w:rPr>
            </w:pPr>
            <w:r>
              <w:rPr>
                <w:rFonts w:ascii="Arial" w:cs="Arial" w:eastAsia="Arial" w:hAnsi="Arial"/>
                <w:sz w:val="18"/>
                <w:szCs w:val="18"/>
                <w:color w:val="auto"/>
                <w:w w:val="96"/>
              </w:rPr>
              <w:t>(mm/dd/yyyy)</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tcPr>
          <w:p>
            <w:pPr>
              <w:ind w:left="160"/>
              <w:spacing w:after="0"/>
              <w:rPr>
                <w:sz w:val="20"/>
                <w:szCs w:val="20"/>
                <w:color w:val="auto"/>
              </w:rPr>
            </w:pPr>
            <w:r>
              <w:rPr>
                <w:rFonts w:ascii="Arial" w:cs="Arial" w:eastAsia="Arial" w:hAnsi="Arial"/>
                <w:sz w:val="18"/>
                <w:szCs w:val="18"/>
                <w:color w:val="auto"/>
              </w:rPr>
              <w:t>(mm/dd/yyyy)</w:t>
            </w:r>
          </w:p>
        </w:tc>
        <w:tc>
          <w:tcPr>
            <w:tcW w:w="7280" w:type="dxa"/>
            <w:vAlign w:val="bottom"/>
          </w:tcPr>
          <w:p>
            <w:pPr>
              <w:spacing w:after="0"/>
              <w:rPr>
                <w:sz w:val="20"/>
                <w:szCs w:val="20"/>
                <w:color w:val="auto"/>
              </w:rPr>
            </w:pPr>
          </w:p>
        </w:tc>
      </w:tr>
      <w:tr>
        <w:trPr>
          <w:trHeight w:val="418"/>
        </w:trPr>
        <w:tc>
          <w:tcPr>
            <w:tcW w:w="2760" w:type="dxa"/>
            <w:vAlign w:val="bottom"/>
          </w:tcPr>
          <w:p>
            <w:pPr>
              <w:ind w:left="1060"/>
              <w:spacing w:after="0"/>
              <w:rPr>
                <w:sz w:val="20"/>
                <w:szCs w:val="20"/>
                <w:color w:val="auto"/>
              </w:rPr>
            </w:pPr>
            <w:r>
              <w:rPr>
                <w:rFonts w:ascii="Arial" w:cs="Arial" w:eastAsia="Arial" w:hAnsi="Arial"/>
                <w:sz w:val="18"/>
                <w:szCs w:val="18"/>
                <w:color w:val="auto"/>
              </w:rPr>
              <w:t>(iii) from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 to [</w:t>
            </w:r>
          </w:p>
        </w:tc>
        <w:tc>
          <w:tcPr>
            <w:tcW w:w="7280" w:type="dxa"/>
            <w:vAlign w:val="bottom"/>
          </w:tcPr>
          <w:p>
            <w:pPr>
              <w:ind w:left="120"/>
              <w:spacing w:after="0"/>
              <w:rPr>
                <w:sz w:val="20"/>
                <w:szCs w:val="20"/>
                <w:color w:val="auto"/>
              </w:rPr>
            </w:pPr>
            <w:r>
              <w:rPr>
                <w:rFonts w:ascii="Arial" w:cs="Arial" w:eastAsia="Arial" w:hAnsi="Arial"/>
                <w:sz w:val="18"/>
                <w:szCs w:val="18"/>
                <w:color w:val="auto"/>
              </w:rPr>
              <w:t>], Amount__________;</w:t>
            </w:r>
          </w:p>
        </w:tc>
      </w:tr>
      <w:tr>
        <w:trPr>
          <w:trHeight w:val="230"/>
        </w:trPr>
        <w:tc>
          <w:tcPr>
            <w:tcW w:w="2800" w:type="dxa"/>
            <w:vAlign w:val="bottom"/>
            <w:gridSpan w:val="2"/>
          </w:tcPr>
          <w:p>
            <w:pPr>
              <w:ind w:left="1740"/>
              <w:spacing w:after="0"/>
              <w:rPr>
                <w:sz w:val="20"/>
                <w:szCs w:val="20"/>
                <w:color w:val="auto"/>
              </w:rPr>
            </w:pPr>
            <w:r>
              <w:rPr>
                <w:rFonts w:ascii="Arial" w:cs="Arial" w:eastAsia="Arial" w:hAnsi="Arial"/>
                <w:sz w:val="18"/>
                <w:szCs w:val="18"/>
                <w:color w:val="auto"/>
                <w:w w:val="96"/>
              </w:rPr>
              <w:t>(mm/dd/yyyy)</w:t>
            </w:r>
          </w:p>
        </w:tc>
        <w:tc>
          <w:tcPr>
            <w:tcW w:w="40" w:type="dxa"/>
            <w:vAlign w:val="bottom"/>
          </w:tcPr>
          <w:p>
            <w:pPr>
              <w:spacing w:after="0"/>
              <w:rPr>
                <w:sz w:val="20"/>
                <w:szCs w:val="20"/>
                <w:color w:val="auto"/>
              </w:rPr>
            </w:pPr>
          </w:p>
        </w:tc>
        <w:tc>
          <w:tcPr>
            <w:tcW w:w="1300" w:type="dxa"/>
            <w:vAlign w:val="bottom"/>
          </w:tcPr>
          <w:p>
            <w:pPr>
              <w:ind w:left="200"/>
              <w:spacing w:after="0"/>
              <w:rPr>
                <w:sz w:val="20"/>
                <w:szCs w:val="20"/>
                <w:color w:val="auto"/>
              </w:rPr>
            </w:pPr>
            <w:r>
              <w:rPr>
                <w:rFonts w:ascii="Arial" w:cs="Arial" w:eastAsia="Arial" w:hAnsi="Arial"/>
                <w:sz w:val="18"/>
                <w:szCs w:val="18"/>
                <w:color w:val="auto"/>
                <w:w w:val="99"/>
              </w:rPr>
              <w:t>(mm/dd/yyyy)</w:t>
            </w:r>
          </w:p>
        </w:tc>
        <w:tc>
          <w:tcPr>
            <w:tcW w:w="7280" w:type="dxa"/>
            <w:vAlign w:val="bottom"/>
          </w:tcPr>
          <w:p>
            <w:pPr>
              <w:spacing w:after="0"/>
              <w:rPr>
                <w:sz w:val="20"/>
                <w:szCs w:val="20"/>
                <w:color w:val="auto"/>
              </w:rPr>
            </w:pPr>
          </w:p>
        </w:tc>
      </w:tr>
      <w:tr>
        <w:trPr>
          <w:trHeight w:val="418"/>
        </w:trPr>
        <w:tc>
          <w:tcPr>
            <w:tcW w:w="2760" w:type="dxa"/>
            <w:vAlign w:val="bottom"/>
          </w:tcPr>
          <w:p>
            <w:pPr>
              <w:ind w:left="1060"/>
              <w:spacing w:after="0"/>
              <w:rPr>
                <w:sz w:val="20"/>
                <w:szCs w:val="20"/>
                <w:color w:val="auto"/>
              </w:rPr>
            </w:pPr>
            <w:r>
              <w:rPr>
                <w:rFonts w:ascii="Arial" w:cs="Arial" w:eastAsia="Arial" w:hAnsi="Arial"/>
                <w:sz w:val="18"/>
                <w:szCs w:val="18"/>
                <w:color w:val="auto"/>
              </w:rPr>
              <w:t>(iv) from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 to [</w:t>
            </w:r>
          </w:p>
        </w:tc>
        <w:tc>
          <w:tcPr>
            <w:tcW w:w="7280" w:type="dxa"/>
            <w:vAlign w:val="bottom"/>
          </w:tcPr>
          <w:p>
            <w:pPr>
              <w:ind w:left="100"/>
              <w:spacing w:after="0"/>
              <w:rPr>
                <w:sz w:val="20"/>
                <w:szCs w:val="20"/>
                <w:color w:val="auto"/>
              </w:rPr>
            </w:pPr>
            <w:r>
              <w:rPr>
                <w:rFonts w:ascii="Arial" w:cs="Arial" w:eastAsia="Arial" w:hAnsi="Arial"/>
                <w:sz w:val="18"/>
                <w:szCs w:val="18"/>
                <w:color w:val="auto"/>
              </w:rPr>
              <w:t>], Amount__________;</w:t>
            </w:r>
          </w:p>
        </w:tc>
      </w:tr>
      <w:tr>
        <w:trPr>
          <w:trHeight w:val="230"/>
        </w:trPr>
        <w:tc>
          <w:tcPr>
            <w:tcW w:w="2840" w:type="dxa"/>
            <w:vAlign w:val="bottom"/>
            <w:gridSpan w:val="3"/>
          </w:tcPr>
          <w:p>
            <w:pPr>
              <w:ind w:left="1780"/>
              <w:spacing w:after="0"/>
              <w:rPr>
                <w:sz w:val="20"/>
                <w:szCs w:val="20"/>
                <w:color w:val="auto"/>
              </w:rPr>
            </w:pPr>
            <w:r>
              <w:rPr>
                <w:rFonts w:ascii="Arial" w:cs="Arial" w:eastAsia="Arial" w:hAnsi="Arial"/>
                <w:sz w:val="18"/>
                <w:szCs w:val="18"/>
                <w:color w:val="auto"/>
                <w:w w:val="96"/>
              </w:rPr>
              <w:t>(mm/dd/yyyy)</w:t>
            </w:r>
          </w:p>
        </w:tc>
        <w:tc>
          <w:tcPr>
            <w:tcW w:w="1300" w:type="dxa"/>
            <w:vAlign w:val="bottom"/>
          </w:tcPr>
          <w:p>
            <w:pPr>
              <w:ind w:left="260"/>
              <w:spacing w:after="0"/>
              <w:rPr>
                <w:sz w:val="20"/>
                <w:szCs w:val="20"/>
                <w:color w:val="auto"/>
              </w:rPr>
            </w:pPr>
            <w:r>
              <w:rPr>
                <w:rFonts w:ascii="Arial" w:cs="Arial" w:eastAsia="Arial" w:hAnsi="Arial"/>
                <w:sz w:val="18"/>
                <w:szCs w:val="18"/>
                <w:color w:val="auto"/>
                <w:w w:val="94"/>
              </w:rPr>
              <w:t>(mm/dd/yyyy)</w:t>
            </w:r>
          </w:p>
        </w:tc>
        <w:tc>
          <w:tcPr>
            <w:tcW w:w="7280" w:type="dxa"/>
            <w:vAlign w:val="bottom"/>
          </w:tcPr>
          <w:p>
            <w:pPr>
              <w:spacing w:after="0"/>
              <w:rPr>
                <w:sz w:val="20"/>
                <w:szCs w:val="20"/>
                <w:color w:val="auto"/>
              </w:rPr>
            </w:pPr>
          </w:p>
        </w:tc>
      </w:tr>
      <w:tr>
        <w:trPr>
          <w:trHeight w:val="418"/>
        </w:trPr>
        <w:tc>
          <w:tcPr>
            <w:tcW w:w="2760" w:type="dxa"/>
            <w:vAlign w:val="bottom"/>
          </w:tcPr>
          <w:p>
            <w:pPr>
              <w:ind w:left="1060"/>
              <w:spacing w:after="0"/>
              <w:rPr>
                <w:sz w:val="20"/>
                <w:szCs w:val="20"/>
                <w:color w:val="auto"/>
              </w:rPr>
            </w:pPr>
            <w:r>
              <w:rPr>
                <w:rFonts w:ascii="Arial" w:cs="Arial" w:eastAsia="Arial" w:hAnsi="Arial"/>
                <w:sz w:val="18"/>
                <w:szCs w:val="18"/>
                <w:color w:val="auto"/>
              </w:rPr>
              <w:t>(v) from [</w:t>
            </w:r>
          </w:p>
        </w:tc>
        <w:tc>
          <w:tcPr>
            <w:tcW w:w="4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8"/>
                <w:szCs w:val="18"/>
                <w:color w:val="auto"/>
              </w:rPr>
              <w:t>] to [</w:t>
            </w:r>
          </w:p>
        </w:tc>
        <w:tc>
          <w:tcPr>
            <w:tcW w:w="7280" w:type="dxa"/>
            <w:vAlign w:val="bottom"/>
          </w:tcPr>
          <w:p>
            <w:pPr>
              <w:ind w:left="60"/>
              <w:spacing w:after="0"/>
              <w:rPr>
                <w:sz w:val="20"/>
                <w:szCs w:val="20"/>
                <w:color w:val="auto"/>
              </w:rPr>
            </w:pPr>
            <w:r>
              <w:rPr>
                <w:rFonts w:ascii="Arial" w:cs="Arial" w:eastAsia="Arial" w:hAnsi="Arial"/>
                <w:sz w:val="18"/>
                <w:szCs w:val="18"/>
                <w:color w:val="auto"/>
              </w:rPr>
              <w:t>], Amount__________;</w:t>
            </w:r>
          </w:p>
        </w:tc>
      </w:tr>
      <w:tr>
        <w:trPr>
          <w:trHeight w:val="230"/>
        </w:trPr>
        <w:tc>
          <w:tcPr>
            <w:tcW w:w="2800" w:type="dxa"/>
            <w:vAlign w:val="bottom"/>
            <w:gridSpan w:val="2"/>
          </w:tcPr>
          <w:p>
            <w:pPr>
              <w:ind w:left="1740"/>
              <w:spacing w:after="0"/>
              <w:rPr>
                <w:sz w:val="20"/>
                <w:szCs w:val="20"/>
                <w:color w:val="auto"/>
              </w:rPr>
            </w:pPr>
            <w:r>
              <w:rPr>
                <w:rFonts w:ascii="Arial" w:cs="Arial" w:eastAsia="Arial" w:hAnsi="Arial"/>
                <w:sz w:val="18"/>
                <w:szCs w:val="18"/>
                <w:color w:val="auto"/>
                <w:w w:val="96"/>
              </w:rPr>
              <w:t>(mm/dd/yyyy)</w:t>
            </w:r>
          </w:p>
        </w:tc>
        <w:tc>
          <w:tcPr>
            <w:tcW w:w="40" w:type="dxa"/>
            <w:vAlign w:val="bottom"/>
          </w:tcPr>
          <w:p>
            <w:pPr>
              <w:spacing w:after="0"/>
              <w:rPr>
                <w:sz w:val="20"/>
                <w:szCs w:val="20"/>
                <w:color w:val="auto"/>
              </w:rPr>
            </w:pPr>
          </w:p>
        </w:tc>
        <w:tc>
          <w:tcPr>
            <w:tcW w:w="1300" w:type="dxa"/>
            <w:vAlign w:val="bottom"/>
          </w:tcPr>
          <w:p>
            <w:pPr>
              <w:ind w:left="200"/>
              <w:spacing w:after="0"/>
              <w:rPr>
                <w:sz w:val="20"/>
                <w:szCs w:val="20"/>
                <w:color w:val="auto"/>
              </w:rPr>
            </w:pPr>
            <w:r>
              <w:rPr>
                <w:rFonts w:ascii="Arial" w:cs="Arial" w:eastAsia="Arial" w:hAnsi="Arial"/>
                <w:sz w:val="18"/>
                <w:szCs w:val="18"/>
                <w:color w:val="auto"/>
                <w:w w:val="99"/>
              </w:rPr>
              <w:t>(mm/dd/yyyy)</w:t>
            </w:r>
          </w:p>
        </w:tc>
        <w:tc>
          <w:tcPr>
            <w:tcW w:w="7280" w:type="dxa"/>
            <w:vAlign w:val="bottom"/>
          </w:tcPr>
          <w:p>
            <w:pPr>
              <w:spacing w:after="0"/>
              <w:rPr>
                <w:sz w:val="20"/>
                <w:szCs w:val="20"/>
                <w:color w:val="auto"/>
              </w:rPr>
            </w:pPr>
          </w:p>
        </w:tc>
      </w:tr>
      <w:tr>
        <w:trPr>
          <w:trHeight w:val="418"/>
        </w:trPr>
        <w:tc>
          <w:tcPr>
            <w:tcW w:w="2760" w:type="dxa"/>
            <w:vAlign w:val="bottom"/>
          </w:tcPr>
          <w:p>
            <w:pPr>
              <w:ind w:left="1060"/>
              <w:spacing w:after="0"/>
              <w:rPr>
                <w:sz w:val="20"/>
                <w:szCs w:val="20"/>
                <w:color w:val="auto"/>
              </w:rPr>
            </w:pPr>
            <w:r>
              <w:rPr>
                <w:rFonts w:ascii="Arial" w:cs="Arial" w:eastAsia="Arial" w:hAnsi="Arial"/>
                <w:sz w:val="18"/>
                <w:szCs w:val="18"/>
                <w:color w:val="auto"/>
              </w:rPr>
              <w:t>(vi) from [</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8"/>
                <w:szCs w:val="18"/>
                <w:color w:val="auto"/>
              </w:rPr>
              <w:t>] to [</w:t>
            </w:r>
          </w:p>
        </w:tc>
        <w:tc>
          <w:tcPr>
            <w:tcW w:w="7280" w:type="dxa"/>
            <w:vAlign w:val="bottom"/>
          </w:tcPr>
          <w:p>
            <w:pPr>
              <w:ind w:left="100"/>
              <w:spacing w:after="0"/>
              <w:rPr>
                <w:sz w:val="20"/>
                <w:szCs w:val="20"/>
                <w:color w:val="auto"/>
              </w:rPr>
            </w:pPr>
            <w:r>
              <w:rPr>
                <w:rFonts w:ascii="Arial" w:cs="Arial" w:eastAsia="Arial" w:hAnsi="Arial"/>
                <w:sz w:val="18"/>
                <w:szCs w:val="18"/>
                <w:color w:val="auto"/>
              </w:rPr>
              <w:t>], Amount__________;</w:t>
            </w:r>
          </w:p>
        </w:tc>
      </w:tr>
      <w:tr>
        <w:trPr>
          <w:trHeight w:val="230"/>
        </w:trPr>
        <w:tc>
          <w:tcPr>
            <w:tcW w:w="2840" w:type="dxa"/>
            <w:vAlign w:val="bottom"/>
            <w:gridSpan w:val="3"/>
          </w:tcPr>
          <w:p>
            <w:pPr>
              <w:ind w:left="1780"/>
              <w:spacing w:after="0"/>
              <w:rPr>
                <w:sz w:val="20"/>
                <w:szCs w:val="20"/>
                <w:color w:val="auto"/>
              </w:rPr>
            </w:pPr>
            <w:r>
              <w:rPr>
                <w:rFonts w:ascii="Arial" w:cs="Arial" w:eastAsia="Arial" w:hAnsi="Arial"/>
                <w:sz w:val="18"/>
                <w:szCs w:val="18"/>
                <w:color w:val="auto"/>
                <w:w w:val="96"/>
              </w:rPr>
              <w:t>(mm/dd/yyyy)</w:t>
            </w:r>
          </w:p>
        </w:tc>
        <w:tc>
          <w:tcPr>
            <w:tcW w:w="1300" w:type="dxa"/>
            <w:vAlign w:val="bottom"/>
          </w:tcPr>
          <w:p>
            <w:pPr>
              <w:ind w:left="260"/>
              <w:spacing w:after="0"/>
              <w:rPr>
                <w:sz w:val="20"/>
                <w:szCs w:val="20"/>
                <w:color w:val="auto"/>
              </w:rPr>
            </w:pPr>
            <w:r>
              <w:rPr>
                <w:rFonts w:ascii="Arial" w:cs="Arial" w:eastAsia="Arial" w:hAnsi="Arial"/>
                <w:sz w:val="18"/>
                <w:szCs w:val="18"/>
                <w:color w:val="auto"/>
                <w:w w:val="94"/>
              </w:rPr>
              <w:t>(mm/dd/yyyy)</w:t>
            </w:r>
          </w:p>
        </w:tc>
        <w:tc>
          <w:tcPr>
            <w:tcW w:w="7280" w:type="dxa"/>
            <w:vAlign w:val="bottom"/>
          </w:tcPr>
          <w:p>
            <w:pPr>
              <w:spacing w:after="0"/>
              <w:rPr>
                <w:sz w:val="20"/>
                <w:szCs w:val="20"/>
                <w:color w:val="auto"/>
              </w:rPr>
            </w:pPr>
          </w:p>
        </w:tc>
      </w:tr>
      <w:tr>
        <w:trPr>
          <w:trHeight w:val="432"/>
        </w:trPr>
        <w:tc>
          <w:tcPr>
            <w:tcW w:w="2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728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908" w:right="239" w:bottom="1440" w:gutter="0" w:footer="0" w:header="0"/>
        </w:sectPr>
      </w:pPr>
    </w:p>
    <w:bookmarkStart w:id="61" w:name="page62"/>
    <w:bookmarkEnd w:id="61"/>
    <w:p>
      <w:pPr>
        <w:ind w:left="960" w:hanging="482"/>
        <w:spacing w:after="0"/>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from time to time, as required by Party A.</w:t>
      </w:r>
    </w:p>
    <w:p>
      <w:pPr>
        <w:spacing w:after="0" w:line="252" w:lineRule="exact"/>
        <w:rPr>
          <w:rFonts w:ascii="Arial" w:cs="Arial" w:eastAsia="Arial" w:hAnsi="Arial"/>
          <w:sz w:val="18"/>
          <w:szCs w:val="18"/>
          <w:color w:val="auto"/>
        </w:rPr>
      </w:pPr>
    </w:p>
    <w:p>
      <w:pPr>
        <w:spacing w:after="0"/>
        <w:tabs>
          <w:tab w:leader="none" w:pos="0" w:val="left"/>
        </w:tabs>
        <w:numPr>
          <w:ilvl w:val="0"/>
          <w:numId w:val="74"/>
        </w:numPr>
        <w:rPr>
          <w:rFonts w:ascii="Arial" w:cs="Arial" w:eastAsia="Arial" w:hAnsi="Arial"/>
          <w:sz w:val="18"/>
          <w:szCs w:val="18"/>
          <w:color w:val="auto"/>
        </w:rPr>
      </w:pP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6350</wp:posOffset>
            </wp:positionV>
            <wp:extent cx="64230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152400</wp:posOffset>
            </wp:positionV>
            <wp:extent cx="64230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297815</wp:posOffset>
            </wp:positionV>
            <wp:extent cx="642302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right="20" w:hanging="404"/>
        <w:spacing w:after="0" w:line="277" w:lineRule="auto"/>
        <w:tabs>
          <w:tab w:leader="none" w:pos="380" w:val="left"/>
        </w:tabs>
        <w:rPr>
          <w:sz w:val="20"/>
          <w:szCs w:val="20"/>
          <w:color w:val="auto"/>
        </w:rPr>
      </w:pPr>
      <w:r>
        <w:rPr>
          <w:rFonts w:ascii="Arial" w:cs="Arial" w:eastAsia="Arial" w:hAnsi="Arial"/>
          <w:sz w:val="18"/>
          <w:szCs w:val="18"/>
          <w:color w:val="auto"/>
        </w:rPr>
        <w:t>5.3</w:t>
        <w:tab/>
        <w:t>Party A shall draw the Loan in accordance with the drawdown schedule under Article 5.2. Without Party B’s written consent, Party A shall not accelerate, postpone or cancel any drawdown of the Loan.</w:t>
      </w:r>
    </w:p>
    <w:p>
      <w:pPr>
        <w:spacing w:after="0" w:line="1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If Party A draws the Loan in installments, the expiration date of the Term shall be determined in accordance with Article 3 hereunder.</w:t>
      </w:r>
    </w:p>
    <w:p>
      <w:pPr>
        <w:spacing w:after="0" w:line="225"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Materials required to be submitted by Party A</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In respect of materials required to be submitted by Party A, the Parties agree that Item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applies [choose A or B];</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Situation NO. 1</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Where the situation described in Item </w:t>
      </w:r>
      <w:r>
        <w:rPr>
          <w:rFonts w:ascii="Arial" w:cs="Arial" w:eastAsia="Arial" w:hAnsi="Arial"/>
          <w:sz w:val="18"/>
          <w:szCs w:val="18"/>
          <w:u w:val="single" w:color="auto"/>
          <w:color w:val="auto"/>
        </w:rPr>
        <w:t>(1)</w:t>
      </w:r>
      <w:r>
        <w:rPr>
          <w:rFonts w:ascii="Arial" w:cs="Arial" w:eastAsia="Arial" w:hAnsi="Arial"/>
          <w:sz w:val="18"/>
          <w:szCs w:val="18"/>
          <w:color w:val="auto"/>
        </w:rPr>
        <w:t xml:space="preserve"> [choose (1) or (2)] arises</w:t>
      </w:r>
    </w:p>
    <w:p>
      <w:pPr>
        <w:spacing w:after="0" w:line="225" w:lineRule="exact"/>
        <w:rPr>
          <w:sz w:val="20"/>
          <w:szCs w:val="20"/>
          <w:color w:val="auto"/>
        </w:rPr>
      </w:pPr>
    </w:p>
    <w:p>
      <w:pPr>
        <w:ind w:left="960" w:hanging="482"/>
        <w:spacing w:after="0" w:line="277" w:lineRule="auto"/>
        <w:tabs>
          <w:tab w:leader="none" w:pos="9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the amount of any particular drawdown is more than RMB </w:t>
      </w:r>
      <w:r>
        <w:rPr>
          <w:rFonts w:ascii="Arial" w:cs="Arial" w:eastAsia="Arial" w:hAnsi="Arial"/>
          <w:sz w:val="18"/>
          <w:szCs w:val="18"/>
          <w:u w:val="single" w:color="auto"/>
          <w:color w:val="auto"/>
        </w:rPr>
        <w:t>TEN</w:t>
      </w:r>
      <w:r>
        <w:rPr>
          <w:rFonts w:ascii="Arial" w:cs="Arial" w:eastAsia="Arial" w:hAnsi="Arial"/>
          <w:sz w:val="18"/>
          <w:szCs w:val="18"/>
          <w:color w:val="auto"/>
        </w:rPr>
        <w:t xml:space="preserve"> million and the amount of any scheduled payment out of such drawdown is more than RMB </w:t>
      </w:r>
      <w:r>
        <w:rPr>
          <w:rFonts w:ascii="Arial" w:cs="Arial" w:eastAsia="Arial" w:hAnsi="Arial"/>
          <w:sz w:val="18"/>
          <w:szCs w:val="18"/>
          <w:u w:val="single" w:color="auto"/>
          <w:color w:val="auto"/>
        </w:rPr>
        <w:t>TEN</w:t>
      </w:r>
      <w:r>
        <w:rPr>
          <w:rFonts w:ascii="Arial" w:cs="Arial" w:eastAsia="Arial" w:hAnsi="Arial"/>
          <w:sz w:val="18"/>
          <w:szCs w:val="18"/>
          <w:color w:val="auto"/>
        </w:rPr>
        <w:t xml:space="preserve"> million;</w:t>
      </w:r>
    </w:p>
    <w:p>
      <w:pPr>
        <w:spacing w:after="0" w:line="19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6350</wp:posOffset>
            </wp:positionV>
            <wp:extent cx="642302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152400</wp:posOffset>
            </wp:positionV>
            <wp:extent cx="642302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297815</wp:posOffset>
            </wp:positionV>
            <wp:extent cx="642302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 xml:space="preserve">Party A shall submit to Party B the following materials no later than </w:t>
      </w:r>
      <w:r>
        <w:rPr>
          <w:rFonts w:ascii="Arial" w:cs="Arial" w:eastAsia="Arial" w:hAnsi="Arial"/>
          <w:sz w:val="18"/>
          <w:szCs w:val="18"/>
          <w:u w:val="single" w:color="auto"/>
          <w:color w:val="auto"/>
        </w:rPr>
        <w:t>ONE</w:t>
      </w:r>
      <w:r>
        <w:rPr>
          <w:rFonts w:ascii="Arial" w:cs="Arial" w:eastAsia="Arial" w:hAnsi="Arial"/>
          <w:sz w:val="18"/>
          <w:szCs w:val="18"/>
          <w:color w:val="auto"/>
        </w:rPr>
        <w:t xml:space="preserve"> working days before the date of such drawdown:</w:t>
      </w:r>
    </w:p>
    <w:p>
      <w:pPr>
        <w:spacing w:after="0" w:line="225" w:lineRule="exact"/>
        <w:rPr>
          <w:sz w:val="20"/>
          <w:szCs w:val="20"/>
          <w:color w:val="auto"/>
        </w:rPr>
      </w:pPr>
    </w:p>
    <w:p>
      <w:pPr>
        <w:ind w:left="960" w:hanging="482"/>
        <w:spacing w:after="0"/>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LDC signed by Party A and payment/settlement certificate(s) signed by Party A;</w:t>
      </w:r>
    </w:p>
    <w:p>
      <w:pPr>
        <w:spacing w:after="0" w:line="252" w:lineRule="exact"/>
        <w:rPr>
          <w:rFonts w:ascii="Arial" w:cs="Arial" w:eastAsia="Arial" w:hAnsi="Arial"/>
          <w:sz w:val="18"/>
          <w:szCs w:val="18"/>
          <w:color w:val="auto"/>
        </w:rPr>
      </w:pPr>
    </w:p>
    <w:p>
      <w:pPr>
        <w:ind w:left="960" w:hanging="482"/>
        <w:spacing w:after="0" w:line="277" w:lineRule="auto"/>
        <w:tabs>
          <w:tab w:leader="none" w:pos="9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materials related to the underlying transactions (including without limitation goods/services/monetary contracts and/or invoices and other documents in writing or electronic form that are capable of evidencing the particular purposes of the loan drawdown);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117475</wp:posOffset>
            </wp:positionV>
            <wp:extent cx="642302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262890</wp:posOffset>
            </wp:positionV>
            <wp:extent cx="64230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408940</wp:posOffset>
            </wp:positionV>
            <wp:extent cx="64230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665" w:right="239" w:bottom="1440" w:gutter="0" w:footer="0" w:header="0"/>
        </w:sectPr>
      </w:pPr>
    </w:p>
    <w:bookmarkStart w:id="62" w:name="page63"/>
    <w:bookmarkEnd w:id="62"/>
    <w:p>
      <w:pPr>
        <w:jc w:val="both"/>
        <w:ind w:left="400"/>
        <w:spacing w:after="0" w:line="277" w:lineRule="auto"/>
        <w:rPr>
          <w:sz w:val="20"/>
          <w:szCs w:val="20"/>
          <w:color w:val="auto"/>
        </w:rPr>
      </w:pPr>
      <w:r>
        <w:rPr>
          <w:rFonts w:ascii="Arial" w:cs="Arial" w:eastAsia="Arial" w:hAnsi="Arial"/>
          <w:sz w:val="18"/>
          <w:szCs w:val="18"/>
          <w:color w:val="auto"/>
        </w:rPr>
        <w:t>And other materials required by Party B (including without limitation business license, letter of authorization, articles of association, resolutions of Shareholders’ meeting /Board of directors of Party A’s counterparty).</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u w:val="single" w:color="auto"/>
          <w:color w:val="auto"/>
        </w:rPr>
        <w:t>Situation NO. 2</w:t>
      </w:r>
    </w:p>
    <w:p>
      <w:pPr>
        <w:spacing w:after="0" w:line="225"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 xml:space="preserve">If Party B determines, after reviewing the aforementioned materials, that Party may initiate the payment in accordance with Article 5.7 of this Contract, or a situation other than Situation NO. 1 arises, Party A shall submit to Party B the following materials no later than </w:t>
      </w:r>
      <w:r>
        <w:rPr>
          <w:rFonts w:ascii="Arial" w:cs="Arial" w:eastAsia="Arial" w:hAnsi="Arial"/>
          <w:sz w:val="18"/>
          <w:szCs w:val="18"/>
          <w:u w:val="single" w:color="auto"/>
          <w:color w:val="auto"/>
        </w:rPr>
        <w:t>ONE</w:t>
      </w:r>
      <w:r>
        <w:rPr>
          <w:rFonts w:ascii="Arial" w:cs="Arial" w:eastAsia="Arial" w:hAnsi="Arial"/>
          <w:sz w:val="18"/>
          <w:szCs w:val="18"/>
          <w:color w:val="auto"/>
        </w:rPr>
        <w:t xml:space="preserve"> working days before the date of such drawdown</w:t>
      </w:r>
    </w:p>
    <w:p>
      <w:pPr>
        <w:spacing w:after="0" w:line="181" w:lineRule="exact"/>
        <w:rPr>
          <w:sz w:val="20"/>
          <w:szCs w:val="20"/>
          <w:color w:val="auto"/>
        </w:rPr>
      </w:pPr>
    </w:p>
    <w:p>
      <w:pPr>
        <w:ind w:left="960" w:hanging="482"/>
        <w:spacing w:after="0"/>
        <w:tabs>
          <w:tab w:leader="none" w:pos="9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drawdown schedule corresponding to the proposed loan drawdown (The drawdown schedule being in the form of Schedule 3)</w:t>
      </w:r>
    </w:p>
    <w:p>
      <w:pPr>
        <w:spacing w:after="0" w:line="263" w:lineRule="exact"/>
        <w:rPr>
          <w:rFonts w:ascii="Arial" w:cs="Arial" w:eastAsia="Arial" w:hAnsi="Arial"/>
          <w:sz w:val="17"/>
          <w:szCs w:val="17"/>
          <w:color w:val="auto"/>
        </w:rPr>
      </w:pPr>
    </w:p>
    <w:p>
      <w:pPr>
        <w:ind w:left="960" w:hanging="482"/>
        <w:spacing w:after="0"/>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LDC signed by Party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152400</wp:posOffset>
            </wp:positionV>
            <wp:extent cx="642302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297815</wp:posOffset>
            </wp:positionV>
            <wp:extent cx="642302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443865</wp:posOffset>
            </wp:positionV>
            <wp:extent cx="64230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960" w:hanging="567"/>
        <w:spacing w:after="0" w:line="277" w:lineRule="auto"/>
        <w:rPr>
          <w:sz w:val="20"/>
          <w:szCs w:val="20"/>
          <w:color w:val="auto"/>
        </w:rPr>
      </w:pPr>
      <w:r>
        <w:rPr>
          <w:rFonts w:ascii="Arial" w:cs="Arial" w:eastAsia="Arial" w:hAnsi="Arial"/>
          <w:sz w:val="18"/>
          <w:szCs w:val="18"/>
          <w:color w:val="auto"/>
        </w:rPr>
        <w:t>And other materials required by Party B (including without limitation business license, letter of authorization, articles of association, resolutions of Shareholders’ meeting/Board of directors of Party A ’s counterparty).</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400"/>
        <w:spacing w:after="0" w:line="277" w:lineRule="auto"/>
        <w:rPr>
          <w:sz w:val="20"/>
          <w:szCs w:val="20"/>
          <w:color w:val="auto"/>
        </w:rPr>
      </w:pPr>
      <w:r>
        <w:rPr>
          <w:rFonts w:ascii="Arial" w:cs="Arial" w:eastAsia="Arial" w:hAnsi="Arial"/>
          <w:sz w:val="18"/>
          <w:szCs w:val="18"/>
          <w:color w:val="auto"/>
        </w:rPr>
        <w:t xml:space="preserve">Party A shall submit to Party B the following materials no later than </w:t>
      </w:r>
      <w:r>
        <w:rPr>
          <w:rFonts w:ascii="Arial" w:cs="Arial" w:eastAsia="Arial" w:hAnsi="Arial"/>
          <w:sz w:val="18"/>
          <w:szCs w:val="18"/>
          <w:u w:val="single" w:color="auto"/>
          <w:color w:val="auto"/>
        </w:rPr>
        <w:t>ONE</w:t>
      </w:r>
      <w:r>
        <w:rPr>
          <w:rFonts w:ascii="Arial" w:cs="Arial" w:eastAsia="Arial" w:hAnsi="Arial"/>
          <w:sz w:val="18"/>
          <w:szCs w:val="18"/>
          <w:color w:val="auto"/>
        </w:rPr>
        <w:t xml:space="preserve"> working days before the date of such drawdown regardless of the amount of any particular drawdown:</w:t>
      </w:r>
    </w:p>
    <w:p>
      <w:pPr>
        <w:spacing w:after="0" w:line="170" w:lineRule="exact"/>
        <w:rPr>
          <w:sz w:val="20"/>
          <w:szCs w:val="20"/>
          <w:color w:val="auto"/>
        </w:rPr>
      </w:pPr>
    </w:p>
    <w:p>
      <w:pPr>
        <w:ind w:left="960" w:hanging="482"/>
        <w:spacing w:after="0"/>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LDC signed by Party A and payment/settlement certificate (s) signed by Party A;</w:t>
      </w:r>
    </w:p>
    <w:p>
      <w:pPr>
        <w:spacing w:after="0" w:line="252" w:lineRule="exact"/>
        <w:rPr>
          <w:rFonts w:ascii="Arial" w:cs="Arial" w:eastAsia="Arial" w:hAnsi="Arial"/>
          <w:sz w:val="18"/>
          <w:szCs w:val="18"/>
          <w:color w:val="auto"/>
        </w:rPr>
      </w:pPr>
    </w:p>
    <w:p>
      <w:pPr>
        <w:ind w:left="960" w:hanging="482"/>
        <w:spacing w:after="0" w:line="277" w:lineRule="auto"/>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related to the underlying transactions (including without limitation goods/services/monetary contracts and/or invoices and other documents in writing or electronic form that are capable of evidencing the particular purposes of the loan drawdown);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117475</wp:posOffset>
            </wp:positionV>
            <wp:extent cx="642302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262890</wp:posOffset>
            </wp:positionV>
            <wp:extent cx="64230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23025" cy="8890"/>
                    </a:xfrm>
                    <a:prstGeom prst="rect">
                      <a:avLst/>
                    </a:prstGeom>
                    <a:noFill/>
                  </pic:spPr>
                </pic:pic>
              </a:graphicData>
            </a:graphic>
          </wp:anchor>
        </w:drawing>
        <w:drawing>
          <wp:anchor simplePos="0" relativeHeight="251657728" behindDoc="1" locked="0" layoutInCell="0" allowOverlap="1">
            <wp:simplePos x="0" y="0"/>
            <wp:positionH relativeFrom="column">
              <wp:posOffset>612775</wp:posOffset>
            </wp:positionH>
            <wp:positionV relativeFrom="paragraph">
              <wp:posOffset>408940</wp:posOffset>
            </wp:positionV>
            <wp:extent cx="64230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230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0"/>
        <w:spacing w:after="0" w:line="277" w:lineRule="auto"/>
        <w:rPr>
          <w:sz w:val="20"/>
          <w:szCs w:val="20"/>
          <w:color w:val="auto"/>
        </w:rPr>
      </w:pPr>
      <w:r>
        <w:rPr>
          <w:rFonts w:ascii="Arial" w:cs="Arial" w:eastAsia="Arial" w:hAnsi="Arial"/>
          <w:sz w:val="18"/>
          <w:szCs w:val="18"/>
          <w:color w:val="auto"/>
        </w:rPr>
        <w:t>And other materials required by Party B (including without limitation business license, letter of authorization, articles of association, resolutions of Shareholders’ meeting/Board of directors of Party A ’s counterparty).</w:t>
      </w:r>
    </w:p>
    <w:p>
      <w:pPr>
        <w:spacing w:after="0" w:line="17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Entrusted Payment through Party B</w:t>
      </w:r>
    </w:p>
    <w:p>
      <w:pPr>
        <w:spacing w:after="0" w:line="225" w:lineRule="exact"/>
        <w:rPr>
          <w:sz w:val="20"/>
          <w:szCs w:val="20"/>
          <w:color w:val="auto"/>
        </w:rPr>
      </w:pPr>
    </w:p>
    <w:p>
      <w:pPr>
        <w:ind w:left="960" w:hanging="482"/>
        <w:spacing w:after="0"/>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Situations where Entrusted Payment applies to Party B</w:t>
      </w:r>
    </w:p>
    <w:p>
      <w:pPr>
        <w:spacing w:after="0" w:line="225" w:lineRule="exact"/>
        <w:rPr>
          <w:sz w:val="20"/>
          <w:szCs w:val="20"/>
          <w:color w:val="auto"/>
        </w:rPr>
      </w:pPr>
    </w:p>
    <w:p>
      <w:pPr>
        <w:ind w:left="400"/>
        <w:spacing w:after="0" w:line="308" w:lineRule="auto"/>
        <w:rPr>
          <w:sz w:val="20"/>
          <w:szCs w:val="20"/>
          <w:color w:val="auto"/>
        </w:rPr>
      </w:pPr>
      <w:r>
        <w:rPr>
          <w:rFonts w:ascii="Arial" w:cs="Arial" w:eastAsia="Arial" w:hAnsi="Arial"/>
          <w:sz w:val="17"/>
          <w:szCs w:val="17"/>
          <w:color w:val="auto"/>
        </w:rPr>
        <w:t xml:space="preserve">If the situation described in </w:t>
      </w:r>
      <w:r>
        <w:rPr>
          <w:rFonts w:ascii="Arial" w:cs="Arial" w:eastAsia="Arial" w:hAnsi="Arial"/>
          <w:sz w:val="17"/>
          <w:szCs w:val="17"/>
          <w:u w:val="single" w:color="auto"/>
          <w:color w:val="auto"/>
        </w:rPr>
        <w:t>(i)</w:t>
      </w:r>
      <w:r>
        <w:rPr>
          <w:rFonts w:ascii="Arial" w:cs="Arial" w:eastAsia="Arial" w:hAnsi="Arial"/>
          <w:sz w:val="17"/>
          <w:szCs w:val="17"/>
          <w:color w:val="auto"/>
        </w:rPr>
        <w:t xml:space="preserve"> arises, Entrusted Payment shall apply, i.e. Party A hereby irrevocably entrusts Party B to pay the amount of the drawdown to Party A’s counterparty. Party A shall not pay such amount directly to such counterparty or any other third party.</w:t>
      </w:r>
    </w:p>
    <w:p>
      <w:pPr>
        <w:spacing w:after="0" w:line="14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881" w:right="239" w:bottom="1440" w:gutter="0" w:footer="0" w:header="0"/>
        </w:sectPr>
      </w:pPr>
    </w:p>
    <w:bookmarkStart w:id="63" w:name="page64"/>
    <w:bookmarkEnd w:id="63"/>
    <w:p>
      <w:pPr>
        <w:jc w:val="both"/>
        <w:ind w:left="716" w:hanging="230"/>
        <w:spacing w:after="0" w:line="264" w:lineRule="auto"/>
        <w:tabs>
          <w:tab w:leader="none" w:pos="716" w:val="left"/>
        </w:tabs>
        <w:numPr>
          <w:ilvl w:val="2"/>
          <w:numId w:val="80"/>
        </w:numPr>
        <w:rPr>
          <w:rFonts w:ascii="Arial" w:cs="Arial" w:eastAsia="Arial" w:hAnsi="Arial"/>
          <w:sz w:val="18"/>
          <w:szCs w:val="18"/>
          <w:color w:val="auto"/>
        </w:rPr>
      </w:pPr>
      <w:r>
        <w:rPr>
          <w:rFonts w:ascii="Arial" w:cs="Arial" w:eastAsia="Arial" w:hAnsi="Arial"/>
          <w:sz w:val="18"/>
          <w:szCs w:val="18"/>
          <w:color w:val="auto"/>
        </w:rPr>
        <w:t xml:space="preserve">the amount of any particular drawdown is more than RMB </w:t>
      </w:r>
      <w:r>
        <w:rPr>
          <w:rFonts w:ascii="Arial" w:cs="Arial" w:eastAsia="Arial" w:hAnsi="Arial"/>
          <w:sz w:val="18"/>
          <w:szCs w:val="18"/>
          <w:u w:val="single" w:color="auto"/>
          <w:color w:val="auto"/>
        </w:rPr>
        <w:t>TEN</w:t>
      </w:r>
      <w:r>
        <w:rPr>
          <w:rFonts w:ascii="Arial" w:cs="Arial" w:eastAsia="Arial" w:hAnsi="Arial"/>
          <w:sz w:val="18"/>
          <w:szCs w:val="18"/>
          <w:color w:val="auto"/>
        </w:rPr>
        <w:t xml:space="preserve"> million and the amount of any scheduled payment out of such drawdown is more than RMB </w:t>
      </w:r>
      <w:r>
        <w:rPr>
          <w:rFonts w:ascii="Arial" w:cs="Arial" w:eastAsia="Arial" w:hAnsi="Arial"/>
          <w:sz w:val="18"/>
          <w:szCs w:val="18"/>
          <w:u w:val="single" w:color="auto"/>
          <w:color w:val="auto"/>
        </w:rPr>
        <w:t>TEN</w:t>
      </w:r>
      <w:r>
        <w:rPr>
          <w:rFonts w:ascii="Arial" w:cs="Arial" w:eastAsia="Arial" w:hAnsi="Arial"/>
          <w:sz w:val="18"/>
          <w:szCs w:val="18"/>
          <w:color w:val="auto"/>
        </w:rPr>
        <w:t xml:space="preserve"> million, and Party B determines, after reviewing the materials submitted by Party A, that recipient of the payment is specific and identifiable;</w:t>
      </w:r>
    </w:p>
    <w:p>
      <w:pPr>
        <w:spacing w:after="0" w:line="181" w:lineRule="exact"/>
        <w:rPr>
          <w:rFonts w:ascii="Arial" w:cs="Arial" w:eastAsia="Arial" w:hAnsi="Arial"/>
          <w:sz w:val="18"/>
          <w:szCs w:val="18"/>
          <w:color w:val="auto"/>
        </w:rPr>
      </w:pPr>
    </w:p>
    <w:p>
      <w:pPr>
        <w:ind w:left="756" w:hanging="256"/>
        <w:spacing w:after="0"/>
        <w:tabs>
          <w:tab w:leader="none" w:pos="756" w:val="left"/>
        </w:tabs>
        <w:numPr>
          <w:ilvl w:val="3"/>
          <w:numId w:val="80"/>
        </w:numPr>
        <w:rPr>
          <w:rFonts w:ascii="Arial" w:cs="Arial" w:eastAsia="Arial" w:hAnsi="Arial"/>
          <w:sz w:val="18"/>
          <w:szCs w:val="18"/>
          <w:color w:val="auto"/>
        </w:rPr>
      </w:pPr>
      <w:r>
        <w:rPr>
          <w:rFonts w:ascii="Arial" w:cs="Arial" w:eastAsia="Arial" w:hAnsi="Arial"/>
          <w:sz w:val="18"/>
          <w:szCs w:val="18"/>
          <w:color w:val="auto"/>
        </w:rPr>
        <w:t>Entrusted Payment applies regardless of the amount of any particular drawdown;</w:t>
      </w:r>
    </w:p>
    <w:p>
      <w:pPr>
        <w:spacing w:after="0" w:line="225" w:lineRule="exact"/>
        <w:rPr>
          <w:rFonts w:ascii="Arial" w:cs="Arial" w:eastAsia="Arial" w:hAnsi="Arial"/>
          <w:sz w:val="18"/>
          <w:szCs w:val="18"/>
          <w:color w:val="auto"/>
        </w:rPr>
      </w:pPr>
    </w:p>
    <w:p>
      <w:pPr>
        <w:ind w:left="816" w:hanging="318"/>
        <w:spacing w:after="0"/>
        <w:tabs>
          <w:tab w:leader="none" w:pos="816" w:val="left"/>
        </w:tabs>
        <w:numPr>
          <w:ilvl w:val="3"/>
          <w:numId w:val="80"/>
        </w:numPr>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w:t>
      </w:r>
    </w:p>
    <w:p>
      <w:pPr>
        <w:spacing w:after="0" w:line="225" w:lineRule="exact"/>
        <w:rPr>
          <w:rFonts w:ascii="Arial" w:cs="Arial" w:eastAsia="Arial" w:hAnsi="Arial"/>
          <w:sz w:val="18"/>
          <w:szCs w:val="18"/>
          <w:color w:val="auto"/>
        </w:rPr>
      </w:pPr>
    </w:p>
    <w:p>
      <w:pPr>
        <w:ind w:left="496"/>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496"/>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jc w:val="both"/>
        <w:ind w:left="476" w:hanging="476"/>
        <w:spacing w:after="0" w:line="264" w:lineRule="auto"/>
        <w:tabs>
          <w:tab w:leader="none" w:pos="476"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case of entrusted payment, Party B deposits the amount of the loan drawdown in the Loan Disbursement Account and pays such amount through Loan Disbursement Account to the account designated by Party A’s counterparty. Party A shall not dispose of the loan drawdown in any way (including without limitation account transfer or withdrawal of cash).</w:t>
      </w:r>
    </w:p>
    <w:p>
      <w:pPr>
        <w:spacing w:after="0" w:line="181" w:lineRule="exact"/>
        <w:rPr>
          <w:rFonts w:ascii="Arial" w:cs="Arial" w:eastAsia="Arial" w:hAnsi="Arial"/>
          <w:sz w:val="18"/>
          <w:szCs w:val="18"/>
          <w:color w:val="auto"/>
        </w:rPr>
      </w:pPr>
    </w:p>
    <w:p>
      <w:pPr>
        <w:jc w:val="both"/>
        <w:ind w:left="476" w:hanging="476"/>
        <w:spacing w:after="0" w:line="272" w:lineRule="auto"/>
        <w:tabs>
          <w:tab w:leader="none" w:pos="476" w:val="left"/>
        </w:tabs>
        <w:numPr>
          <w:ilvl w:val="0"/>
          <w:numId w:val="81"/>
        </w:numPr>
        <w:rPr>
          <w:rFonts w:ascii="Arial" w:cs="Arial" w:eastAsia="Arial" w:hAnsi="Arial"/>
          <w:sz w:val="17"/>
          <w:szCs w:val="17"/>
          <w:color w:val="auto"/>
        </w:rPr>
      </w:pPr>
      <w:r>
        <w:rPr>
          <w:rFonts w:ascii="Arial" w:cs="Arial" w:eastAsia="Arial" w:hAnsi="Arial"/>
          <w:sz w:val="17"/>
          <w:szCs w:val="17"/>
          <w:color w:val="auto"/>
        </w:rPr>
        <w:t>Party B will make prima facie examination of the documents submitted by Party A regarding payment amount, time of payment, recipient of payment, means of payment, and related accounts Party B will pay the drawdown amount to Party A’s counterparty if Party B determines at its discretion that it is satisfied with the abovementioned prima facie examination. The obligations of Party B relating to entrusted payment shall be extinguished once the drawdown amount is paid into the account of Party A’s counterparty (the information of such account shall be provided by Party A). Party A shall check and verify the status of payment within one working day after the date of payment and shall notify Party B in case of failure of payment. Party A shall guarantee that there is consistence between documents/information regarding recipient of payment, utilization of the loan and materials related to underlying documents.</w:t>
      </w:r>
    </w:p>
    <w:p>
      <w:pPr>
        <w:spacing w:after="0" w:line="177" w:lineRule="exact"/>
        <w:rPr>
          <w:rFonts w:ascii="Arial" w:cs="Arial" w:eastAsia="Arial" w:hAnsi="Arial"/>
          <w:sz w:val="17"/>
          <w:szCs w:val="17"/>
          <w:color w:val="auto"/>
        </w:rPr>
      </w:pPr>
    </w:p>
    <w:p>
      <w:pPr>
        <w:ind w:left="396" w:hanging="383"/>
        <w:spacing w:after="0"/>
        <w:tabs>
          <w:tab w:leader="none" w:pos="396" w:val="left"/>
        </w:tabs>
        <w:numPr>
          <w:ilvl w:val="1"/>
          <w:numId w:val="81"/>
        </w:numPr>
        <w:rPr>
          <w:rFonts w:ascii="Arial" w:cs="Arial" w:eastAsia="Arial" w:hAnsi="Arial"/>
          <w:sz w:val="16"/>
          <w:szCs w:val="16"/>
          <w:color w:val="auto"/>
        </w:rPr>
      </w:pPr>
      <w:r>
        <w:rPr>
          <w:rFonts w:ascii="Arial" w:cs="Arial" w:eastAsia="Arial" w:hAnsi="Arial"/>
          <w:sz w:val="16"/>
          <w:szCs w:val="16"/>
          <w:color w:val="auto"/>
        </w:rPr>
        <w:t>There is no warranty or representation by Party B in respect of the truthfulness or legality or compliance with regulations of the underlying</w:t>
      </w:r>
    </w:p>
    <w:p>
      <w:pPr>
        <w:spacing w:after="0" w:line="46" w:lineRule="exact"/>
        <w:rPr>
          <w:sz w:val="20"/>
          <w:szCs w:val="20"/>
          <w:color w:val="auto"/>
        </w:rPr>
      </w:pPr>
    </w:p>
    <w:p>
      <w:pPr>
        <w:jc w:val="both"/>
        <w:ind w:left="396"/>
        <w:spacing w:after="0" w:line="254" w:lineRule="auto"/>
        <w:rPr>
          <w:sz w:val="20"/>
          <w:szCs w:val="20"/>
          <w:color w:val="auto"/>
        </w:rPr>
      </w:pPr>
      <w:r>
        <w:rPr>
          <w:rFonts w:ascii="Arial" w:cs="Arial" w:eastAsia="Arial" w:hAnsi="Arial"/>
          <w:sz w:val="18"/>
          <w:szCs w:val="18"/>
          <w:color w:val="auto"/>
        </w:rPr>
        <w:t>transactions although Party B has made the above-mentioned prima facie examination of the payment documents. Nor shall Party B be implicated in any dispute between Party A and Party A’s counterparty or any third party. Nor shall Party B be liable for any obligations or liabilities of Party A. Party A shall compensate Party B for any and all losses incurred by Party B resulting from Party B’s activities relating to Entrusted Payment.</w:t>
      </w:r>
    </w:p>
    <w:p>
      <w:pPr>
        <w:spacing w:after="0" w:line="190" w:lineRule="exact"/>
        <w:rPr>
          <w:sz w:val="20"/>
          <w:szCs w:val="20"/>
          <w:color w:val="auto"/>
        </w:rPr>
      </w:pPr>
    </w:p>
    <w:p>
      <w:pPr>
        <w:jc w:val="both"/>
        <w:ind w:left="396" w:hanging="383"/>
        <w:spacing w:after="0" w:line="264" w:lineRule="auto"/>
        <w:tabs>
          <w:tab w:leader="none" w:pos="396" w:val="left"/>
        </w:tabs>
        <w:numPr>
          <w:ilvl w:val="0"/>
          <w:numId w:val="82"/>
        </w:numPr>
        <w:rPr>
          <w:rFonts w:ascii="Arial" w:cs="Arial" w:eastAsia="Arial" w:hAnsi="Arial"/>
          <w:sz w:val="18"/>
          <w:szCs w:val="18"/>
          <w:color w:val="auto"/>
        </w:rPr>
      </w:pPr>
      <w:r>
        <w:rPr>
          <w:rFonts w:ascii="Arial" w:cs="Arial" w:eastAsia="Arial" w:hAnsi="Arial"/>
          <w:sz w:val="18"/>
          <w:szCs w:val="18"/>
          <w:color w:val="auto"/>
        </w:rPr>
        <w:t>Where there is a failure or delay in payment of the drawdown amount to the account of Party A’s counterparty and such failure or delay is caused by incompleteness, untruthfulness or inaccuracy of the documents submitted by Party A, or by violation of permitted utilization of loan or by information discrepancy or by other reasons but not by Party B’s fault, the following applies:</w:t>
      </w:r>
    </w:p>
    <w:p>
      <w:pPr>
        <w:spacing w:after="0" w:line="181" w:lineRule="exact"/>
        <w:rPr>
          <w:rFonts w:ascii="Arial" w:cs="Arial" w:eastAsia="Arial" w:hAnsi="Arial"/>
          <w:sz w:val="18"/>
          <w:szCs w:val="18"/>
          <w:color w:val="auto"/>
        </w:rPr>
      </w:pPr>
    </w:p>
    <w:p>
      <w:pPr>
        <w:ind w:left="976" w:hanging="558"/>
        <w:spacing w:after="0" w:line="308" w:lineRule="auto"/>
        <w:tabs>
          <w:tab w:leader="none" w:pos="976" w:val="left"/>
        </w:tabs>
        <w:numPr>
          <w:ilvl w:val="1"/>
          <w:numId w:val="82"/>
        </w:numPr>
        <w:rPr>
          <w:rFonts w:ascii="Arial" w:cs="Arial" w:eastAsia="Arial" w:hAnsi="Arial"/>
          <w:sz w:val="17"/>
          <w:szCs w:val="17"/>
          <w:color w:val="auto"/>
        </w:rPr>
      </w:pPr>
      <w:r>
        <w:rPr>
          <w:rFonts w:ascii="Arial" w:cs="Arial" w:eastAsia="Arial" w:hAnsi="Arial"/>
          <w:sz w:val="17"/>
          <w:szCs w:val="17"/>
          <w:color w:val="auto"/>
        </w:rPr>
        <w:t>Party A shall be liable for all the consequences including without limitation all losses caused by the above mentioned failure or delay. Party B shall not be liable in any way and shall be compensated by Party A for any losses resulting therefrom;</w:t>
      </w:r>
    </w:p>
    <w:p>
      <w:pPr>
        <w:spacing w:after="0" w:line="390" w:lineRule="exact"/>
        <w:rPr>
          <w:sz w:val="20"/>
          <w:szCs w:val="20"/>
          <w:color w:val="auto"/>
        </w:rPr>
      </w:pPr>
    </w:p>
    <w:p>
      <w:pPr>
        <w:ind w:left="4936"/>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96"/>
          </w:cols>
          <w:pgMar w:left="964" w:top="1098" w:right="239" w:bottom="1440" w:gutter="0" w:footer="0" w:header="0"/>
        </w:sectPr>
      </w:pPr>
    </w:p>
    <w:bookmarkStart w:id="64" w:name="page65"/>
    <w:bookmarkEnd w:id="64"/>
    <w:p>
      <w:pPr>
        <w:ind w:left="1360" w:right="20" w:hanging="558"/>
        <w:spacing w:after="0" w:line="277" w:lineRule="auto"/>
        <w:tabs>
          <w:tab w:leader="none" w:pos="13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Party A shall not dispose of any of such drawdown amount in anyway (including without limitation account transfer or withdrawal of cash);</w:t>
      </w:r>
    </w:p>
    <w:p>
      <w:pPr>
        <w:spacing w:after="0" w:line="170" w:lineRule="exact"/>
        <w:rPr>
          <w:sz w:val="20"/>
          <w:szCs w:val="20"/>
          <w:color w:val="auto"/>
        </w:rPr>
      </w:pPr>
    </w:p>
    <w:p>
      <w:pPr>
        <w:ind w:left="1440" w:hanging="651"/>
        <w:spacing w:after="0"/>
        <w:tabs>
          <w:tab w:leader="none" w:pos="14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 xml:space="preserve">Party A shall resubmit materials, make corrections and/or perform other activities as instructed by Party B within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working days;</w:t>
      </w:r>
    </w:p>
    <w:p>
      <w:pPr>
        <w:spacing w:after="0" w:line="248"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6"/>
          <w:szCs w:val="16"/>
          <w:color w:val="auto"/>
        </w:rPr>
      </w:pPr>
    </w:p>
    <w:p>
      <w:pPr>
        <w:ind w:left="880"/>
        <w:spacing w:after="0"/>
        <w:rPr>
          <w:rFonts w:ascii="Arial" w:cs="Arial" w:eastAsia="Arial" w:hAnsi="Arial"/>
          <w:sz w:val="16"/>
          <w:szCs w:val="16"/>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800"/>
        <w:spacing w:after="0"/>
        <w:rPr>
          <w:sz w:val="20"/>
          <w:szCs w:val="20"/>
          <w:color w:val="auto"/>
        </w:rPr>
      </w:pPr>
      <w:r>
        <w:rPr>
          <w:rFonts w:ascii="Arial" w:cs="Arial" w:eastAsia="Arial" w:hAnsi="Arial"/>
          <w:sz w:val="18"/>
          <w:szCs w:val="18"/>
          <w:color w:val="auto"/>
        </w:rPr>
        <w:t>Party B may accelerate the maturity of such loan drawdown if Party A is in breach of any of the above provisions.</w:t>
      </w:r>
    </w:p>
    <w:p>
      <w:pPr>
        <w:spacing w:after="0" w:line="225" w:lineRule="exact"/>
        <w:rPr>
          <w:sz w:val="20"/>
          <w:szCs w:val="20"/>
          <w:color w:val="auto"/>
        </w:rPr>
      </w:pPr>
    </w:p>
    <w:p>
      <w:pPr>
        <w:jc w:val="both"/>
        <w:ind w:left="880" w:hanging="483"/>
        <w:spacing w:after="0" w:line="308" w:lineRule="auto"/>
        <w:rPr>
          <w:sz w:val="20"/>
          <w:szCs w:val="20"/>
          <w:color w:val="auto"/>
        </w:rPr>
      </w:pPr>
      <w:r>
        <w:rPr>
          <w:rFonts w:ascii="Arial" w:cs="Arial" w:eastAsia="Arial" w:hAnsi="Arial"/>
          <w:sz w:val="17"/>
          <w:szCs w:val="17"/>
          <w:color w:val="auto"/>
        </w:rPr>
        <w:t>(6) Party A shall be liable for any and all risks, liabilities and losses caused by any failure or error or delay in payment which does not result from Party B’s fault. Party B shall not be liable in any way and shall be compensated by Party A for any losses resulting therefrom.</w:t>
      </w:r>
    </w:p>
    <w:p>
      <w:pPr>
        <w:spacing w:after="0" w:line="147"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6"/>
          <w:szCs w:val="16"/>
          <w:color w:val="auto"/>
        </w:rPr>
        <w:t>Payment on Party A’s own initiative</w:t>
      </w:r>
    </w:p>
    <w:p>
      <w:pPr>
        <w:spacing w:after="0" w:line="225" w:lineRule="exact"/>
        <w:rPr>
          <w:sz w:val="20"/>
          <w:szCs w:val="20"/>
          <w:color w:val="auto"/>
        </w:rPr>
      </w:pPr>
    </w:p>
    <w:p>
      <w:pPr>
        <w:jc w:val="both"/>
        <w:ind w:left="400"/>
        <w:spacing w:after="0" w:line="259" w:lineRule="auto"/>
        <w:rPr>
          <w:sz w:val="20"/>
          <w:szCs w:val="20"/>
          <w:color w:val="auto"/>
        </w:rPr>
      </w:pPr>
      <w:r>
        <w:rPr>
          <w:rFonts w:ascii="Arial" w:cs="Arial" w:eastAsia="Arial" w:hAnsi="Arial"/>
          <w:sz w:val="18"/>
          <w:szCs w:val="18"/>
          <w:color w:val="auto"/>
        </w:rPr>
        <w:t>Where situation other than that described in Article 5.6 (1) arises, Party A may initiate the payment at its own discretion. i.e. Party B may deposit the drawdown amount to the Loan Disbursement Account as instructed by Party As application for loan drawdown, Party A may then pay such amount directly to the recipient. Party A shall guarantee the conformity between the recipient, utilization of loan and the underlying transaction documents.</w:t>
      </w:r>
    </w:p>
    <w:p>
      <w:pPr>
        <w:spacing w:after="0" w:line="187" w:lineRule="exact"/>
        <w:rPr>
          <w:sz w:val="20"/>
          <w:szCs w:val="20"/>
          <w:color w:val="auto"/>
        </w:rPr>
      </w:pPr>
    </w:p>
    <w:p>
      <w:pPr>
        <w:jc w:val="both"/>
        <w:ind w:left="400" w:hanging="404"/>
        <w:spacing w:after="0" w:line="279" w:lineRule="auto"/>
        <w:tabs>
          <w:tab w:leader="none" w:pos="38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7"/>
          <w:szCs w:val="17"/>
          <w:color w:val="auto"/>
        </w:rPr>
        <w:t>The obligations of Party B to advance loans shall be extinguished once the loan amount is deposited into the Loan Disbursement Account regardless of entrusted payment or not. Party A shall ensure the Loan Disbursement Account remain in normal status (including without limitation not subject to freezing by competent authorities). Party A shall bear all risks, liabilities and losses including without limitation freezing and mandatory transfer by competent authorities. Party A shall compensate Party B for any losses resulting therefrom.</w:t>
      </w:r>
    </w:p>
    <w:p>
      <w:pPr>
        <w:spacing w:after="0" w:line="17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6"/>
          <w:szCs w:val="16"/>
          <w:color w:val="auto"/>
        </w:rPr>
        <w:t>Change of means of payment</w:t>
      </w:r>
    </w:p>
    <w:p>
      <w:pPr>
        <w:spacing w:after="0" w:line="225" w:lineRule="exact"/>
        <w:rPr>
          <w:sz w:val="20"/>
          <w:szCs w:val="20"/>
          <w:color w:val="auto"/>
        </w:rPr>
      </w:pPr>
    </w:p>
    <w:p>
      <w:pPr>
        <w:jc w:val="both"/>
        <w:ind w:left="400"/>
        <w:spacing w:after="0" w:line="264" w:lineRule="auto"/>
        <w:rPr>
          <w:sz w:val="20"/>
          <w:szCs w:val="20"/>
          <w:color w:val="auto"/>
        </w:rPr>
      </w:pPr>
      <w:r>
        <w:rPr>
          <w:rFonts w:ascii="Arial" w:cs="Arial" w:eastAsia="Arial" w:hAnsi="Arial"/>
          <w:sz w:val="18"/>
          <w:szCs w:val="18"/>
          <w:color w:val="auto"/>
        </w:rPr>
        <w:t>Party B is entitled to change the means of payment if any of the following circumstances arises, including without limitation re-determining the situations where Entrusted Payment applies, (e.g. changing the threshold amount for Entrusted Payment) and changing the means of payment in respect of any particular drawdown:</w:t>
      </w:r>
    </w:p>
    <w:p>
      <w:pPr>
        <w:spacing w:after="0" w:line="181" w:lineRule="exact"/>
        <w:rPr>
          <w:sz w:val="20"/>
          <w:szCs w:val="20"/>
          <w:color w:val="auto"/>
        </w:rPr>
      </w:pPr>
    </w:p>
    <w:p>
      <w:pPr>
        <w:ind w:left="660" w:hanging="263"/>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event of default by Party A arises;</w:t>
      </w:r>
    </w:p>
    <w:p>
      <w:pPr>
        <w:spacing w:after="0" w:line="225" w:lineRule="exact"/>
        <w:rPr>
          <w:rFonts w:ascii="Arial" w:cs="Arial" w:eastAsia="Arial" w:hAnsi="Arial"/>
          <w:sz w:val="18"/>
          <w:szCs w:val="18"/>
          <w:color w:val="auto"/>
        </w:rPr>
      </w:pPr>
    </w:p>
    <w:p>
      <w:pPr>
        <w:ind w:left="660" w:hanging="26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There arises any event that may adversely impact Party B’s rights as a creditor;</w:t>
      </w:r>
    </w:p>
    <w:p>
      <w:pPr>
        <w:spacing w:after="0" w:line="225" w:lineRule="exact"/>
        <w:rPr>
          <w:rFonts w:ascii="Arial" w:cs="Arial" w:eastAsia="Arial" w:hAnsi="Arial"/>
          <w:sz w:val="18"/>
          <w:szCs w:val="18"/>
          <w:color w:val="auto"/>
        </w:rPr>
      </w:pPr>
    </w:p>
    <w:p>
      <w:pPr>
        <w:ind w:left="660" w:hanging="26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Other circumstances where Party B deems necessary to change the means of payment.</w:t>
      </w:r>
    </w:p>
    <w:p>
      <w:pPr>
        <w:spacing w:after="0" w:line="225" w:lineRule="exact"/>
        <w:rPr>
          <w:sz w:val="20"/>
          <w:szCs w:val="20"/>
          <w:color w:val="auto"/>
        </w:rPr>
      </w:pPr>
    </w:p>
    <w:p>
      <w:pPr>
        <w:ind w:left="400" w:right="20"/>
        <w:spacing w:after="0" w:line="277" w:lineRule="auto"/>
        <w:rPr>
          <w:sz w:val="20"/>
          <w:szCs w:val="20"/>
          <w:color w:val="auto"/>
        </w:rPr>
      </w:pPr>
      <w:r>
        <w:rPr>
          <w:rFonts w:ascii="Arial" w:cs="Arial" w:eastAsia="Arial" w:hAnsi="Arial"/>
          <w:sz w:val="18"/>
          <w:szCs w:val="18"/>
          <w:color w:val="auto"/>
        </w:rPr>
        <w:t>Where Party B changes the means of payment, Party A shall resubmit the materials or perform other activities as required by this Contract and Party B.</w:t>
      </w:r>
    </w:p>
    <w:p>
      <w:pPr>
        <w:spacing w:after="0" w:line="17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9" w:right="239" w:bottom="1440" w:gutter="0" w:footer="0" w:header="0"/>
        </w:sectPr>
      </w:pPr>
    </w:p>
    <w:bookmarkStart w:id="65" w:name="page66"/>
    <w:bookmarkEnd w:id="65"/>
    <w:p>
      <w:pPr>
        <w:ind w:left="780" w:right="7680" w:hanging="772"/>
        <w:spacing w:after="0" w:line="445" w:lineRule="auto"/>
        <w:tabs>
          <w:tab w:leader="none" w:pos="338"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USE AND SUPERVISION OF ACCOUNTS </w:t>
      </w:r>
      <w:r>
        <w:rPr>
          <w:rFonts w:ascii="Arial" w:cs="Arial" w:eastAsia="Arial" w:hAnsi="Arial"/>
          <w:sz w:val="17"/>
          <w:szCs w:val="17"/>
          <w:color w:val="auto"/>
        </w:rPr>
        <w:t>6.1 Loan Disbursement Account</w:t>
      </w:r>
    </w:p>
    <w:p>
      <w:pPr>
        <w:spacing w:after="0" w:line="3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The Loan Disbursement Account herein shall be determined in accordance with </w:t>
      </w:r>
      <w:r>
        <w:rPr>
          <w:rFonts w:ascii="Arial" w:cs="Arial" w:eastAsia="Arial" w:hAnsi="Arial"/>
          <w:sz w:val="18"/>
          <w:szCs w:val="18"/>
          <w:u w:val="single" w:color="auto"/>
          <w:color w:val="auto"/>
        </w:rPr>
        <w:t>(2):</w:t>
      </w:r>
    </w:p>
    <w:p>
      <w:pPr>
        <w:spacing w:after="0" w:line="225" w:lineRule="exact"/>
        <w:rPr>
          <w:sz w:val="20"/>
          <w:szCs w:val="20"/>
          <w:color w:val="auto"/>
        </w:rPr>
      </w:pPr>
    </w:p>
    <w:p>
      <w:pPr>
        <w:ind w:left="1860" w:hanging="434"/>
        <w:spacing w:after="0" w:line="308" w:lineRule="auto"/>
        <w:tabs>
          <w:tab w:leader="none" w:pos="1860" w:val="left"/>
        </w:tabs>
        <w:numPr>
          <w:ilvl w:val="0"/>
          <w:numId w:val="87"/>
        </w:numPr>
        <w:rPr>
          <w:rFonts w:ascii="Arial" w:cs="Arial" w:eastAsia="Arial" w:hAnsi="Arial"/>
          <w:sz w:val="17"/>
          <w:szCs w:val="17"/>
          <w:color w:val="auto"/>
        </w:rPr>
      </w:pPr>
      <w:r>
        <w:rPr>
          <w:rFonts w:ascii="Arial" w:cs="Arial" w:eastAsia="Arial" w:hAnsi="Arial"/>
          <w:sz w:val="17"/>
          <w:szCs w:val="17"/>
          <w:color w:val="auto"/>
        </w:rPr>
        <w:t>within working days from the date of coming into effect of this Contract and before the date of first drawdown, Party A shall open an account within Party B for the sole purpose of the disbursement and payment of all loan amount under this Contract.</w:t>
      </w:r>
    </w:p>
    <w:p>
      <w:pPr>
        <w:spacing w:after="0" w:line="146" w:lineRule="exact"/>
        <w:rPr>
          <w:rFonts w:ascii="Arial" w:cs="Arial" w:eastAsia="Arial" w:hAnsi="Arial"/>
          <w:sz w:val="17"/>
          <w:szCs w:val="17"/>
          <w:color w:val="auto"/>
        </w:rPr>
      </w:pPr>
    </w:p>
    <w:p>
      <w:pPr>
        <w:ind w:left="1860" w:hanging="434"/>
        <w:spacing w:after="0"/>
        <w:tabs>
          <w:tab w:leader="none" w:pos="18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other account opened by Party A within Party B (Account Number: </w:t>
      </w:r>
      <w:r>
        <w:rPr>
          <w:rFonts w:ascii="Arial" w:cs="Arial" w:eastAsia="Arial" w:hAnsi="Arial"/>
          <w:sz w:val="18"/>
          <w:szCs w:val="18"/>
          <w:u w:val="single" w:color="auto"/>
          <w:color w:val="auto"/>
        </w:rPr>
        <w:t>33101995038050503008).</w:t>
      </w:r>
    </w:p>
    <w:p>
      <w:pPr>
        <w:spacing w:after="0" w:line="225" w:lineRule="exact"/>
        <w:rPr>
          <w:sz w:val="20"/>
          <w:szCs w:val="20"/>
          <w:color w:val="auto"/>
        </w:rPr>
      </w:pPr>
    </w:p>
    <w:p>
      <w:pPr>
        <w:ind w:left="780"/>
        <w:spacing w:after="0"/>
        <w:rPr>
          <w:sz w:val="20"/>
          <w:szCs w:val="20"/>
          <w:color w:val="auto"/>
        </w:rPr>
      </w:pPr>
      <w:r>
        <w:rPr>
          <w:rFonts w:ascii="Arial" w:cs="Arial" w:eastAsia="Arial" w:hAnsi="Arial"/>
          <w:sz w:val="18"/>
          <w:szCs w:val="18"/>
          <w:color w:val="auto"/>
        </w:rPr>
        <w:t>6.2 Account to collect sale proceeds</w:t>
      </w:r>
    </w:p>
    <w:p>
      <w:pPr>
        <w:spacing w:after="0" w:line="225" w:lineRule="exact"/>
        <w:rPr>
          <w:sz w:val="20"/>
          <w:szCs w:val="20"/>
          <w:color w:val="auto"/>
        </w:rPr>
      </w:pPr>
    </w:p>
    <w:p>
      <w:pPr>
        <w:ind w:left="1760" w:hanging="428"/>
        <w:spacing w:after="0"/>
        <w:tabs>
          <w:tab w:leader="none" w:pos="17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 xml:space="preserve">within </w:t>
      </w:r>
      <w:r>
        <w:rPr>
          <w:rFonts w:ascii="Arial" w:cs="Arial" w:eastAsia="Arial" w:hAnsi="Arial"/>
          <w:sz w:val="16"/>
          <w:szCs w:val="16"/>
          <w:u w:val="single" w:color="auto"/>
          <w:color w:val="auto"/>
        </w:rPr>
        <w:t>ONE</w:t>
      </w:r>
      <w:r>
        <w:rPr>
          <w:rFonts w:ascii="Arial" w:cs="Arial" w:eastAsia="Arial" w:hAnsi="Arial"/>
          <w:sz w:val="16"/>
          <w:szCs w:val="16"/>
          <w:color w:val="auto"/>
        </w:rPr>
        <w:t xml:space="preserve"> working days from the date of coming into effect of this Contract, Party A shall open an account within Party B for the</w:t>
      </w:r>
    </w:p>
    <w:p>
      <w:pPr>
        <w:spacing w:after="0" w:line="41" w:lineRule="exact"/>
        <w:rPr>
          <w:sz w:val="20"/>
          <w:szCs w:val="20"/>
          <w:color w:val="auto"/>
        </w:rPr>
      </w:pPr>
    </w:p>
    <w:tbl>
      <w:tblPr>
        <w:tblLayout w:type="fixed"/>
        <w:tblInd w:w="1340" w:type="dxa"/>
        <w:tblCellMar>
          <w:top w:w="0" w:type="dxa"/>
          <w:left w:w="0" w:type="dxa"/>
          <w:bottom w:w="0" w:type="dxa"/>
          <w:right w:w="0" w:type="dxa"/>
        </w:tblCellMar>
      </w:tblPr>
      <w:tr>
        <w:trPr>
          <w:trHeight w:val="207"/>
        </w:trPr>
        <w:tc>
          <w:tcPr>
            <w:tcW w:w="420" w:type="dxa"/>
            <w:vAlign w:val="bottom"/>
          </w:tcPr>
          <w:p>
            <w:pPr>
              <w:spacing w:after="0"/>
              <w:rPr>
                <w:sz w:val="17"/>
                <w:szCs w:val="17"/>
                <w:color w:val="auto"/>
              </w:rPr>
            </w:pPr>
          </w:p>
        </w:tc>
        <w:tc>
          <w:tcPr>
            <w:tcW w:w="7160" w:type="dxa"/>
            <w:vAlign w:val="bottom"/>
            <w:gridSpan w:val="4"/>
          </w:tcPr>
          <w:p>
            <w:pPr>
              <w:spacing w:after="0"/>
              <w:rPr>
                <w:sz w:val="20"/>
                <w:szCs w:val="20"/>
                <w:color w:val="auto"/>
              </w:rPr>
            </w:pPr>
            <w:r>
              <w:rPr>
                <w:rFonts w:ascii="Arial" w:cs="Arial" w:eastAsia="Arial" w:hAnsi="Arial"/>
                <w:sz w:val="18"/>
                <w:szCs w:val="18"/>
                <w:color w:val="auto"/>
                <w:w w:val="99"/>
              </w:rPr>
              <w:t>purpose  of  collecting  sale  proceeds  or  designate  an  existing  account  within  Party  B</w:t>
            </w:r>
          </w:p>
        </w:tc>
        <w:tc>
          <w:tcPr>
            <w:tcW w:w="2500" w:type="dxa"/>
            <w:vAlign w:val="bottom"/>
          </w:tcPr>
          <w:p>
            <w:pPr>
              <w:jc w:val="right"/>
              <w:spacing w:after="0"/>
              <w:rPr>
                <w:sz w:val="20"/>
                <w:szCs w:val="20"/>
                <w:color w:val="auto"/>
              </w:rPr>
            </w:pPr>
            <w:r>
              <w:rPr>
                <w:rFonts w:ascii="Arial" w:cs="Arial" w:eastAsia="Arial" w:hAnsi="Arial"/>
                <w:sz w:val="18"/>
                <w:szCs w:val="18"/>
                <w:color w:val="auto"/>
              </w:rPr>
              <w:t>as  such  (Account  Number:</w:t>
            </w:r>
          </w:p>
        </w:tc>
      </w:tr>
      <w:tr>
        <w:trPr>
          <w:trHeight w:val="190"/>
        </w:trPr>
        <w:tc>
          <w:tcPr>
            <w:tcW w:w="420" w:type="dxa"/>
            <w:vAlign w:val="bottom"/>
          </w:tcPr>
          <w:p>
            <w:pPr>
              <w:spacing w:after="0"/>
              <w:rPr>
                <w:sz w:val="16"/>
                <w:szCs w:val="16"/>
                <w:color w:val="auto"/>
              </w:rPr>
            </w:pPr>
          </w:p>
        </w:tc>
        <w:tc>
          <w:tcPr>
            <w:tcW w:w="2140" w:type="dxa"/>
            <w:vAlign w:val="bottom"/>
            <w:gridSpan w:val="3"/>
          </w:tcPr>
          <w:p>
            <w:pPr>
              <w:spacing w:after="0" w:line="190" w:lineRule="exact"/>
              <w:rPr>
                <w:sz w:val="20"/>
                <w:szCs w:val="20"/>
                <w:color w:val="auto"/>
              </w:rPr>
            </w:pPr>
            <w:r>
              <w:rPr>
                <w:rFonts w:ascii="Arial" w:cs="Arial" w:eastAsia="Arial" w:hAnsi="Arial"/>
                <w:sz w:val="18"/>
                <w:szCs w:val="18"/>
                <w:color w:val="auto"/>
              </w:rPr>
              <w:t>33101995038050503008).</w:t>
            </w:r>
          </w:p>
        </w:tc>
        <w:tc>
          <w:tcPr>
            <w:tcW w:w="5020" w:type="dxa"/>
            <w:vAlign w:val="bottom"/>
          </w:tcPr>
          <w:p>
            <w:pPr>
              <w:spacing w:after="0"/>
              <w:rPr>
                <w:sz w:val="16"/>
                <w:szCs w:val="16"/>
                <w:color w:val="auto"/>
              </w:rPr>
            </w:pPr>
          </w:p>
        </w:tc>
        <w:tc>
          <w:tcPr>
            <w:tcW w:w="2500" w:type="dxa"/>
            <w:vAlign w:val="bottom"/>
          </w:tcPr>
          <w:p>
            <w:pPr>
              <w:spacing w:after="0"/>
              <w:rPr>
                <w:sz w:val="16"/>
                <w:szCs w:val="16"/>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r>
        <w:trPr>
          <w:trHeight w:val="412"/>
        </w:trPr>
        <w:tc>
          <w:tcPr>
            <w:tcW w:w="7580" w:type="dxa"/>
            <w:vAlign w:val="bottom"/>
            <w:gridSpan w:val="5"/>
          </w:tcPr>
          <w:p>
            <w:pPr>
              <w:spacing w:after="0"/>
              <w:rPr>
                <w:sz w:val="20"/>
                <w:szCs w:val="20"/>
                <w:color w:val="auto"/>
              </w:rPr>
            </w:pPr>
            <w:r>
              <w:rPr>
                <w:rFonts w:ascii="Arial" w:cs="Arial" w:eastAsia="Arial" w:hAnsi="Arial"/>
                <w:sz w:val="18"/>
                <w:szCs w:val="18"/>
                <w:color w:val="auto"/>
                <w:w w:val="99"/>
              </w:rPr>
              <w:t>(2)   Party A shall, on a monthly basis (choose “monthly” or “quarterly”), submit a report to Party</w:t>
            </w:r>
          </w:p>
        </w:tc>
        <w:tc>
          <w:tcPr>
            <w:tcW w:w="2500" w:type="dxa"/>
            <w:vAlign w:val="bottom"/>
          </w:tcPr>
          <w:p>
            <w:pPr>
              <w:jc w:val="right"/>
              <w:spacing w:after="0"/>
              <w:rPr>
                <w:sz w:val="20"/>
                <w:szCs w:val="20"/>
                <w:color w:val="auto"/>
              </w:rPr>
            </w:pPr>
            <w:r>
              <w:rPr>
                <w:rFonts w:ascii="Arial" w:cs="Arial" w:eastAsia="Arial" w:hAnsi="Arial"/>
                <w:sz w:val="18"/>
                <w:szCs w:val="18"/>
                <w:color w:val="auto"/>
                <w:w w:val="97"/>
              </w:rPr>
              <w:t>B on the incoming and outgoing</w:t>
            </w: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r>
    </w:tbl>
    <w:p>
      <w:pPr>
        <w:spacing w:after="0" w:line="13" w:lineRule="exact"/>
        <w:rPr>
          <w:sz w:val="20"/>
          <w:szCs w:val="20"/>
          <w:color w:val="auto"/>
        </w:rPr>
      </w:pPr>
    </w:p>
    <w:p>
      <w:pPr>
        <w:ind w:left="1760"/>
        <w:spacing w:after="0" w:line="277" w:lineRule="auto"/>
        <w:rPr>
          <w:sz w:val="20"/>
          <w:szCs w:val="20"/>
          <w:color w:val="auto"/>
        </w:rPr>
      </w:pPr>
      <w:r>
        <w:rPr>
          <w:rFonts w:ascii="Arial" w:cs="Arial" w:eastAsia="Arial" w:hAnsi="Arial"/>
          <w:sz w:val="18"/>
          <w:szCs w:val="18"/>
          <w:color w:val="auto"/>
        </w:rPr>
        <w:t xml:space="preserve">amounts of such account. Party A shall submit such report for the immediately preceding month or quarter (as the case may be) within the first </w:t>
      </w:r>
      <w:r>
        <w:rPr>
          <w:rFonts w:ascii="Arial" w:cs="Arial" w:eastAsia="Arial" w:hAnsi="Arial"/>
          <w:sz w:val="18"/>
          <w:szCs w:val="18"/>
          <w:u w:val="single" w:color="auto"/>
          <w:color w:val="auto"/>
        </w:rPr>
        <w:t>FIVE</w:t>
      </w:r>
      <w:r>
        <w:rPr>
          <w:rFonts w:ascii="Arial" w:cs="Arial" w:eastAsia="Arial" w:hAnsi="Arial"/>
          <w:sz w:val="18"/>
          <w:szCs w:val="18"/>
          <w:color w:val="auto"/>
        </w:rPr>
        <w:t xml:space="preserve"> working days of each month or quarter.</w:t>
      </w:r>
    </w:p>
    <w:p>
      <w:pPr>
        <w:spacing w:after="0" w:line="170" w:lineRule="exact"/>
        <w:rPr>
          <w:sz w:val="20"/>
          <w:szCs w:val="20"/>
          <w:color w:val="auto"/>
        </w:rPr>
      </w:pPr>
    </w:p>
    <w:p>
      <w:pPr>
        <w:ind w:left="1760" w:hanging="428"/>
        <w:spacing w:after="0" w:line="277" w:lineRule="auto"/>
        <w:tabs>
          <w:tab w:leader="none" w:pos="17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Party B is entitled to manage the incoming and outgoing amounts of such account. In particular, such account shall be in compliance with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(one or more of the following requirements may be selected):</w:t>
      </w:r>
    </w:p>
    <w:p>
      <w:pPr>
        <w:spacing w:after="0" w:line="170" w:lineRule="exact"/>
        <w:rPr>
          <w:rFonts w:ascii="Arial" w:cs="Arial" w:eastAsia="Arial" w:hAnsi="Arial"/>
          <w:sz w:val="18"/>
          <w:szCs w:val="18"/>
          <w:color w:val="auto"/>
        </w:rPr>
      </w:pPr>
    </w:p>
    <w:p>
      <w:pPr>
        <w:ind w:left="1840" w:hanging="213"/>
        <w:spacing w:after="0"/>
        <w:tabs>
          <w:tab w:leader="none" w:pos="18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average balances of such account:</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900" w:hanging="273"/>
        <w:spacing w:after="0"/>
        <w:tabs>
          <w:tab w:leader="none" w:pos="19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time for incoming payment being deposited into such account:</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940" w:hanging="311"/>
        <w:spacing w:after="0"/>
        <w:tabs>
          <w:tab w:leader="none" w:pos="19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percentage of the overall sale proceeds of Party A that are to be deposited into such account:</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940" w:hanging="311"/>
        <w:spacing w:after="0"/>
        <w:tabs>
          <w:tab w:leader="none" w:pos="19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amount limit for any particular outgoing payment of such account:</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66" w:name="page67"/>
    <w:bookmarkEnd w:id="66"/>
    <w:p>
      <w:pPr>
        <w:ind w:left="1880" w:hanging="251"/>
        <w:spacing w:after="0"/>
        <w:tabs>
          <w:tab w:leader="none" w:pos="1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amount limit for daily outgoing payment (s) of such account:</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940" w:hanging="311"/>
        <w:spacing w:after="0"/>
        <w:tabs>
          <w:tab w:leader="none" w:pos="19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restrictions on internet-banking functions of such account:</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980" w:hanging="351"/>
        <w:spacing w:after="0"/>
        <w:tabs>
          <w:tab w:leader="none" w:pos="1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no outgoing payment shall be made without Party B’s prior consent;</w:t>
      </w:r>
    </w:p>
    <w:p>
      <w:pPr>
        <w:spacing w:after="0" w:line="225" w:lineRule="exact"/>
        <w:rPr>
          <w:rFonts w:ascii="Arial" w:cs="Arial" w:eastAsia="Arial" w:hAnsi="Arial"/>
          <w:sz w:val="18"/>
          <w:szCs w:val="18"/>
          <w:color w:val="auto"/>
        </w:rPr>
      </w:pPr>
    </w:p>
    <w:p>
      <w:pPr>
        <w:ind w:left="2040" w:hanging="409"/>
        <w:spacing w:after="0"/>
        <w:tabs>
          <w:tab w:leader="none" w:pos="20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Such account shall be used only for the purposes of collecting sale proceeds and repaying the loan, and not for any other purpose;</w:t>
      </w:r>
    </w:p>
    <w:p>
      <w:pPr>
        <w:spacing w:after="0" w:line="248" w:lineRule="exact"/>
        <w:rPr>
          <w:rFonts w:ascii="Arial" w:cs="Arial" w:eastAsia="Arial" w:hAnsi="Arial"/>
          <w:sz w:val="16"/>
          <w:szCs w:val="16"/>
          <w:color w:val="auto"/>
        </w:rPr>
      </w:pPr>
    </w:p>
    <w:p>
      <w:pPr>
        <w:ind w:left="1940" w:hanging="309"/>
        <w:spacing w:after="0"/>
        <w:tabs>
          <w:tab w:leader="none" w:pos="19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960" w:hanging="252"/>
        <w:spacing w:after="0"/>
        <w:tabs>
          <w:tab w:leader="none" w:pos="1960" w:val="left"/>
        </w:tabs>
        <w:numPr>
          <w:ilvl w:val="2"/>
          <w:numId w:val="91"/>
        </w:numPr>
        <w:rPr>
          <w:rFonts w:ascii="Arial" w:cs="Arial" w:eastAsia="Arial" w:hAnsi="Arial"/>
          <w:sz w:val="18"/>
          <w:szCs w:val="18"/>
          <w:color w:val="auto"/>
        </w:rPr>
      </w:pPr>
      <w:r>
        <w:rPr>
          <w:rFonts w:ascii="Arial" w:cs="Arial" w:eastAsia="Arial" w:hAnsi="Arial"/>
          <w:sz w:val="18"/>
          <w:szCs w:val="18"/>
          <w:color w:val="auto"/>
        </w:rPr>
        <w:t>other requirements by Party B;</w:t>
      </w:r>
    </w:p>
    <w:p>
      <w:pPr>
        <w:spacing w:after="0" w:line="225" w:lineRule="exact"/>
        <w:rPr>
          <w:rFonts w:ascii="Arial" w:cs="Arial" w:eastAsia="Arial" w:hAnsi="Arial"/>
          <w:sz w:val="18"/>
          <w:szCs w:val="18"/>
          <w:color w:val="auto"/>
        </w:rPr>
      </w:pPr>
    </w:p>
    <w:p>
      <w:pPr>
        <w:ind w:left="2000" w:hanging="292"/>
        <w:spacing w:after="0"/>
        <w:tabs>
          <w:tab w:leader="none" w:pos="2000" w:val="left"/>
        </w:tabs>
        <w:numPr>
          <w:ilvl w:val="2"/>
          <w:numId w:val="91"/>
        </w:numPr>
        <w:rPr>
          <w:rFonts w:ascii="Arial" w:cs="Arial" w:eastAsia="Arial" w:hAnsi="Arial"/>
          <w:sz w:val="18"/>
          <w:szCs w:val="18"/>
          <w:color w:val="auto"/>
        </w:rPr>
      </w:pPr>
      <w:r>
        <w:rPr>
          <w:rFonts w:ascii="Arial" w:cs="Arial" w:eastAsia="Arial" w:hAnsi="Arial"/>
          <w:sz w:val="18"/>
          <w:szCs w:val="18"/>
          <w:color w:val="auto"/>
        </w:rPr>
        <w:t>A separate Account Management Agreement signed by both Parties shall be complied with.</w:t>
      </w:r>
    </w:p>
    <w:p>
      <w:pPr>
        <w:spacing w:after="0" w:line="221"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REPAYMENT</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7.1 General Principles for Repayment</w:t>
      </w:r>
    </w:p>
    <w:p>
      <w:pPr>
        <w:spacing w:after="0" w:line="225" w:lineRule="exact"/>
        <w:rPr>
          <w:sz w:val="20"/>
          <w:szCs w:val="20"/>
          <w:color w:val="auto"/>
        </w:rPr>
      </w:pPr>
    </w:p>
    <w:p>
      <w:pPr>
        <w:jc w:val="both"/>
        <w:ind w:left="980"/>
        <w:spacing w:after="0" w:line="279" w:lineRule="auto"/>
        <w:rPr>
          <w:sz w:val="20"/>
          <w:szCs w:val="20"/>
          <w:color w:val="auto"/>
        </w:rPr>
      </w:pPr>
      <w:r>
        <w:rPr>
          <w:rFonts w:ascii="Arial" w:cs="Arial" w:eastAsia="Arial" w:hAnsi="Arial"/>
          <w:sz w:val="17"/>
          <w:szCs w:val="17"/>
          <w:color w:val="auto"/>
        </w:rPr>
        <w:t>Party A shall repay the Loan in accordance with the following principles: Party B has the right to apply Party A’s repayment first towards payment of any expense which shall be borne by Party A as provided hereunder but has been advanced by Party B and the expenses incurred by Party B for realizing its creditor’s rights. Party B shall apply the balance of such repayment in the order of interest first and then principal adhering to the principle that the interest shall be fully repaid concurrently with the repayment in full of all the principal amounts.</w:t>
      </w:r>
    </w:p>
    <w:p>
      <w:pPr>
        <w:spacing w:after="0" w:line="171"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For any advance of which the principal has become due but unpaid for more than ninety days, or any advance on which the interest has become due but unpaid for more than ninety days, or any advance otherwise provided by the laws, regulations or rules, Party B may first apply Party A’s repayment towards those payments of expenses set out in the first paragraph of this article. Then Party B may apply the balance of such repayment towards payment in the order of principal first and then interest.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7.2 Payment of Interest</w:t>
      </w:r>
    </w:p>
    <w:p>
      <w:pPr>
        <w:spacing w:after="0" w:line="225" w:lineRule="exact"/>
        <w:rPr>
          <w:sz w:val="20"/>
          <w:szCs w:val="20"/>
          <w:color w:val="auto"/>
        </w:rPr>
      </w:pPr>
    </w:p>
    <w:p>
      <w:pPr>
        <w:ind w:left="360" w:right="20"/>
        <w:spacing w:after="0" w:line="342" w:lineRule="auto"/>
        <w:rPr>
          <w:sz w:val="20"/>
          <w:szCs w:val="20"/>
          <w:color w:val="auto"/>
        </w:rPr>
      </w:pPr>
      <w:r>
        <w:rPr>
          <w:rFonts w:ascii="Arial" w:cs="Arial" w:eastAsia="Arial" w:hAnsi="Arial"/>
          <w:sz w:val="16"/>
          <w:szCs w:val="16"/>
          <w:color w:val="auto"/>
        </w:rPr>
        <w:t>Party A shall pay due interest to Party B on the interest settlement date. The first interest payment date shall be the first interest settlement date after the release of an advance. All the interest and principal amounts outstanding shall be paid in full on the last repayment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7.3 Schedule for Repayment of the Principal</w:t>
      </w:r>
    </w:p>
    <w:p>
      <w:pPr>
        <w:spacing w:after="0" w:line="2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The repayment schedule hereunder shall be determined in accordance with item </w:t>
      </w:r>
      <w:r>
        <w:rPr>
          <w:rFonts w:ascii="Arial" w:cs="Arial" w:eastAsia="Arial" w:hAnsi="Arial"/>
          <w:sz w:val="18"/>
          <w:szCs w:val="18"/>
          <w:b w:val="1"/>
          <w:bCs w:val="1"/>
          <w:color w:val="auto"/>
        </w:rPr>
        <w:t>[see Schedule A]</w:t>
      </w:r>
      <w:r>
        <w:rPr>
          <w:rFonts w:ascii="Arial" w:cs="Arial" w:eastAsia="Arial" w:hAnsi="Arial"/>
          <w:sz w:val="18"/>
          <w:szCs w:val="18"/>
          <w:color w:val="auto"/>
        </w:rPr>
        <w:t xml:space="preserve"> below:</w:t>
      </w:r>
    </w:p>
    <w:p>
      <w:pPr>
        <w:spacing w:after="0" w:line="229" w:lineRule="exact"/>
        <w:rPr>
          <w:sz w:val="20"/>
          <w:szCs w:val="20"/>
          <w:color w:val="auto"/>
        </w:rPr>
      </w:pPr>
    </w:p>
    <w:p>
      <w:pPr>
        <w:ind w:left="1520" w:hanging="1158"/>
        <w:spacing w:after="0"/>
        <w:tabs>
          <w:tab w:leader="none" w:pos="1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repayment schedule shall be as follows:</w:t>
      </w:r>
    </w:p>
    <w:p>
      <w:pPr>
        <w:spacing w:after="0" w:line="225" w:lineRule="exact"/>
        <w:rPr>
          <w:sz w:val="20"/>
          <w:szCs w:val="20"/>
          <w:color w:val="auto"/>
        </w:rPr>
      </w:pPr>
    </w:p>
    <w:p>
      <w:pPr>
        <w:ind w:left="1700"/>
        <w:spacing w:after="0"/>
        <w:tabs>
          <w:tab w:leader="none" w:pos="6600" w:val="left"/>
        </w:tabs>
        <w:rPr>
          <w:sz w:val="20"/>
          <w:szCs w:val="20"/>
          <w:color w:val="auto"/>
        </w:rPr>
      </w:pPr>
      <w:r>
        <w:rPr>
          <w:rFonts w:ascii="Arial" w:cs="Arial" w:eastAsia="Arial" w:hAnsi="Arial"/>
          <w:sz w:val="18"/>
          <w:szCs w:val="18"/>
          <w:color w:val="auto"/>
        </w:rPr>
        <w:t>Repayment Date(mm/dd/yyyy)</w:t>
      </w:r>
      <w:r>
        <w:rPr>
          <w:sz w:val="20"/>
          <w:szCs w:val="20"/>
          <w:color w:val="auto"/>
        </w:rPr>
        <w:tab/>
      </w:r>
      <w:r>
        <w:rPr>
          <w:rFonts w:ascii="Arial" w:cs="Arial" w:eastAsia="Arial" w:hAnsi="Arial"/>
          <w:sz w:val="17"/>
          <w:szCs w:val="17"/>
          <w:color w:val="auto"/>
        </w:rPr>
        <w:t>Amount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(iii)</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(iv)</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w:t>
      </w:r>
    </w:p>
    <w:p>
      <w:pPr>
        <w:spacing w:after="0" w:line="200" w:lineRule="exact"/>
        <w:rPr>
          <w:sz w:val="20"/>
          <w:szCs w:val="20"/>
          <w:color w:val="auto"/>
        </w:rPr>
      </w:pPr>
    </w:p>
    <w:p>
      <w:pPr>
        <w:spacing w:after="0" w:line="26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6350</wp:posOffset>
            </wp:positionV>
            <wp:extent cx="62687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487680</wp:posOffset>
            </wp:positionH>
            <wp:positionV relativeFrom="paragraph">
              <wp:posOffset>152400</wp:posOffset>
            </wp:positionV>
            <wp:extent cx="62687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487680</wp:posOffset>
            </wp:positionH>
            <wp:positionV relativeFrom="paragraph">
              <wp:posOffset>297815</wp:posOffset>
            </wp:positionV>
            <wp:extent cx="62687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7.4 Repayment Method</w:t>
      </w:r>
    </w:p>
    <w:p>
      <w:pPr>
        <w:spacing w:after="0" w:line="225" w:lineRule="exact"/>
        <w:rPr>
          <w:sz w:val="20"/>
          <w:szCs w:val="20"/>
          <w:color w:val="auto"/>
        </w:rPr>
      </w:pPr>
    </w:p>
    <w:p>
      <w:pPr>
        <w:jc w:val="both"/>
        <w:ind w:left="360"/>
        <w:spacing w:after="0" w:line="264" w:lineRule="auto"/>
        <w:rPr>
          <w:sz w:val="20"/>
          <w:szCs w:val="20"/>
          <w:color w:val="auto"/>
        </w:rPr>
      </w:pPr>
      <w:r>
        <w:rPr>
          <w:rFonts w:ascii="Arial" w:cs="Arial" w:eastAsia="Arial" w:hAnsi="Arial"/>
          <w:sz w:val="18"/>
          <w:szCs w:val="18"/>
          <w:color w:val="auto"/>
        </w:rPr>
        <w:t>Party A shall deposit sufficient amount into the Account to collect sale processor other account at Party B before the repayment date provided hereunder and transfer such amount to repay the Loan (Party B may also debit such amount from such account to repay the Loan), or transfer such amount from another bank account of Party A to repay the Loan.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7.5 Prepayment</w:t>
      </w:r>
    </w:p>
    <w:p>
      <w:pPr>
        <w:spacing w:after="0" w:line="225" w:lineRule="exact"/>
        <w:rPr>
          <w:sz w:val="20"/>
          <w:szCs w:val="20"/>
          <w:color w:val="auto"/>
        </w:rPr>
      </w:pPr>
    </w:p>
    <w:p>
      <w:pPr>
        <w:jc w:val="both"/>
        <w:ind w:left="360" w:right="20"/>
        <w:spacing w:after="0" w:line="258" w:lineRule="auto"/>
        <w:rPr>
          <w:sz w:val="20"/>
          <w:szCs w:val="20"/>
          <w:color w:val="auto"/>
        </w:rPr>
      </w:pPr>
      <w:r>
        <w:rPr>
          <w:rFonts w:ascii="Arial" w:cs="Arial" w:eastAsia="Arial" w:hAnsi="Arial"/>
          <w:sz w:val="18"/>
          <w:szCs w:val="18"/>
          <w:color w:val="auto"/>
        </w:rPr>
        <w:t xml:space="preserve">Party A may prepay the principals in full or in part upon approval by Party B of a written application submitted to Party B </w:t>
      </w:r>
      <w:r>
        <w:rPr>
          <w:rFonts w:ascii="Arial" w:cs="Arial" w:eastAsia="Arial" w:hAnsi="Arial"/>
          <w:sz w:val="18"/>
          <w:szCs w:val="18"/>
          <w:u w:val="single" w:color="auto"/>
          <w:color w:val="auto"/>
        </w:rPr>
        <w:t>THIRTY</w:t>
      </w:r>
      <w:r>
        <w:rPr>
          <w:rFonts w:ascii="Arial" w:cs="Arial" w:eastAsia="Arial" w:hAnsi="Arial"/>
          <w:sz w:val="18"/>
          <w:szCs w:val="18"/>
          <w:color w:val="auto"/>
        </w:rPr>
        <w:t xml:space="preserve"> working days in advance.</w:t>
      </w:r>
    </w:p>
    <w:p>
      <w:pPr>
        <w:spacing w:after="0" w:line="1" w:lineRule="exact"/>
        <w:rPr>
          <w:sz w:val="20"/>
          <w:szCs w:val="20"/>
          <w:color w:val="auto"/>
        </w:rPr>
      </w:pPr>
    </w:p>
    <w:p>
      <w:pPr>
        <w:jc w:val="both"/>
        <w:ind w:left="360"/>
        <w:spacing w:after="0" w:line="261" w:lineRule="auto"/>
        <w:rPr>
          <w:sz w:val="20"/>
          <w:szCs w:val="20"/>
          <w:color w:val="auto"/>
        </w:rPr>
      </w:pPr>
      <w:r>
        <w:rPr>
          <w:rFonts w:ascii="Arial" w:cs="Arial" w:eastAsia="Arial" w:hAnsi="Arial"/>
          <w:sz w:val="18"/>
          <w:szCs w:val="18"/>
          <w:color w:val="auto"/>
        </w:rPr>
        <w:t>The interest accrued on the principals to be prepaid shall be calculated on the basis of the actual number of days lapsed and the Loan Rate provided herein.</w:t>
      </w:r>
    </w:p>
    <w:p>
      <w:pPr>
        <w:spacing w:after="0" w:line="184"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40"/>
          </w:cols>
          <w:pgMar w:left="1020" w:top="665" w:right="239" w:bottom="1440" w:gutter="0" w:footer="0" w:header="0"/>
        </w:sectPr>
      </w:pPr>
    </w:p>
    <w:bookmarkStart w:id="68" w:name="page69"/>
    <w:bookmarkEnd w:id="68"/>
    <w:p>
      <w:pPr>
        <w:ind w:left="1140"/>
        <w:spacing w:after="0" w:line="277" w:lineRule="auto"/>
        <w:rPr>
          <w:sz w:val="20"/>
          <w:szCs w:val="20"/>
          <w:color w:val="auto"/>
        </w:rPr>
      </w:pPr>
      <w:r>
        <w:rPr>
          <w:rFonts w:ascii="Arial" w:cs="Arial" w:eastAsia="Arial" w:hAnsi="Arial"/>
          <w:sz w:val="18"/>
          <w:szCs w:val="18"/>
          <w:color w:val="auto"/>
        </w:rPr>
        <w:t xml:space="preserve">If Party B approves the prepayment by Party A, Party B shall have the right to charge Party A the compensation fee in an amount to be determined in accordance with the </w:t>
      </w:r>
      <w:r>
        <w:rPr>
          <w:rFonts w:ascii="Arial" w:cs="Arial" w:eastAsia="Arial" w:hAnsi="Arial"/>
          <w:sz w:val="18"/>
          <w:szCs w:val="18"/>
          <w:u w:val="single" w:color="auto"/>
          <w:color w:val="auto"/>
        </w:rPr>
        <w:t>(1)</w:t>
      </w:r>
      <w:r>
        <w:rPr>
          <w:rFonts w:ascii="Arial" w:cs="Arial" w:eastAsia="Arial" w:hAnsi="Arial"/>
          <w:sz w:val="18"/>
          <w:szCs w:val="18"/>
          <w:color w:val="auto"/>
        </w:rPr>
        <w:t xml:space="preserve"> of the following methods:</w:t>
      </w:r>
    </w:p>
    <w:p>
      <w:pPr>
        <w:spacing w:after="0" w:line="166" w:lineRule="exact"/>
        <w:rPr>
          <w:sz w:val="20"/>
          <w:szCs w:val="20"/>
          <w:color w:val="auto"/>
        </w:rPr>
      </w:pPr>
    </w:p>
    <w:p>
      <w:pPr>
        <w:jc w:val="both"/>
        <w:ind w:left="1540" w:hanging="398"/>
        <w:spacing w:after="0" w:line="266" w:lineRule="auto"/>
        <w:tabs>
          <w:tab w:leader="none" w:pos="1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compensation fee = amount of the principal prepaid × number of months remaining until the scheduled repayment date(the “</w:t>
      </w:r>
      <w:r>
        <w:rPr>
          <w:rFonts w:ascii="Arial" w:cs="Arial" w:eastAsia="Arial" w:hAnsi="Arial"/>
          <w:sz w:val="18"/>
          <w:szCs w:val="18"/>
          <w:b w:val="1"/>
          <w:bCs w:val="1"/>
          <w:color w:val="auto"/>
        </w:rPr>
        <w:t>Remaining</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 × __1__‰; provided, however, that the part of the Remaining Period that falls short of a month shall be calculated as a full</w:t>
      </w:r>
      <w:r>
        <w:rPr>
          <w:rFonts w:ascii="Arial" w:cs="Arial" w:eastAsia="Arial" w:hAnsi="Arial"/>
          <w:sz w:val="18"/>
          <w:szCs w:val="18"/>
          <w:b w:val="1"/>
          <w:bCs w:val="1"/>
          <w:color w:val="auto"/>
        </w:rPr>
        <w:t xml:space="preserve"> </w:t>
      </w:r>
      <w:r>
        <w:rPr>
          <w:rFonts w:ascii="Arial" w:cs="Arial" w:eastAsia="Arial" w:hAnsi="Arial"/>
          <w:sz w:val="18"/>
          <w:szCs w:val="18"/>
          <w:color w:val="auto"/>
        </w:rPr>
        <w:t>month; or</w:t>
      </w:r>
    </w:p>
    <w:p>
      <w:pPr>
        <w:spacing w:after="0" w:line="18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6350</wp:posOffset>
            </wp:positionV>
            <wp:extent cx="62687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152400</wp:posOffset>
            </wp:positionV>
            <wp:extent cx="62687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68720" cy="8890"/>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297815</wp:posOffset>
            </wp:positionV>
            <wp:extent cx="62687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68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140"/>
        <w:spacing w:after="0" w:line="342" w:lineRule="auto"/>
        <w:rPr>
          <w:sz w:val="20"/>
          <w:szCs w:val="20"/>
          <w:color w:val="auto"/>
        </w:rPr>
      </w:pPr>
      <w:r>
        <w:rPr>
          <w:rFonts w:ascii="Arial" w:cs="Arial" w:eastAsia="Arial" w:hAnsi="Arial"/>
          <w:sz w:val="16"/>
          <w:szCs w:val="16"/>
          <w:color w:val="auto"/>
        </w:rPr>
        <w:t>If Party A is required to repay the Loan in installments and prepays part of the principal, the prepaid amount shall be applied in the reverse order of the repayment schedule. After any partial prepayment, the outstanding Loan shall still be subject to the Loan Rate provided herein.</w:t>
      </w:r>
    </w:p>
    <w:p>
      <w:pPr>
        <w:spacing w:after="0" w:line="120" w:lineRule="exact"/>
        <w:rPr>
          <w:sz w:val="20"/>
          <w:szCs w:val="20"/>
          <w:color w:val="auto"/>
        </w:rPr>
      </w:pPr>
    </w:p>
    <w:p>
      <w:pPr>
        <w:ind w:left="660" w:right="7680" w:hanging="652"/>
        <w:spacing w:after="0" w:line="407" w:lineRule="auto"/>
        <w:tabs>
          <w:tab w:leader="none" w:pos="336"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PARTY A’S RIGHTS AND OBLIGATIONS </w:t>
      </w:r>
      <w:r>
        <w:rPr>
          <w:rFonts w:ascii="Arial" w:cs="Arial" w:eastAsia="Arial" w:hAnsi="Arial"/>
          <w:sz w:val="18"/>
          <w:szCs w:val="18"/>
          <w:color w:val="auto"/>
        </w:rPr>
        <w:t>8.1 Party A’s Rights</w:t>
      </w:r>
    </w:p>
    <w:p>
      <w:pPr>
        <w:spacing w:after="0" w:line="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Party A has the rights to:</w:t>
      </w:r>
    </w:p>
    <w:p>
      <w:pPr>
        <w:spacing w:after="0" w:line="225" w:lineRule="exact"/>
        <w:rPr>
          <w:sz w:val="20"/>
          <w:szCs w:val="20"/>
          <w:color w:val="auto"/>
        </w:rPr>
      </w:pPr>
    </w:p>
    <w:p>
      <w:pPr>
        <w:ind w:left="1360" w:hanging="393"/>
        <w:spacing w:after="0"/>
        <w:tabs>
          <w:tab w:leader="none" w:pos="13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request Party B to release each advance of the Loan as provided hereunder;</w:t>
      </w:r>
    </w:p>
    <w:p>
      <w:pPr>
        <w:spacing w:after="0" w:line="225" w:lineRule="exact"/>
        <w:rPr>
          <w:rFonts w:ascii="Arial" w:cs="Arial" w:eastAsia="Arial" w:hAnsi="Arial"/>
          <w:sz w:val="18"/>
          <w:szCs w:val="18"/>
          <w:color w:val="auto"/>
        </w:rPr>
      </w:pPr>
    </w:p>
    <w:p>
      <w:pPr>
        <w:ind w:left="1360" w:hanging="393"/>
        <w:spacing w:after="0"/>
        <w:tabs>
          <w:tab w:leader="none" w:pos="13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utilize the Loan for the purposes provided for hereunder;</w:t>
      </w:r>
    </w:p>
    <w:p>
      <w:pPr>
        <w:spacing w:after="0" w:line="225" w:lineRule="exact"/>
        <w:rPr>
          <w:rFonts w:ascii="Arial" w:cs="Arial" w:eastAsia="Arial" w:hAnsi="Arial"/>
          <w:sz w:val="18"/>
          <w:szCs w:val="18"/>
          <w:color w:val="auto"/>
        </w:rPr>
      </w:pPr>
    </w:p>
    <w:p>
      <w:pPr>
        <w:ind w:left="1360" w:hanging="393"/>
        <w:spacing w:after="0"/>
        <w:tabs>
          <w:tab w:leader="none" w:pos="13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apply to Party B for extension of the Term hereunder provided that it has satisfied all the conditions as Party B requests;</w:t>
      </w:r>
    </w:p>
    <w:p>
      <w:pPr>
        <w:spacing w:after="0" w:line="225" w:lineRule="exact"/>
        <w:rPr>
          <w:rFonts w:ascii="Arial" w:cs="Arial" w:eastAsia="Arial" w:hAnsi="Arial"/>
          <w:sz w:val="18"/>
          <w:szCs w:val="18"/>
          <w:color w:val="auto"/>
        </w:rPr>
      </w:pPr>
    </w:p>
    <w:p>
      <w:pPr>
        <w:jc w:val="both"/>
        <w:ind w:left="1360" w:hanging="393"/>
        <w:spacing w:after="0" w:line="264" w:lineRule="auto"/>
        <w:tabs>
          <w:tab w:leader="none" w:pos="13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require Party B to keep confidential the relevant financial information and manufacturing and operating trade secrets furnished by Party A except provided otherwise by law, regulations and rules, or required otherwise by the competent authorities, or agreed otherwise between the both parties hereto;</w:t>
      </w:r>
    </w:p>
    <w:p>
      <w:pPr>
        <w:spacing w:after="0" w:line="181" w:lineRule="exact"/>
        <w:rPr>
          <w:rFonts w:ascii="Arial" w:cs="Arial" w:eastAsia="Arial" w:hAnsi="Arial"/>
          <w:sz w:val="18"/>
          <w:szCs w:val="18"/>
          <w:color w:val="auto"/>
        </w:rPr>
      </w:pPr>
    </w:p>
    <w:p>
      <w:pPr>
        <w:ind w:left="1380" w:right="20" w:hanging="413"/>
        <w:spacing w:after="0" w:line="342" w:lineRule="auto"/>
        <w:tabs>
          <w:tab w:leader="none" w:pos="13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reject Party B or its employees asking for bribe; it shall have the right to lodge complaint with the competent authority about such misconduct and any other act of Party B that may violate the laws and regulations relating to the lending interest rate and service charges.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8.2 Party A’s Obligations</w:t>
      </w:r>
    </w:p>
    <w:p>
      <w:pPr>
        <w:spacing w:after="0" w:line="225" w:lineRule="exact"/>
        <w:rPr>
          <w:sz w:val="20"/>
          <w:szCs w:val="20"/>
          <w:color w:val="auto"/>
        </w:rPr>
      </w:pPr>
    </w:p>
    <w:p>
      <w:pPr>
        <w:ind w:left="1520" w:hanging="553"/>
        <w:spacing w:after="0" w:line="277" w:lineRule="auto"/>
        <w:tabs>
          <w:tab w:leader="none" w:pos="1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Party A shall draw the Loan and repay the principal and interest in full as provided herein, and bear the expenses and fees as provided herein;</w:t>
      </w:r>
    </w:p>
    <w:p>
      <w:pPr>
        <w:spacing w:after="0" w:line="170" w:lineRule="exact"/>
        <w:rPr>
          <w:rFonts w:ascii="Arial" w:cs="Arial" w:eastAsia="Arial" w:hAnsi="Arial"/>
          <w:sz w:val="18"/>
          <w:szCs w:val="18"/>
          <w:color w:val="auto"/>
        </w:rPr>
      </w:pPr>
    </w:p>
    <w:p>
      <w:pPr>
        <w:jc w:val="both"/>
        <w:ind w:left="1520" w:hanging="553"/>
        <w:spacing w:after="0" w:line="273" w:lineRule="auto"/>
        <w:tabs>
          <w:tab w:leader="none" w:pos="1520" w:val="left"/>
        </w:tabs>
        <w:numPr>
          <w:ilvl w:val="0"/>
          <w:numId w:val="97"/>
        </w:numPr>
        <w:rPr>
          <w:rFonts w:ascii="Arial" w:cs="Arial" w:eastAsia="Arial" w:hAnsi="Arial"/>
          <w:sz w:val="17"/>
          <w:szCs w:val="17"/>
          <w:color w:val="auto"/>
        </w:rPr>
      </w:pPr>
      <w:r>
        <w:rPr>
          <w:rFonts w:ascii="Arial" w:cs="Arial" w:eastAsia="Arial" w:hAnsi="Arial"/>
          <w:sz w:val="17"/>
          <w:szCs w:val="17"/>
          <w:color w:val="auto"/>
        </w:rPr>
        <w:t xml:space="preserve">Party A shall provide its financial, accounting as well as manufacturing and operating information and other materials as the Party B may request, and among other things, on or before the </w:t>
      </w:r>
      <w:r>
        <w:rPr>
          <w:rFonts w:ascii="Arial" w:cs="Arial" w:eastAsia="Arial" w:hAnsi="Arial"/>
          <w:sz w:val="17"/>
          <w:szCs w:val="17"/>
          <w:u w:val="single" w:color="auto"/>
          <w:color w:val="auto"/>
        </w:rPr>
        <w:t>TWENTY</w:t>
      </w:r>
      <w:r>
        <w:rPr>
          <w:rFonts w:ascii="Arial" w:cs="Arial" w:eastAsia="Arial" w:hAnsi="Arial"/>
          <w:sz w:val="17"/>
          <w:szCs w:val="17"/>
          <w:color w:val="auto"/>
        </w:rPr>
        <w:t xml:space="preserve"> working day of the first month of each quarter, Party A shall provide to Party B with the balance sheet and the profit and loss statement (or the income and expenditure statement, if Party A is a public institution) up to the end of the preceding quarter, and shall provide the cash flow statement at the end of each year in a timely fashion. Party A shall be responsible for the legality, truthfulness, accuracy, completeness and validity of the information it provides, and shall not provide false information or conceal material facts with respect to its financial and operation status;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69" w:name="page70"/>
    <w:bookmarkEnd w:id="69"/>
    <w:p>
      <w:pPr>
        <w:jc w:val="both"/>
        <w:ind w:left="1520" w:hanging="553"/>
        <w:spacing w:after="0" w:line="302" w:lineRule="auto"/>
        <w:tabs>
          <w:tab w:leader="none" w:pos="15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In case of any change in Party A’s name, legal representative (or principal officer), registered address, business scope, registered capital, articles of association or any other registration with local industrial and commercial authority, or there arises any circumstances that may adversely affect Party A’s capability to repay the indebtedness or may endanger Party B’s rights as a creditor, Party A shall notify Party B in writing of the same with relevant documents together with such notification evidencing the changes within 3 working days thereafter;</w:t>
      </w:r>
    </w:p>
    <w:p>
      <w:pPr>
        <w:spacing w:after="0" w:line="154" w:lineRule="exact"/>
        <w:rPr>
          <w:rFonts w:ascii="Arial" w:cs="Arial" w:eastAsia="Arial" w:hAnsi="Arial"/>
          <w:sz w:val="16"/>
          <w:szCs w:val="16"/>
          <w:color w:val="auto"/>
        </w:rPr>
      </w:pPr>
    </w:p>
    <w:p>
      <w:pPr>
        <w:jc w:val="both"/>
        <w:ind w:left="1520" w:hanging="553"/>
        <w:spacing w:after="0" w:line="288" w:lineRule="auto"/>
        <w:tabs>
          <w:tab w:leader="none" w:pos="15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Party A shall utilize the Loan in accordance with the purposes as provided herein, and shall not misappropriate the Loan or utilize the Loan to carry out any transactions in violation of the laws and regulations, nor for investments in fixed assets, or equity or other areas, nor for production or operations prohibited by the state, nor for repaying the indebtedness incurred as a result of Party A’s investments in fixed assets or equity etc.; Party A shall cooperate with Party B in its inspection of Party A’s manufacturing, operating and financial activities and utilization of the Loan herein, and shall be subject to the requirements of Party B relating to loan management; Party A shall not try to evade its repayment obligations owing to Party B by means of withdrawing capital it has injected, transferring assets or entering into related-party transactions. Further, Party A shall not attempt to obtain loans or credit facilities from Party B by using dummy contracts with its related parties or by pledging such rights as notes receivable or accounts receivable without actual underlying transactions or by applying to Party B for discounting the same; Party A shall be in compliance with the provisions relating to means of payment and shall not evade Entrusted Payment by way of dividing a larger-amount payment into payments in smaller amounts;</w:t>
      </w:r>
    </w:p>
    <w:p>
      <w:pPr>
        <w:spacing w:after="0" w:line="169" w:lineRule="exact"/>
        <w:rPr>
          <w:rFonts w:ascii="Arial" w:cs="Arial" w:eastAsia="Arial" w:hAnsi="Arial"/>
          <w:sz w:val="16"/>
          <w:szCs w:val="16"/>
          <w:color w:val="auto"/>
        </w:rPr>
      </w:pPr>
    </w:p>
    <w:p>
      <w:pPr>
        <w:ind w:left="1520" w:right="20" w:hanging="553"/>
        <w:spacing w:after="0" w:line="277" w:lineRule="auto"/>
        <w:tabs>
          <w:tab w:leader="none" w:pos="1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Party A shall comply with the regulations relating to environmental protection, if the Loan hereunder shall be utilized for manufacturing or project construction;</w:t>
      </w:r>
    </w:p>
    <w:p>
      <w:pPr>
        <w:spacing w:after="0" w:line="170" w:lineRule="exact"/>
        <w:rPr>
          <w:rFonts w:ascii="Arial" w:cs="Arial" w:eastAsia="Arial" w:hAnsi="Arial"/>
          <w:sz w:val="18"/>
          <w:szCs w:val="18"/>
          <w:color w:val="auto"/>
        </w:rPr>
      </w:pPr>
    </w:p>
    <w:p>
      <w:pPr>
        <w:ind w:left="1520" w:hanging="553"/>
        <w:spacing w:after="0" w:line="277" w:lineRule="auto"/>
        <w:tabs>
          <w:tab w:leader="none" w:pos="1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Without Party B’s consent, Party A shall not mortgage or pledge any assets acquired by utilizing the Loan hereunder for the benefit of a third party before full repayment of the principals and interest accrued thereon;</w:t>
      </w:r>
    </w:p>
    <w:p>
      <w:pPr>
        <w:spacing w:after="0" w:line="170" w:lineRule="exact"/>
        <w:rPr>
          <w:rFonts w:ascii="Arial" w:cs="Arial" w:eastAsia="Arial" w:hAnsi="Arial"/>
          <w:sz w:val="18"/>
          <w:szCs w:val="18"/>
          <w:color w:val="auto"/>
        </w:rPr>
      </w:pPr>
    </w:p>
    <w:p>
      <w:pPr>
        <w:jc w:val="both"/>
        <w:ind w:left="1520" w:hanging="553"/>
        <w:spacing w:after="0" w:line="259" w:lineRule="auto"/>
        <w:tabs>
          <w:tab w:leader="none" w:pos="1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Party A qualifies as a group customer, it shall promptly report to Party B any related-party transactions involving more than 10% of Party A’s net assets, including (i) the relationship among all the parties to such transaction; (ii) the transaction and its nature; (iii) the transaction amount or the relevant ratio; and (iv) pricing policy (also applicable to the transactions with no price or merely nominal price);</w:t>
      </w:r>
    </w:p>
    <w:p>
      <w:pPr>
        <w:spacing w:after="0" w:line="186" w:lineRule="exact"/>
        <w:rPr>
          <w:rFonts w:ascii="Arial" w:cs="Arial" w:eastAsia="Arial" w:hAnsi="Arial"/>
          <w:sz w:val="18"/>
          <w:szCs w:val="18"/>
          <w:color w:val="auto"/>
        </w:rPr>
      </w:pPr>
    </w:p>
    <w:p>
      <w:pPr>
        <w:jc w:val="both"/>
        <w:ind w:left="1520" w:hanging="553"/>
        <w:spacing w:after="0" w:line="259" w:lineRule="auto"/>
        <w:tabs>
          <w:tab w:leader="none" w:pos="15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Party A shall not carry out merger, split-up, transfer of shares, outward investment, substantial increase of debt financing or other activities of importance without Party B’s prior written consent. For the avoidance of doubt, such consent shall not impair Party B’s rights to take remedial measures if Party B determines at a later time that such activities of Party A may endanger Party B’s rights as a creditor;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40" w:type="dxa"/>
            <w:vAlign w:val="bottom"/>
          </w:tcPr>
          <w:p>
            <w:pPr>
              <w:jc w:val="right"/>
              <w:ind w:right="70"/>
              <w:spacing w:after="0"/>
              <w:rPr>
                <w:sz w:val="20"/>
                <w:szCs w:val="20"/>
                <w:color w:val="auto"/>
              </w:rPr>
            </w:pPr>
            <w:r>
              <w:rPr>
                <w:rFonts w:ascii="Arial" w:cs="Arial" w:eastAsia="Arial" w:hAnsi="Arial"/>
                <w:sz w:val="18"/>
                <w:szCs w:val="18"/>
                <w:color w:val="auto"/>
              </w:rPr>
              <w:t>(9)</w:t>
            </w:r>
          </w:p>
        </w:tc>
        <w:tc>
          <w:tcPr>
            <w:tcW w:w="10080" w:type="dxa"/>
            <w:vAlign w:val="bottom"/>
            <w:gridSpan w:val="3"/>
          </w:tcPr>
          <w:p>
            <w:pPr>
              <w:ind w:left="180"/>
              <w:spacing w:after="0"/>
              <w:rPr>
                <w:sz w:val="20"/>
                <w:szCs w:val="20"/>
                <w:color w:val="auto"/>
              </w:rPr>
            </w:pPr>
            <w:r>
              <w:rPr>
                <w:rFonts w:ascii="Arial" w:cs="Arial" w:eastAsia="Arial" w:hAnsi="Arial"/>
                <w:sz w:val="18"/>
                <w:szCs w:val="18"/>
                <w:color w:val="auto"/>
                <w:w w:val="91"/>
              </w:rPr>
              <w:t>In the case of payment at Party A’s own initiative, Party A shall submit reports to Party  B on the use and payment of loan amounts on a</w:t>
            </w:r>
          </w:p>
        </w:tc>
      </w:tr>
      <w:tr>
        <w:trPr>
          <w:trHeight w:val="190"/>
        </w:trPr>
        <w:tc>
          <w:tcPr>
            <w:tcW w:w="1340" w:type="dxa"/>
            <w:vAlign w:val="bottom"/>
          </w:tcPr>
          <w:p>
            <w:pPr>
              <w:spacing w:after="0"/>
              <w:rPr>
                <w:sz w:val="16"/>
                <w:szCs w:val="16"/>
                <w:color w:val="auto"/>
              </w:rPr>
            </w:pPr>
          </w:p>
        </w:tc>
        <w:tc>
          <w:tcPr>
            <w:tcW w:w="10080" w:type="dxa"/>
            <w:vAlign w:val="bottom"/>
            <w:gridSpan w:val="3"/>
          </w:tcPr>
          <w:p>
            <w:pPr>
              <w:ind w:left="180"/>
              <w:spacing w:after="0" w:line="190" w:lineRule="exact"/>
              <w:rPr>
                <w:sz w:val="20"/>
                <w:szCs w:val="20"/>
                <w:color w:val="auto"/>
              </w:rPr>
            </w:pPr>
            <w:r>
              <w:rPr>
                <w:rFonts w:ascii="Arial" w:cs="Arial" w:eastAsia="Arial" w:hAnsi="Arial"/>
                <w:sz w:val="18"/>
                <w:szCs w:val="18"/>
                <w:color w:val="auto"/>
                <w:w w:val="93"/>
              </w:rPr>
              <w:t>monthly basis. Party A shall submit such report for the immediately preceding month within the first TEN working days of each month,</w:t>
            </w:r>
          </w:p>
        </w:tc>
      </w:tr>
      <w:tr>
        <w:trPr>
          <w:trHeight w:val="20"/>
        </w:trPr>
        <w:tc>
          <w:tcPr>
            <w:tcW w:w="134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22"/>
        </w:trPr>
        <w:tc>
          <w:tcPr>
            <w:tcW w:w="1340" w:type="dxa"/>
            <w:vAlign w:val="bottom"/>
          </w:tcPr>
          <w:p>
            <w:pPr>
              <w:spacing w:after="0"/>
              <w:rPr>
                <w:sz w:val="19"/>
                <w:szCs w:val="19"/>
                <w:color w:val="auto"/>
              </w:rPr>
            </w:pPr>
          </w:p>
        </w:tc>
        <w:tc>
          <w:tcPr>
            <w:tcW w:w="10080" w:type="dxa"/>
            <w:vAlign w:val="bottom"/>
            <w:gridSpan w:val="3"/>
          </w:tcPr>
          <w:p>
            <w:pPr>
              <w:ind w:left="180"/>
              <w:spacing w:after="0"/>
              <w:rPr>
                <w:sz w:val="20"/>
                <w:szCs w:val="20"/>
                <w:color w:val="auto"/>
              </w:rPr>
            </w:pPr>
            <w:r>
              <w:rPr>
                <w:rFonts w:ascii="Arial" w:cs="Arial" w:eastAsia="Arial" w:hAnsi="Arial"/>
                <w:sz w:val="18"/>
                <w:szCs w:val="18"/>
                <w:color w:val="auto"/>
                <w:w w:val="91"/>
              </w:rPr>
              <w:t>together with a list of actual uses of loan amounts, until the date of repayment of all the loan. Such report shall be in the form attached in</w:t>
            </w:r>
          </w:p>
        </w:tc>
      </w:tr>
      <w:tr>
        <w:trPr>
          <w:trHeight w:val="230"/>
        </w:trPr>
        <w:tc>
          <w:tcPr>
            <w:tcW w:w="1340" w:type="dxa"/>
            <w:vAlign w:val="bottom"/>
          </w:tcPr>
          <w:p>
            <w:pPr>
              <w:spacing w:after="0"/>
              <w:rPr>
                <w:sz w:val="20"/>
                <w:szCs w:val="20"/>
                <w:color w:val="auto"/>
              </w:rPr>
            </w:pPr>
          </w:p>
        </w:tc>
        <w:tc>
          <w:tcPr>
            <w:tcW w:w="10080" w:type="dxa"/>
            <w:vAlign w:val="bottom"/>
            <w:gridSpan w:val="3"/>
          </w:tcPr>
          <w:p>
            <w:pPr>
              <w:ind w:left="180"/>
              <w:spacing w:after="0"/>
              <w:rPr>
                <w:sz w:val="20"/>
                <w:szCs w:val="20"/>
                <w:color w:val="auto"/>
              </w:rPr>
            </w:pPr>
            <w:r>
              <w:rPr>
                <w:rFonts w:ascii="Arial" w:cs="Arial" w:eastAsia="Arial" w:hAnsi="Arial"/>
                <w:sz w:val="18"/>
                <w:szCs w:val="18"/>
                <w:color w:val="auto"/>
              </w:rPr>
              <w:t>Schedule 4.</w:t>
            </w:r>
          </w:p>
        </w:tc>
      </w:tr>
      <w:tr>
        <w:trPr>
          <w:trHeight w:val="432"/>
        </w:trPr>
        <w:tc>
          <w:tcPr>
            <w:tcW w:w="1340" w:type="dxa"/>
            <w:vAlign w:val="bottom"/>
            <w:tcBorders>
              <w:bottom w:val="single" w:sz="8" w:color="auto"/>
            </w:tcBorders>
          </w:tcPr>
          <w:p>
            <w:pPr>
              <w:spacing w:after="0"/>
              <w:rPr>
                <w:sz w:val="24"/>
                <w:szCs w:val="24"/>
                <w:color w:val="auto"/>
              </w:rPr>
            </w:pPr>
          </w:p>
        </w:tc>
        <w:tc>
          <w:tcPr>
            <w:tcW w:w="7560" w:type="dxa"/>
            <w:vAlign w:val="bottom"/>
            <w:tcBorders>
              <w:bottom w:val="single" w:sz="8" w:color="auto"/>
            </w:tcBorders>
          </w:tcPr>
          <w:p>
            <w:pPr>
              <w:ind w:left="4280"/>
              <w:spacing w:after="0"/>
              <w:rPr>
                <w:sz w:val="20"/>
                <w:szCs w:val="20"/>
                <w:color w:val="auto"/>
              </w:rPr>
            </w:pPr>
            <w:r>
              <w:rPr>
                <w:rFonts w:ascii="Arial" w:cs="Arial" w:eastAsia="Arial" w:hAnsi="Arial"/>
                <w:sz w:val="18"/>
                <w:szCs w:val="18"/>
                <w:color w:val="auto"/>
              </w:rPr>
              <w:t>15</w:t>
            </w:r>
          </w:p>
        </w:tc>
        <w:tc>
          <w:tcPr>
            <w:tcW w:w="4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70" w:name="page71"/>
    <w:bookmarkEnd w:id="70"/>
    <w:p>
      <w:pPr>
        <w:ind w:left="340" w:hanging="332"/>
        <w:spacing w:after="0"/>
        <w:tabs>
          <w:tab w:leader="none" w:pos="34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PARTY B’S RIGHTS AND OBLIGATIONS</w:t>
      </w:r>
    </w:p>
    <w:p>
      <w:pPr>
        <w:spacing w:after="0" w:line="121" w:lineRule="exact"/>
        <w:rPr>
          <w:sz w:val="20"/>
          <w:szCs w:val="20"/>
          <w:color w:val="auto"/>
        </w:rPr>
      </w:pPr>
    </w:p>
    <w:p>
      <w:pPr>
        <w:jc w:val="both"/>
        <w:ind w:left="1140" w:hanging="485"/>
        <w:spacing w:after="0" w:line="259" w:lineRule="auto"/>
        <w:tabs>
          <w:tab w:leader="none" w:pos="1120" w:val="left"/>
        </w:tabs>
        <w:rPr>
          <w:sz w:val="20"/>
          <w:szCs w:val="20"/>
          <w:color w:val="auto"/>
        </w:rPr>
      </w:pPr>
      <w:r>
        <w:rPr>
          <w:rFonts w:ascii="Arial" w:cs="Arial" w:eastAsia="Arial" w:hAnsi="Arial"/>
          <w:sz w:val="18"/>
          <w:szCs w:val="18"/>
          <w:color w:val="auto"/>
        </w:rPr>
        <w:t>9.1</w:t>
        <w:tab/>
        <w:t>Party B is entitled to request Party A to repay the principal, interest accrued thereon and expenses when due, to manage and control the payment of loan amounts, to monitor on a real-time basis overall cash flows of Party A and to accelerate the maturity of the loan considering the status of collection of sale proceeds of Party A. Party B may exercise any other rights hereunder and demand Party A to perform any other obligations hereunder.</w:t>
      </w:r>
    </w:p>
    <w:p>
      <w:pPr>
        <w:spacing w:after="0" w:line="187" w:lineRule="exact"/>
        <w:rPr>
          <w:sz w:val="20"/>
          <w:szCs w:val="20"/>
          <w:color w:val="auto"/>
        </w:rPr>
      </w:pPr>
    </w:p>
    <w:p>
      <w:pPr>
        <w:jc w:val="both"/>
        <w:ind w:left="1140" w:right="20" w:hanging="485"/>
        <w:spacing w:after="0" w:line="312" w:lineRule="auto"/>
        <w:tabs>
          <w:tab w:leader="none" w:pos="112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 xml:space="preserve">Party B is entitled to engage in Party A’s large-amount financing (The total amount of such financing shall be more than RMB </w:t>
      </w:r>
      <w:r>
        <w:rPr>
          <w:rFonts w:ascii="Arial" w:cs="Arial" w:eastAsia="Arial" w:hAnsi="Arial"/>
          <w:sz w:val="16"/>
          <w:szCs w:val="16"/>
          <w:u w:val="single" w:color="auto"/>
          <w:color w:val="auto"/>
        </w:rPr>
        <w:t>SEVENTY-FOUR MILLION</w:t>
      </w:r>
      <w:r>
        <w:rPr>
          <w:rFonts w:ascii="Arial" w:cs="Arial" w:eastAsia="Arial" w:hAnsi="Arial"/>
          <w:sz w:val="16"/>
          <w:szCs w:val="16"/>
          <w:color w:val="auto"/>
        </w:rPr>
        <w:t xml:space="preserve"> or Foreign Exchange equivalent), sale of assets, merger, split-up, stock-company restructuring, bankruptcy, liquidation and other activities for the purpose of protecting Party B’s rights. The way(s) of engagement shall be </w:t>
      </w:r>
      <w:r>
        <w:rPr>
          <w:rFonts w:ascii="Arial" w:cs="Arial" w:eastAsia="Arial" w:hAnsi="Arial"/>
          <w:sz w:val="16"/>
          <w:szCs w:val="16"/>
          <w:u w:val="single" w:color="auto"/>
          <w:color w:val="auto"/>
        </w:rPr>
        <w:t>(1)</w:t>
      </w:r>
      <w:r>
        <w:rPr>
          <w:rFonts w:ascii="Arial" w:cs="Arial" w:eastAsia="Arial" w:hAnsi="Arial"/>
          <w:sz w:val="16"/>
          <w:szCs w:val="16"/>
          <w:color w:val="auto"/>
        </w:rPr>
        <w:t xml:space="preserve"> (multiple choices are allowed)</w:t>
      </w:r>
    </w:p>
    <w:p>
      <w:pPr>
        <w:spacing w:after="0" w:line="147" w:lineRule="exact"/>
        <w:rPr>
          <w:sz w:val="20"/>
          <w:szCs w:val="20"/>
          <w:color w:val="auto"/>
        </w:rPr>
      </w:pPr>
    </w:p>
    <w:p>
      <w:pPr>
        <w:ind w:left="1400" w:hanging="259"/>
        <w:spacing w:after="0"/>
        <w:tabs>
          <w:tab w:leader="none" w:pos="14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Party A shall seek Party B’s prior written consent before carrying out any of the above activities;</w:t>
      </w:r>
    </w:p>
    <w:p>
      <w:pPr>
        <w:spacing w:after="0" w:line="225" w:lineRule="exact"/>
        <w:rPr>
          <w:rFonts w:ascii="Arial" w:cs="Arial" w:eastAsia="Arial" w:hAnsi="Arial"/>
          <w:sz w:val="18"/>
          <w:szCs w:val="18"/>
          <w:color w:val="auto"/>
        </w:rPr>
      </w:pPr>
    </w:p>
    <w:p>
      <w:pPr>
        <w:ind w:left="1400" w:hanging="259"/>
        <w:spacing w:after="0"/>
        <w:tabs>
          <w:tab w:leader="none" w:pos="14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Party B is entitled to arrange for Party A’s large-amount financings;</w:t>
      </w:r>
    </w:p>
    <w:p>
      <w:pPr>
        <w:spacing w:after="0" w:line="225" w:lineRule="exact"/>
        <w:rPr>
          <w:rFonts w:ascii="Arial" w:cs="Arial" w:eastAsia="Arial" w:hAnsi="Arial"/>
          <w:sz w:val="18"/>
          <w:szCs w:val="18"/>
          <w:color w:val="auto"/>
        </w:rPr>
      </w:pPr>
    </w:p>
    <w:p>
      <w:pPr>
        <w:ind w:left="1400" w:hanging="259"/>
        <w:spacing w:after="0"/>
        <w:tabs>
          <w:tab w:leader="none" w:pos="14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sale price and buyer of the assets shall be in compliance with the following:</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(4)__________________________________________________________________________________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(5) other ways Party B deems fit.</w:t>
      </w:r>
    </w:p>
    <w:p>
      <w:pPr>
        <w:spacing w:after="0" w:line="225" w:lineRule="exact"/>
        <w:rPr>
          <w:sz w:val="20"/>
          <w:szCs w:val="20"/>
          <w:color w:val="auto"/>
        </w:rPr>
      </w:pPr>
    </w:p>
    <w:p>
      <w:pPr>
        <w:ind w:left="1220" w:hanging="566"/>
        <w:spacing w:after="0" w:line="277" w:lineRule="auto"/>
        <w:tabs>
          <w:tab w:leader="none" w:pos="120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8"/>
          <w:szCs w:val="18"/>
          <w:color w:val="auto"/>
        </w:rPr>
        <w:t>Party B shall advance the Loan as provided herein unless the delay or failure in advancing the Loan is caused by any reason attributable to Party A or any other reason that can not be attributed to Party B.</w:t>
      </w:r>
    </w:p>
    <w:p>
      <w:pPr>
        <w:spacing w:after="0" w:line="170" w:lineRule="exact"/>
        <w:rPr>
          <w:sz w:val="20"/>
          <w:szCs w:val="20"/>
          <w:color w:val="auto"/>
        </w:rPr>
      </w:pPr>
    </w:p>
    <w:p>
      <w:pPr>
        <w:ind w:left="1220" w:hanging="566"/>
        <w:spacing w:after="0" w:line="342" w:lineRule="auto"/>
        <w:tabs>
          <w:tab w:leader="none" w:pos="120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Party B shall keep confidential the relevant financial documents and manufacturing and operating trade secrets furnished by Party A except otherwise provided by the laws, regulations and rules, or required by the competent authorities, or agreed between the parties hereto.</w:t>
      </w:r>
    </w:p>
    <w:p>
      <w:pPr>
        <w:spacing w:after="0" w:line="124"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Party B shall not bribe Party A or its employees, nor request any bribe or accept any bribe offered by Party A.</w:t>
      </w:r>
    </w:p>
    <w:p>
      <w:pPr>
        <w:spacing w:after="0" w:line="22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color w:val="auto"/>
        </w:rPr>
        <w:t>Party B shall not engage in any activity which is dishonest or will be detrimental to Party A’s lawful interests.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10. DEFAULT AND REMEDY</w:t>
      </w:r>
    </w:p>
    <w:p>
      <w:pPr>
        <w:spacing w:after="0" w:line="121"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Events of Default by Party B and Liabilities</w:t>
      </w:r>
    </w:p>
    <w:p>
      <w:pPr>
        <w:spacing w:after="0" w:line="225" w:lineRule="exact"/>
        <w:rPr>
          <w:sz w:val="20"/>
          <w:szCs w:val="20"/>
          <w:color w:val="auto"/>
        </w:rPr>
      </w:pPr>
    </w:p>
    <w:p>
      <w:pPr>
        <w:ind w:left="1620" w:hanging="410"/>
        <w:spacing w:after="0" w:line="277" w:lineRule="auto"/>
        <w:tabs>
          <w:tab w:leader="none" w:pos="16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Party B does not advance the Loan as provided herein without justifiable reason, Party A may request Party B to advance the Loan in accordance with the Contract.</w:t>
      </w:r>
    </w:p>
    <w:p>
      <w:pPr>
        <w:spacing w:after="0" w:line="170" w:lineRule="exact"/>
        <w:rPr>
          <w:rFonts w:ascii="Arial" w:cs="Arial" w:eastAsia="Arial" w:hAnsi="Arial"/>
          <w:sz w:val="18"/>
          <w:szCs w:val="18"/>
          <w:color w:val="auto"/>
        </w:rPr>
      </w:pPr>
    </w:p>
    <w:p>
      <w:pPr>
        <w:ind w:left="1540" w:right="20" w:hanging="330"/>
        <w:spacing w:after="0" w:line="277" w:lineRule="auto"/>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Party B charges any interest or fee which is prohibited by the laws or regulations, Party A may request Party B to refund the interest or fee charged.</w:t>
      </w:r>
    </w:p>
    <w:p>
      <w:pPr>
        <w:spacing w:after="0" w:line="170"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Events of Default by Party A</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events of default by Party A shall include:</w:t>
      </w:r>
    </w:p>
    <w:p>
      <w:pPr>
        <w:spacing w:after="0" w:line="225" w:lineRule="exact"/>
        <w:rPr>
          <w:sz w:val="20"/>
          <w:szCs w:val="20"/>
          <w:color w:val="auto"/>
        </w:rPr>
      </w:pPr>
    </w:p>
    <w:p>
      <w:pPr>
        <w:ind w:left="1620" w:hanging="396"/>
        <w:spacing w:after="0"/>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Party A breaches any statutory obligation or any contractual obligation hereunder; and</w:t>
      </w:r>
    </w:p>
    <w:p>
      <w:pPr>
        <w:spacing w:after="0" w:line="225" w:lineRule="exact"/>
        <w:rPr>
          <w:rFonts w:ascii="Arial" w:cs="Arial" w:eastAsia="Arial" w:hAnsi="Arial"/>
          <w:sz w:val="18"/>
          <w:szCs w:val="18"/>
          <w:color w:val="auto"/>
        </w:rPr>
      </w:pPr>
    </w:p>
    <w:p>
      <w:pPr>
        <w:ind w:left="1620" w:hanging="396"/>
        <w:spacing w:after="0"/>
        <w:tabs>
          <w:tab w:leader="none" w:pos="16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Party A has repudiated its obligations hereunder expressly or by its conduct.</w:t>
      </w:r>
    </w:p>
    <w:p>
      <w:pPr>
        <w:spacing w:after="0" w:line="225" w:lineRule="exact"/>
        <w:rPr>
          <w:sz w:val="20"/>
          <w:szCs w:val="20"/>
          <w:color w:val="auto"/>
        </w:rPr>
      </w:pPr>
    </w:p>
    <w:p>
      <w:pPr>
        <w:ind w:left="760"/>
        <w:spacing w:after="0"/>
        <w:tabs>
          <w:tab w:leader="none" w:pos="12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Events that may Adversely Impact Creditor’s Rights</w:t>
      </w:r>
    </w:p>
    <w:p>
      <w:pPr>
        <w:spacing w:after="0" w:line="225" w:lineRule="exact"/>
        <w:rPr>
          <w:sz w:val="20"/>
          <w:szCs w:val="20"/>
          <w:color w:val="auto"/>
        </w:rPr>
      </w:pPr>
    </w:p>
    <w:p>
      <w:pPr>
        <w:ind w:left="1540" w:hanging="330"/>
        <w:spacing w:after="0"/>
        <w:tabs>
          <w:tab w:leader="none" w:pos="1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occurrence of any of the following events upon Party A which Party B believes may adversely impact its creditor’s rights:</w:t>
      </w:r>
    </w:p>
    <w:p>
      <w:pPr>
        <w:spacing w:after="0" w:line="225" w:lineRule="exact"/>
        <w:rPr>
          <w:rFonts w:ascii="Arial" w:cs="Arial" w:eastAsia="Arial" w:hAnsi="Arial"/>
          <w:sz w:val="18"/>
          <w:szCs w:val="18"/>
          <w:color w:val="auto"/>
        </w:rPr>
      </w:pPr>
    </w:p>
    <w:p>
      <w:pPr>
        <w:jc w:val="both"/>
        <w:ind w:left="1540" w:firstLine="2"/>
        <w:spacing w:after="0" w:line="272" w:lineRule="auto"/>
        <w:rPr>
          <w:rFonts w:ascii="Arial" w:cs="Arial" w:eastAsia="Arial" w:hAnsi="Arial"/>
          <w:sz w:val="18"/>
          <w:szCs w:val="18"/>
          <w:color w:val="auto"/>
        </w:rPr>
      </w:pPr>
      <w:r>
        <w:rPr>
          <w:rFonts w:ascii="Arial" w:cs="Arial" w:eastAsia="Arial" w:hAnsi="Arial"/>
          <w:sz w:val="17"/>
          <w:szCs w:val="17"/>
          <w:color w:val="auto"/>
        </w:rPr>
        <w:t>contracting, trustee (receiver) being appointed, lease, shareholding restructuring, decrease of its registered capital, investment, joint operation, mergers and acquisitions, acquisition and restructuring, division, joint venture, shares transfer, substantial increase of debt financing, applying for (or subject to an application for) temporary cessation of operation or dissolution, revocation, applying for (or subject to an application for) bankruptcy, change of controlling shareholders/actual controllers, transfer of material assets, suspension of production or operation, significant penalty imposed by regulatory authorities, cancellation of registration, revocation of business license, involvement in material legal proceedings, severe deterioration in operation and financial condition, deterioration of credit standing, legal representative/principal officer being unable to perform their duties;</w:t>
      </w:r>
    </w:p>
    <w:p>
      <w:pPr>
        <w:spacing w:after="0" w:line="177" w:lineRule="exact"/>
        <w:rPr>
          <w:rFonts w:ascii="Arial" w:cs="Arial" w:eastAsia="Arial" w:hAnsi="Arial"/>
          <w:sz w:val="18"/>
          <w:szCs w:val="18"/>
          <w:color w:val="auto"/>
        </w:rPr>
      </w:pPr>
    </w:p>
    <w:p>
      <w:pPr>
        <w:ind w:left="1540" w:hanging="330"/>
        <w:spacing w:after="0"/>
        <w:tabs>
          <w:tab w:leader="none" w:pos="1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occurrence of any of the following events which Party B believes may adversely impact its creditor’s rights:</w:t>
      </w:r>
    </w:p>
    <w:p>
      <w:pPr>
        <w:spacing w:after="0" w:line="225" w:lineRule="exact"/>
        <w:rPr>
          <w:rFonts w:ascii="Arial" w:cs="Arial" w:eastAsia="Arial" w:hAnsi="Arial"/>
          <w:sz w:val="18"/>
          <w:szCs w:val="18"/>
          <w:color w:val="auto"/>
        </w:rPr>
      </w:pPr>
    </w:p>
    <w:p>
      <w:pPr>
        <w:jc w:val="both"/>
        <w:ind w:left="1540" w:firstLine="1"/>
        <w:spacing w:after="0" w:line="293" w:lineRule="auto"/>
        <w:rPr>
          <w:rFonts w:ascii="Arial" w:cs="Arial" w:eastAsia="Arial" w:hAnsi="Arial"/>
          <w:sz w:val="18"/>
          <w:szCs w:val="18"/>
          <w:color w:val="auto"/>
        </w:rPr>
      </w:pPr>
      <w:r>
        <w:rPr>
          <w:rFonts w:ascii="Arial" w:cs="Arial" w:eastAsia="Arial" w:hAnsi="Arial"/>
          <w:sz w:val="16"/>
          <w:szCs w:val="16"/>
          <w:color w:val="auto"/>
        </w:rPr>
        <w:t>Party A fails to repay any other due debts, including such debts owed to any other branch or organization of China Construction Bank or to any other third party; Party A transfers assets at a low price or for free; Party A relieves or waives any debt of a third party; Party A fails to exercise its creditor’s rights or any other rights; or Party A provides security for a third party; financial indicators of Party A fail to meet, on a continuous basis, the requirements specified in Schedule2; there are unusual fluctuations in any of Party A’s accounts (including without limitation account to collect sale proceeds and other account subject to Party B’s supervision);there are grave cross-defaults by Party A; profit-making capability of Party A’s core business is undesirable; there is irregularity in the use of loan;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72" w:name="page73"/>
    <w:bookmarkEnd w:id="72"/>
    <w:p>
      <w:pPr>
        <w:ind w:left="680" w:hanging="575"/>
        <w:spacing w:after="0" w:line="308" w:lineRule="auto"/>
        <w:tabs>
          <w:tab w:leader="none" w:pos="680" w:val="left"/>
        </w:tabs>
        <w:numPr>
          <w:ilvl w:val="1"/>
          <w:numId w:val="104"/>
        </w:numPr>
        <w:rPr>
          <w:rFonts w:ascii="Arial" w:cs="Arial" w:eastAsia="Arial" w:hAnsi="Arial"/>
          <w:sz w:val="17"/>
          <w:szCs w:val="17"/>
          <w:color w:val="auto"/>
        </w:rPr>
      </w:pPr>
      <w:r>
        <w:rPr>
          <w:rFonts w:ascii="Arial" w:cs="Arial" w:eastAsia="Arial" w:hAnsi="Arial"/>
          <w:sz w:val="17"/>
          <w:szCs w:val="17"/>
          <w:color w:val="auto"/>
        </w:rPr>
        <w:t>Party A’s shareholder manipulates the independence status of Party A as a legal person or the limited liability status of the shareholder in order to evade debts, and Party B believes this manipulation may adversely impact its creditor’s rights;</w:t>
      </w:r>
    </w:p>
    <w:p>
      <w:pPr>
        <w:spacing w:after="0" w:line="146" w:lineRule="exact"/>
        <w:rPr>
          <w:rFonts w:ascii="Arial" w:cs="Arial" w:eastAsia="Arial" w:hAnsi="Arial"/>
          <w:sz w:val="17"/>
          <w:szCs w:val="17"/>
          <w:color w:val="auto"/>
        </w:rPr>
      </w:pPr>
    </w:p>
    <w:p>
      <w:pPr>
        <w:ind w:left="680" w:hanging="575"/>
        <w:spacing w:after="0"/>
        <w:tabs>
          <w:tab w:leader="none" w:pos="6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of the conditions precedent to advance the Loan has not been satisfied continuously;</w:t>
      </w:r>
    </w:p>
    <w:p>
      <w:pPr>
        <w:spacing w:after="0" w:line="225" w:lineRule="exact"/>
        <w:rPr>
          <w:rFonts w:ascii="Arial" w:cs="Arial" w:eastAsia="Arial" w:hAnsi="Arial"/>
          <w:sz w:val="18"/>
          <w:szCs w:val="18"/>
          <w:color w:val="auto"/>
        </w:rPr>
      </w:pPr>
    </w:p>
    <w:p>
      <w:pPr>
        <w:ind w:left="680" w:hanging="575"/>
        <w:spacing w:after="0"/>
        <w:tabs>
          <w:tab w:leader="none" w:pos="68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occurrence of any of the following events upon the guarantor which Party B believes may adversely impact its creditor’s rights:</w:t>
      </w:r>
    </w:p>
    <w:p>
      <w:pPr>
        <w:spacing w:after="0" w:line="248" w:lineRule="exact"/>
        <w:rPr>
          <w:rFonts w:ascii="Arial" w:cs="Arial" w:eastAsia="Arial" w:hAnsi="Arial"/>
          <w:sz w:val="16"/>
          <w:szCs w:val="16"/>
          <w:color w:val="auto"/>
        </w:rPr>
      </w:pPr>
    </w:p>
    <w:p>
      <w:pPr>
        <w:ind w:left="1100" w:hanging="523"/>
        <w:spacing w:after="0" w:line="277" w:lineRule="auto"/>
        <w:tabs>
          <w:tab w:leader="none" w:pos="110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the guarantor breaches any provision of the guarantee contract, or any of the representations and warranties it has made proves to be false, wrong or incomplete;</w:t>
      </w:r>
    </w:p>
    <w:p>
      <w:pPr>
        <w:spacing w:after="0" w:line="170" w:lineRule="exact"/>
        <w:rPr>
          <w:rFonts w:ascii="Arial" w:cs="Arial" w:eastAsia="Arial" w:hAnsi="Arial"/>
          <w:sz w:val="18"/>
          <w:szCs w:val="18"/>
          <w:color w:val="auto"/>
        </w:rPr>
      </w:pPr>
    </w:p>
    <w:p>
      <w:pPr>
        <w:jc w:val="both"/>
        <w:ind w:left="1100" w:hanging="523"/>
        <w:spacing w:after="0" w:line="289" w:lineRule="auto"/>
        <w:tabs>
          <w:tab w:leader="none" w:pos="1100" w:val="left"/>
        </w:tabs>
        <w:numPr>
          <w:ilvl w:val="2"/>
          <w:numId w:val="104"/>
        </w:numPr>
        <w:rPr>
          <w:rFonts w:ascii="Arial" w:cs="Arial" w:eastAsia="Arial" w:hAnsi="Arial"/>
          <w:sz w:val="16"/>
          <w:szCs w:val="16"/>
          <w:color w:val="auto"/>
        </w:rPr>
      </w:pPr>
      <w:r>
        <w:rPr>
          <w:rFonts w:ascii="Arial" w:cs="Arial" w:eastAsia="Arial" w:hAnsi="Arial"/>
          <w:sz w:val="16"/>
          <w:szCs w:val="16"/>
          <w:color w:val="auto"/>
        </w:rPr>
        <w:t>contracting, trustee (receiver) being appointed, lease, shareholding restructuring, decrease of its registered capital, investment, joint operation, mergers and acquisitions, acquisition and restructuring, division, joint venture, shares transfer, substantial increase of debt financing, applying for (or subject to an application for) temporary cessation of operation or dissolution, revocation, applying for (or subject to an application for) bankruptcy, change of controlling shareholders/actual controllers, transfer of material assets, transfer of assets at a low price or for free, relieving or waiving any debt of a third party; failure to exercise its creditor’s rights or any other rights, suspension of production or operation, significant penalty imposed by regulatory authorities, cancellation of registration, revocation of business license, involvement in material legal proceedings, severe deterioration in operation and financial condition, deterioration of credit standing, legal representative/principal officer’s inability to perform their duties, which may adversely impact its capability as a guarantor;</w:t>
      </w:r>
    </w:p>
    <w:p>
      <w:pPr>
        <w:spacing w:after="0" w:line="166" w:lineRule="exact"/>
        <w:rPr>
          <w:rFonts w:ascii="Arial" w:cs="Arial" w:eastAsia="Arial" w:hAnsi="Arial"/>
          <w:sz w:val="16"/>
          <w:szCs w:val="16"/>
          <w:color w:val="auto"/>
        </w:rPr>
      </w:pPr>
    </w:p>
    <w:p>
      <w:pPr>
        <w:ind w:left="1100" w:hanging="523"/>
        <w:spacing w:after="0"/>
        <w:tabs>
          <w:tab w:leader="none" w:pos="110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other events in which the guarantor has lost or may lose its capability as guarantor.</w:t>
      </w:r>
    </w:p>
    <w:p>
      <w:pPr>
        <w:spacing w:after="0" w:line="225" w:lineRule="exact"/>
        <w:rPr>
          <w:rFonts w:ascii="Arial" w:cs="Arial" w:eastAsia="Arial" w:hAnsi="Arial"/>
          <w:sz w:val="18"/>
          <w:szCs w:val="18"/>
          <w:color w:val="auto"/>
        </w:rPr>
      </w:pPr>
    </w:p>
    <w:p>
      <w:pPr>
        <w:ind w:left="580" w:hanging="558"/>
        <w:spacing w:after="0" w:line="277" w:lineRule="auto"/>
        <w:tabs>
          <w:tab w:leader="none" w:pos="69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occurrence of any of the following events on the mortgage or pledge which Party B believes may adversely impact its creditor’s rights:</w:t>
      </w:r>
    </w:p>
    <w:p>
      <w:pPr>
        <w:spacing w:after="0" w:line="170" w:lineRule="exact"/>
        <w:rPr>
          <w:rFonts w:ascii="Arial" w:cs="Arial" w:eastAsia="Arial" w:hAnsi="Arial"/>
          <w:sz w:val="18"/>
          <w:szCs w:val="18"/>
          <w:color w:val="auto"/>
        </w:rPr>
      </w:pPr>
    </w:p>
    <w:p>
      <w:pPr>
        <w:jc w:val="both"/>
        <w:ind w:left="1100" w:hanging="523"/>
        <w:spacing w:after="0" w:line="264" w:lineRule="auto"/>
        <w:tabs>
          <w:tab w:leader="none" w:pos="110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the mortgaged or pledged property is damaged, destroyed or its value is reduced as a result of a third-party’s action, expropriation, confiscation, eminent domain or redevelopment and relocation by the government, market change, or any other reason;</w:t>
      </w:r>
    </w:p>
    <w:p>
      <w:pPr>
        <w:spacing w:after="0" w:line="181" w:lineRule="exact"/>
        <w:rPr>
          <w:rFonts w:ascii="Arial" w:cs="Arial" w:eastAsia="Arial" w:hAnsi="Arial"/>
          <w:sz w:val="18"/>
          <w:szCs w:val="18"/>
          <w:color w:val="auto"/>
        </w:rPr>
      </w:pPr>
    </w:p>
    <w:p>
      <w:pPr>
        <w:jc w:val="both"/>
        <w:ind w:left="1100" w:hanging="523"/>
        <w:spacing w:after="0" w:line="264" w:lineRule="auto"/>
        <w:tabs>
          <w:tab w:leader="none" w:pos="110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the mortgaged or pledged property has been seized, impounded, frozen, mandatorily debited, put on lien, sold by auction, subject to administration order by a government authority, or a dispute over the ownership of the mortgaged or pledged property occurs;</w:t>
      </w:r>
    </w:p>
    <w:p>
      <w:pPr>
        <w:spacing w:after="0" w:line="181" w:lineRule="exact"/>
        <w:rPr>
          <w:rFonts w:ascii="Arial" w:cs="Arial" w:eastAsia="Arial" w:hAnsi="Arial"/>
          <w:sz w:val="18"/>
          <w:szCs w:val="18"/>
          <w:color w:val="auto"/>
        </w:rPr>
      </w:pPr>
    </w:p>
    <w:p>
      <w:pPr>
        <w:ind w:left="1100" w:hanging="523"/>
        <w:spacing w:after="0" w:line="277" w:lineRule="auto"/>
        <w:tabs>
          <w:tab w:leader="none" w:pos="1100" w:val="left"/>
        </w:tabs>
        <w:numPr>
          <w:ilvl w:val="2"/>
          <w:numId w:val="105"/>
        </w:numPr>
        <w:rPr>
          <w:rFonts w:ascii="Arial" w:cs="Arial" w:eastAsia="Arial" w:hAnsi="Arial"/>
          <w:sz w:val="18"/>
          <w:szCs w:val="18"/>
          <w:color w:val="auto"/>
        </w:rPr>
      </w:pPr>
      <w:r>
        <w:rPr>
          <w:rFonts w:ascii="Arial" w:cs="Arial" w:eastAsia="Arial" w:hAnsi="Arial"/>
          <w:sz w:val="18"/>
          <w:szCs w:val="18"/>
          <w:color w:val="auto"/>
        </w:rPr>
        <w:t>the mortgagor or pledgor breaches any provision of the mortgage/pledge contract, or any of the representations and warranties it has made proves to be false, wrong or incomplete;</w:t>
      </w:r>
    </w:p>
    <w:p>
      <w:pPr>
        <w:spacing w:after="0" w:line="17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665" w:right="239" w:bottom="1440" w:gutter="0" w:footer="0" w:header="0"/>
        </w:sectPr>
      </w:pPr>
    </w:p>
    <w:bookmarkStart w:id="73" w:name="page74"/>
    <w:bookmarkEnd w:id="73"/>
    <w:p>
      <w:pPr>
        <w:ind w:left="1640" w:hanging="523"/>
        <w:spacing w:after="0"/>
        <w:tabs>
          <w:tab w:leader="none" w:pos="16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other events that may adversely impact Party B’s ability to realize its mortgage or pledge.</w:t>
      </w:r>
    </w:p>
    <w:p>
      <w:pPr>
        <w:spacing w:after="0" w:line="225" w:lineRule="exact"/>
        <w:rPr>
          <w:rFonts w:ascii="Arial" w:cs="Arial" w:eastAsia="Arial" w:hAnsi="Arial"/>
          <w:sz w:val="18"/>
          <w:szCs w:val="18"/>
          <w:color w:val="auto"/>
        </w:rPr>
      </w:pPr>
    </w:p>
    <w:p>
      <w:pPr>
        <w:jc w:val="both"/>
        <w:ind w:left="1220" w:hanging="575"/>
        <w:spacing w:after="0" w:line="259" w:lineRule="auto"/>
        <w:tabs>
          <w:tab w:leader="none" w:pos="12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security is not effected, becomes ineffective, invalid, or is rescinded or terminated, or the security provider defaults or repudiates its obligations expressly or by conduct, or the security provider has lost its capability to perform its obligations as a security provider in whole or in part, or the value of the collateral is reduced, which Party B believes may adversely impact its creditor’s rights; or</w:t>
      </w:r>
    </w:p>
    <w:p>
      <w:pPr>
        <w:spacing w:after="0" w:line="186" w:lineRule="exact"/>
        <w:rPr>
          <w:rFonts w:ascii="Arial" w:cs="Arial" w:eastAsia="Arial" w:hAnsi="Arial"/>
          <w:sz w:val="18"/>
          <w:szCs w:val="18"/>
          <w:color w:val="auto"/>
        </w:rPr>
      </w:pPr>
    </w:p>
    <w:p>
      <w:pPr>
        <w:ind w:left="1220" w:hanging="575"/>
        <w:spacing w:after="0"/>
        <w:tabs>
          <w:tab w:leader="none" w:pos="12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other events which Party B believes may adversely impact its creditor’s rights.</w:t>
      </w:r>
    </w:p>
    <w:p>
      <w:pPr>
        <w:spacing w:after="0" w:line="225"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Party B’s Remedy</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Upon occurrence of any event under Article 10.2 or 10.3, Party B may exercise one or more of the following rights:</w:t>
      </w:r>
    </w:p>
    <w:p>
      <w:pPr>
        <w:spacing w:after="0" w:line="225" w:lineRule="exact"/>
        <w:rPr>
          <w:sz w:val="20"/>
          <w:szCs w:val="20"/>
          <w:color w:val="auto"/>
        </w:rPr>
      </w:pPr>
    </w:p>
    <w:p>
      <w:pPr>
        <w:ind w:left="1220" w:hanging="575"/>
        <w:spacing w:after="0"/>
        <w:tabs>
          <w:tab w:leader="none" w:pos="1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stop advancing the Loan;</w:t>
      </w:r>
    </w:p>
    <w:p>
      <w:pPr>
        <w:spacing w:after="0" w:line="225" w:lineRule="exact"/>
        <w:rPr>
          <w:rFonts w:ascii="Arial" w:cs="Arial" w:eastAsia="Arial" w:hAnsi="Arial"/>
          <w:sz w:val="18"/>
          <w:szCs w:val="18"/>
          <w:color w:val="auto"/>
        </w:rPr>
      </w:pPr>
    </w:p>
    <w:p>
      <w:pPr>
        <w:ind w:left="1220" w:hanging="575"/>
        <w:spacing w:after="0"/>
        <w:tabs>
          <w:tab w:leader="none" w:pos="1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request for more conditions precedent for loan advance and payment;</w:t>
      </w:r>
    </w:p>
    <w:p>
      <w:pPr>
        <w:spacing w:after="0" w:line="225" w:lineRule="exact"/>
        <w:rPr>
          <w:rFonts w:ascii="Arial" w:cs="Arial" w:eastAsia="Arial" w:hAnsi="Arial"/>
          <w:sz w:val="18"/>
          <w:szCs w:val="18"/>
          <w:color w:val="auto"/>
        </w:rPr>
      </w:pPr>
    </w:p>
    <w:p>
      <w:pPr>
        <w:ind w:left="1220" w:hanging="575"/>
        <w:spacing w:after="0"/>
        <w:tabs>
          <w:tab w:leader="none" w:pos="1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change the means of payment of loan in accordance with this Contract;</w:t>
      </w:r>
    </w:p>
    <w:p>
      <w:pPr>
        <w:spacing w:after="0" w:line="225" w:lineRule="exact"/>
        <w:rPr>
          <w:rFonts w:ascii="Arial" w:cs="Arial" w:eastAsia="Arial" w:hAnsi="Arial"/>
          <w:sz w:val="18"/>
          <w:szCs w:val="18"/>
          <w:color w:val="auto"/>
        </w:rPr>
      </w:pPr>
    </w:p>
    <w:p>
      <w:pPr>
        <w:ind w:left="1220" w:right="20" w:hanging="575"/>
        <w:spacing w:after="0" w:line="277" w:lineRule="auto"/>
        <w:tabs>
          <w:tab w:leader="none" w:pos="1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declare the Loan immediately due and payable, and request Party A to repay immediately all the due and undue principal, interest and fees;</w:t>
      </w:r>
    </w:p>
    <w:p>
      <w:pPr>
        <w:spacing w:after="0" w:line="170" w:lineRule="exact"/>
        <w:rPr>
          <w:rFonts w:ascii="Arial" w:cs="Arial" w:eastAsia="Arial" w:hAnsi="Arial"/>
          <w:sz w:val="18"/>
          <w:szCs w:val="18"/>
          <w:color w:val="auto"/>
        </w:rPr>
      </w:pPr>
    </w:p>
    <w:p>
      <w:pPr>
        <w:ind w:left="1220" w:hanging="575"/>
        <w:spacing w:after="0" w:line="277" w:lineRule="auto"/>
        <w:tabs>
          <w:tab w:leader="none" w:pos="1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if Party A fails to make any drawdown in accordance with the Contract, Party B may hold Party A liable to pay a penalty equal to </w:t>
      </w:r>
      <w:r>
        <w:rPr>
          <w:rFonts w:ascii="Arial" w:cs="Arial" w:eastAsia="Arial" w:hAnsi="Arial"/>
          <w:sz w:val="18"/>
          <w:szCs w:val="18"/>
          <w:u w:val="single" w:color="auto"/>
          <w:color w:val="auto"/>
        </w:rPr>
        <w:t>0</w:t>
      </w:r>
      <w:r>
        <w:rPr>
          <w:rFonts w:ascii="Arial" w:cs="Arial" w:eastAsia="Arial" w:hAnsi="Arial"/>
          <w:sz w:val="18"/>
          <w:szCs w:val="18"/>
          <w:color w:val="auto"/>
        </w:rPr>
        <w:t xml:space="preserve"> % of the Loan proceeds not drawn and may reject Party A’s request for drawing such Loan;</w:t>
      </w:r>
    </w:p>
    <w:p>
      <w:pPr>
        <w:spacing w:after="0" w:line="170" w:lineRule="exact"/>
        <w:rPr>
          <w:rFonts w:ascii="Arial" w:cs="Arial" w:eastAsia="Arial" w:hAnsi="Arial"/>
          <w:sz w:val="18"/>
          <w:szCs w:val="18"/>
          <w:color w:val="auto"/>
        </w:rPr>
      </w:pPr>
    </w:p>
    <w:p>
      <w:pPr>
        <w:jc w:val="both"/>
        <w:ind w:left="1220" w:hanging="575"/>
        <w:spacing w:after="0" w:line="312" w:lineRule="auto"/>
        <w:tabs>
          <w:tab w:leader="none" w:pos="12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if Party A utilizes any part of the Loan for any purpose other than as provided herein, interest on the misappropriated amount shall be calculated and compounded for the period from the date of the misappropriation to the date when all the principal and interest have been fully paid in accordance with the relevant default interest rate and the interest settlement method as provided herein;</w:t>
      </w:r>
    </w:p>
    <w:p>
      <w:pPr>
        <w:spacing w:after="0" w:line="146" w:lineRule="exact"/>
        <w:rPr>
          <w:rFonts w:ascii="Arial" w:cs="Arial" w:eastAsia="Arial" w:hAnsi="Arial"/>
          <w:sz w:val="16"/>
          <w:szCs w:val="16"/>
          <w:color w:val="auto"/>
        </w:rPr>
      </w:pPr>
    </w:p>
    <w:p>
      <w:pPr>
        <w:jc w:val="both"/>
        <w:ind w:left="1220" w:hanging="575"/>
        <w:spacing w:after="0" w:line="259" w:lineRule="auto"/>
        <w:tabs>
          <w:tab w:leader="none" w:pos="12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 any principal is overdue, the interest on such principal and on any overdue interest (including whole or part of the principal and interest which have been accelerated), shall be calculated and compounded for the period from the first date such principal becomes overdue to the date when all the principal and interest have been fully paid, in accordance with the relevant default interest rate and the interest settlement method as provided herein;</w:t>
      </w:r>
    </w:p>
    <w:p>
      <w:pPr>
        <w:spacing w:after="0" w:line="186" w:lineRule="exact"/>
        <w:rPr>
          <w:rFonts w:ascii="Arial" w:cs="Arial" w:eastAsia="Arial" w:hAnsi="Arial"/>
          <w:sz w:val="18"/>
          <w:szCs w:val="18"/>
          <w:color w:val="auto"/>
        </w:rPr>
      </w:pPr>
    </w:p>
    <w:p>
      <w:pPr>
        <w:ind w:left="1200" w:firstLine="2"/>
        <w:spacing w:after="0" w:line="277" w:lineRule="auto"/>
        <w:rPr>
          <w:rFonts w:ascii="Arial" w:cs="Arial" w:eastAsia="Arial" w:hAnsi="Arial"/>
          <w:sz w:val="18"/>
          <w:szCs w:val="18"/>
          <w:color w:val="auto"/>
        </w:rPr>
      </w:pPr>
      <w:r>
        <w:rPr>
          <w:rFonts w:ascii="Arial" w:cs="Arial" w:eastAsia="Arial" w:hAnsi="Arial"/>
          <w:sz w:val="18"/>
          <w:szCs w:val="18"/>
          <w:color w:val="auto"/>
        </w:rPr>
        <w:t>“Overdue” herein means that Party A fails to repay the Loan on the repayment date or, in case of repayment in installments, fails to repay the relevant installments in accordance with the repayment schedule as provided herein.</w:t>
      </w:r>
    </w:p>
    <w:p>
      <w:pPr>
        <w:spacing w:after="0" w:line="170" w:lineRule="exact"/>
        <w:rPr>
          <w:sz w:val="20"/>
          <w:szCs w:val="20"/>
          <w:color w:val="auto"/>
        </w:rPr>
      </w:pPr>
    </w:p>
    <w:p>
      <w:pPr>
        <w:ind w:left="1200" w:firstLine="2"/>
        <w:spacing w:after="0" w:line="277" w:lineRule="auto"/>
        <w:rPr>
          <w:sz w:val="20"/>
          <w:szCs w:val="20"/>
          <w:color w:val="auto"/>
        </w:rPr>
      </w:pPr>
      <w:r>
        <w:rPr>
          <w:rFonts w:ascii="Arial" w:cs="Arial" w:eastAsia="Arial" w:hAnsi="Arial"/>
          <w:sz w:val="18"/>
          <w:szCs w:val="18"/>
          <w:color w:val="auto"/>
        </w:rPr>
        <w:t>Before any principal is overdue, the overdue interest shall be compounded in accordance with the interest rate and the interest settlement method as provided herein;</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74" w:name="page75"/>
    <w:bookmarkEnd w:id="74"/>
    <w:p>
      <w:pPr>
        <w:ind w:left="1880" w:hanging="575"/>
        <w:spacing w:after="0"/>
        <w:tabs>
          <w:tab w:leader="none" w:pos="18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other remedies, including but not limited to:</w:t>
      </w:r>
    </w:p>
    <w:p>
      <w:pPr>
        <w:spacing w:after="0" w:line="225" w:lineRule="exact"/>
        <w:rPr>
          <w:rFonts w:ascii="Arial" w:cs="Arial" w:eastAsia="Arial" w:hAnsi="Arial"/>
          <w:sz w:val="18"/>
          <w:szCs w:val="18"/>
          <w:color w:val="auto"/>
        </w:rPr>
      </w:pPr>
    </w:p>
    <w:p>
      <w:pPr>
        <w:ind w:left="2300" w:right="20" w:hanging="523"/>
        <w:spacing w:after="0" w:line="277" w:lineRule="auto"/>
        <w:tabs>
          <w:tab w:leader="none" w:pos="230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to debit Party A’s accounts at China Construction Bank in RMB or other currencies with corresponding amount without prior notice to Party A;</w:t>
      </w:r>
    </w:p>
    <w:p>
      <w:pPr>
        <w:spacing w:after="0" w:line="170" w:lineRule="exact"/>
        <w:rPr>
          <w:rFonts w:ascii="Arial" w:cs="Arial" w:eastAsia="Arial" w:hAnsi="Arial"/>
          <w:sz w:val="18"/>
          <w:szCs w:val="18"/>
          <w:color w:val="auto"/>
        </w:rPr>
      </w:pPr>
    </w:p>
    <w:p>
      <w:pPr>
        <w:ind w:left="2300" w:hanging="523"/>
        <w:spacing w:after="0"/>
        <w:tabs>
          <w:tab w:leader="none" w:pos="230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to exercise its rights under the security interest;</w:t>
      </w:r>
    </w:p>
    <w:p>
      <w:pPr>
        <w:spacing w:after="0" w:line="225" w:lineRule="exact"/>
        <w:rPr>
          <w:rFonts w:ascii="Arial" w:cs="Arial" w:eastAsia="Arial" w:hAnsi="Arial"/>
          <w:sz w:val="18"/>
          <w:szCs w:val="18"/>
          <w:color w:val="auto"/>
        </w:rPr>
      </w:pPr>
    </w:p>
    <w:p>
      <w:pPr>
        <w:ind w:left="2300" w:hanging="523"/>
        <w:spacing w:after="0"/>
        <w:tabs>
          <w:tab w:leader="none" w:pos="230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to request Party A to provide new security satisfactory to Party B for all the debts of Party A hereunder;</w:t>
      </w:r>
    </w:p>
    <w:p>
      <w:pPr>
        <w:spacing w:after="0" w:line="225" w:lineRule="exact"/>
        <w:rPr>
          <w:rFonts w:ascii="Arial" w:cs="Arial" w:eastAsia="Arial" w:hAnsi="Arial"/>
          <w:sz w:val="18"/>
          <w:szCs w:val="18"/>
          <w:color w:val="auto"/>
        </w:rPr>
      </w:pPr>
    </w:p>
    <w:p>
      <w:pPr>
        <w:ind w:left="2300" w:right="20" w:hanging="523"/>
        <w:spacing w:after="0" w:line="277" w:lineRule="auto"/>
        <w:tabs>
          <w:tab w:leader="none" w:pos="230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to decline Party A’s request to dispose of its deposits of corresponding amount, within any account opened with any branch of China Construction Bank (including without limitation the account to collect sale proceeds);</w:t>
      </w:r>
    </w:p>
    <w:p>
      <w:pPr>
        <w:spacing w:after="0" w:line="170" w:lineRule="exact"/>
        <w:rPr>
          <w:rFonts w:ascii="Arial" w:cs="Arial" w:eastAsia="Arial" w:hAnsi="Arial"/>
          <w:sz w:val="18"/>
          <w:szCs w:val="18"/>
          <w:color w:val="auto"/>
        </w:rPr>
      </w:pPr>
    </w:p>
    <w:p>
      <w:pPr>
        <w:ind w:left="2300" w:hanging="523"/>
        <w:spacing w:after="0"/>
        <w:tabs>
          <w:tab w:leader="none" w:pos="230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to terminate the Contract.</w:t>
      </w:r>
    </w:p>
    <w:p>
      <w:pPr>
        <w:spacing w:after="0" w:line="221" w:lineRule="exact"/>
        <w:rPr>
          <w:rFonts w:ascii="Arial" w:cs="Arial" w:eastAsia="Arial" w:hAnsi="Arial"/>
          <w:sz w:val="18"/>
          <w:szCs w:val="18"/>
          <w:color w:val="auto"/>
        </w:rPr>
      </w:pPr>
    </w:p>
    <w:p>
      <w:pPr>
        <w:ind w:left="340" w:hanging="332"/>
        <w:spacing w:after="0"/>
        <w:tabs>
          <w:tab w:leader="none" w:pos="34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21"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7"/>
          <w:szCs w:val="17"/>
          <w:color w:val="auto"/>
        </w:rPr>
        <w:t>Cost Allocation</w:t>
      </w:r>
    </w:p>
    <w:p>
      <w:pPr>
        <w:spacing w:after="0" w:line="225" w:lineRule="exact"/>
        <w:rPr>
          <w:sz w:val="20"/>
          <w:szCs w:val="20"/>
          <w:color w:val="auto"/>
        </w:rPr>
      </w:pPr>
    </w:p>
    <w:p>
      <w:pPr>
        <w:jc w:val="both"/>
        <w:ind w:left="1880" w:hanging="575"/>
        <w:spacing w:after="0" w:line="286" w:lineRule="auto"/>
        <w:tabs>
          <w:tab w:leader="none" w:pos="18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all costs and expenses incurred as a result of Party A’s breach of any provision in this Contract, including without limitation court fees, arbitration fees, property preservation fees, travel expenses, enforcement expenses, valuation/appraisal fees, auction fees, notary fees, service fees, public announcement costs, legal fees, shall be borne by Party A.</w:t>
      </w:r>
    </w:p>
    <w:p>
      <w:pPr>
        <w:spacing w:after="0" w:line="165" w:lineRule="exact"/>
        <w:rPr>
          <w:rFonts w:ascii="Arial" w:cs="Arial" w:eastAsia="Arial" w:hAnsi="Arial"/>
          <w:sz w:val="17"/>
          <w:szCs w:val="17"/>
          <w:color w:val="auto"/>
        </w:rPr>
      </w:pPr>
    </w:p>
    <w:p>
      <w:pPr>
        <w:ind w:left="1880" w:hanging="575"/>
        <w:spacing w:after="0"/>
        <w:tabs>
          <w:tab w:leader="none" w:pos="18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respect of other fees the parties agree as follows:</w:t>
      </w:r>
    </w:p>
    <w:p>
      <w:pPr>
        <w:spacing w:after="0" w:line="22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Use of Party A’s Information</w:t>
      </w:r>
    </w:p>
    <w:p>
      <w:pPr>
        <w:spacing w:after="0" w:line="225" w:lineRule="exact"/>
        <w:rPr>
          <w:sz w:val="20"/>
          <w:szCs w:val="20"/>
          <w:color w:val="auto"/>
        </w:rPr>
      </w:pPr>
    </w:p>
    <w:p>
      <w:pPr>
        <w:jc w:val="both"/>
        <w:ind w:left="1220" w:right="20"/>
        <w:spacing w:after="0" w:line="312" w:lineRule="auto"/>
        <w:rPr>
          <w:sz w:val="20"/>
          <w:szCs w:val="20"/>
          <w:color w:val="auto"/>
        </w:rPr>
      </w:pPr>
      <w:r>
        <w:rPr>
          <w:rFonts w:ascii="Arial" w:cs="Arial" w:eastAsia="Arial" w:hAnsi="Arial"/>
          <w:sz w:val="16"/>
          <w:szCs w:val="16"/>
          <w:color w:val="auto"/>
        </w:rPr>
        <w:t>Party A agrees that Party B is entitled to inquire about Party A’s creditworthiness with the Credit Database or relevant authorities established or approved by the People’s Bank of China and the Credit Reference Agency, and that Party B is entitled to provide Party A’s information to such Credit Database. Party A further agrees that Party B may reasonably use and disclose Party A’s information for business purpose.</w:t>
      </w:r>
    </w:p>
    <w:p>
      <w:pPr>
        <w:spacing w:after="0" w:line="14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color w:val="auto"/>
        </w:rPr>
        <w:t>Collection by Public Announcement</w:t>
      </w:r>
    </w:p>
    <w:p>
      <w:pPr>
        <w:spacing w:after="0" w:line="225" w:lineRule="exact"/>
        <w:rPr>
          <w:sz w:val="20"/>
          <w:szCs w:val="20"/>
          <w:color w:val="auto"/>
        </w:rPr>
      </w:pPr>
    </w:p>
    <w:p>
      <w:pPr>
        <w:jc w:val="both"/>
        <w:ind w:left="1220"/>
        <w:spacing w:after="0" w:line="277" w:lineRule="auto"/>
        <w:rPr>
          <w:sz w:val="20"/>
          <w:szCs w:val="20"/>
          <w:color w:val="auto"/>
        </w:rPr>
      </w:pPr>
      <w:r>
        <w:rPr>
          <w:rFonts w:ascii="Arial" w:cs="Arial" w:eastAsia="Arial" w:hAnsi="Arial"/>
          <w:sz w:val="18"/>
          <w:szCs w:val="18"/>
          <w:color w:val="auto"/>
        </w:rPr>
        <w:t>In the event that Party A fails to repay on time any principal or interest or breaches any other contractual obligations hereunder, Party B is entitled to report to relevant authorities and demand repayments by means of public announcement via press.</w:t>
      </w:r>
    </w:p>
    <w:p>
      <w:pPr>
        <w:spacing w:after="0" w:line="17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Party B’s Record as Evidence</w:t>
      </w:r>
    </w:p>
    <w:p>
      <w:pPr>
        <w:spacing w:after="0" w:line="225" w:lineRule="exact"/>
        <w:rPr>
          <w:sz w:val="20"/>
          <w:szCs w:val="20"/>
          <w:color w:val="auto"/>
        </w:rPr>
      </w:pPr>
    </w:p>
    <w:p>
      <w:pPr>
        <w:jc w:val="both"/>
        <w:ind w:left="1220"/>
        <w:spacing w:after="0" w:line="279" w:lineRule="auto"/>
        <w:rPr>
          <w:sz w:val="20"/>
          <w:szCs w:val="20"/>
          <w:color w:val="auto"/>
        </w:rPr>
      </w:pPr>
      <w:r>
        <w:rPr>
          <w:rFonts w:ascii="Arial" w:cs="Arial" w:eastAsia="Arial" w:hAnsi="Arial"/>
          <w:sz w:val="17"/>
          <w:szCs w:val="17"/>
          <w:color w:val="auto"/>
        </w:rPr>
        <w:t>Unless there is reliable and definitive evidence to the contrary, Party B’s internal records of principal, interest, expenses and repayment, receipts, vouchers made or retained by Party B during the course of drawdown, repayment and interest payment, and records and vouchers relating to the collections by Party B shall constitute valid evidence of the creditor-debtor relationship between the two parties. Party A shall not raise any objection merely because the above records, receipts, vouchers are made or retained by Party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5" w:name="page76"/>
    <w:bookmarkEnd w:id="75"/>
    <w:p>
      <w:pPr>
        <w:spacing w:after="0"/>
        <w:tabs>
          <w:tab w:leader="none" w:pos="5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No Waivers</w:t>
      </w:r>
    </w:p>
    <w:p>
      <w:pPr>
        <w:spacing w:after="0" w:line="225" w:lineRule="exact"/>
        <w:rPr>
          <w:sz w:val="20"/>
          <w:szCs w:val="20"/>
          <w:color w:val="auto"/>
        </w:rPr>
      </w:pPr>
    </w:p>
    <w:p>
      <w:pPr>
        <w:jc w:val="both"/>
        <w:ind w:left="560"/>
        <w:spacing w:after="0" w:line="257" w:lineRule="auto"/>
        <w:rPr>
          <w:sz w:val="20"/>
          <w:szCs w:val="20"/>
          <w:color w:val="auto"/>
        </w:rPr>
      </w:pPr>
      <w:r>
        <w:rPr>
          <w:rFonts w:ascii="Arial" w:cs="Arial" w:eastAsia="Arial" w:hAnsi="Arial"/>
          <w:sz w:val="18"/>
          <w:szCs w:val="18"/>
          <w:color w:val="auto"/>
        </w:rPr>
        <w:t>Party B’s rights hereunder shall not prejudice or exclude any other rights Party B is entitled to under applicable laws, regulations and other contracts. No forbearance, extension of time limit, preferential treatment or delay in exercising any right hereunder shall be deemed to constitute a waiver of rights and interests hereunder or permit or recognition of any breach of the Contract. Nor shall it restrict, prevent or interfere with the continuous exercise of such right at a later time or any other right, nor shall the foregoing cause Party B to be liable in any way to the Borrower.</w:t>
      </w:r>
    </w:p>
    <w:p>
      <w:pPr>
        <w:spacing w:after="0" w:line="188" w:lineRule="exact"/>
        <w:rPr>
          <w:sz w:val="20"/>
          <w:szCs w:val="20"/>
          <w:color w:val="auto"/>
        </w:rPr>
      </w:pPr>
    </w:p>
    <w:p>
      <w:pPr>
        <w:jc w:val="both"/>
        <w:ind w:left="560" w:hanging="566"/>
        <w:spacing w:after="0" w:line="264" w:lineRule="auto"/>
        <w:tabs>
          <w:tab w:leader="none" w:pos="540" w:val="left"/>
        </w:tabs>
        <w:rPr>
          <w:sz w:val="20"/>
          <w:szCs w:val="20"/>
          <w:color w:val="auto"/>
        </w:rPr>
      </w:pPr>
      <w:r>
        <w:rPr>
          <w:rFonts w:ascii="Arial" w:cs="Arial" w:eastAsia="Arial" w:hAnsi="Arial"/>
          <w:sz w:val="18"/>
          <w:szCs w:val="18"/>
          <w:color w:val="auto"/>
        </w:rPr>
        <w:t>11.6</w:t>
        <w:tab/>
        <w:t>If Party A owes Party B any other due and payable debts in addition to the debts hereunder, Party B may debit any of Party A’s account at China Construction Bank in RMB or other currencies and may choose to repay any of the due and payable debts in the order it deems appropriate. Party A agrees not to raise any objection with respect thereto.</w:t>
      </w:r>
    </w:p>
    <w:p>
      <w:pPr>
        <w:spacing w:after="0" w:line="181" w:lineRule="exact"/>
        <w:rPr>
          <w:sz w:val="20"/>
          <w:szCs w:val="20"/>
          <w:color w:val="auto"/>
        </w:rPr>
      </w:pPr>
    </w:p>
    <w:p>
      <w:pPr>
        <w:jc w:val="both"/>
        <w:ind w:left="560" w:hanging="566"/>
        <w:spacing w:after="0" w:line="277" w:lineRule="auto"/>
        <w:tabs>
          <w:tab w:leader="none" w:pos="540" w:val="left"/>
        </w:tabs>
        <w:rPr>
          <w:sz w:val="20"/>
          <w:szCs w:val="20"/>
          <w:color w:val="auto"/>
        </w:rPr>
      </w:pPr>
      <w:r>
        <w:rPr>
          <w:rFonts w:ascii="Arial" w:cs="Arial" w:eastAsia="Arial" w:hAnsi="Arial"/>
          <w:sz w:val="18"/>
          <w:szCs w:val="18"/>
          <w:color w:val="auto"/>
        </w:rPr>
        <w:t>11.7</w:t>
        <w:tab/>
        <w:t>In the event of any change to the address or other contact information, Party A shall promptly notify Party B of such change in writing. Party A shall be liable for any loss caused by its failure of giving prompt notice of such change.</w:t>
      </w:r>
    </w:p>
    <w:p>
      <w:pPr>
        <w:spacing w:after="0" w:line="17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7"/>
          <w:szCs w:val="17"/>
          <w:color w:val="auto"/>
        </w:rPr>
        <w:t>Direct Debit Right</w:t>
      </w:r>
    </w:p>
    <w:p>
      <w:pPr>
        <w:spacing w:after="0" w:line="225" w:lineRule="exact"/>
        <w:rPr>
          <w:sz w:val="20"/>
          <w:szCs w:val="20"/>
          <w:color w:val="auto"/>
        </w:rPr>
      </w:pPr>
    </w:p>
    <w:p>
      <w:pPr>
        <w:jc w:val="both"/>
        <w:ind w:left="560"/>
        <w:spacing w:after="0" w:line="264" w:lineRule="auto"/>
        <w:rPr>
          <w:sz w:val="20"/>
          <w:szCs w:val="20"/>
          <w:color w:val="auto"/>
        </w:rPr>
      </w:pPr>
      <w:r>
        <w:rPr>
          <w:rFonts w:ascii="Arial" w:cs="Arial" w:eastAsia="Arial" w:hAnsi="Arial"/>
          <w:sz w:val="18"/>
          <w:szCs w:val="18"/>
          <w:color w:val="auto"/>
        </w:rPr>
        <w:t>Party B is entitled to debit, without prior notice to Party A, any account of Party A at China Construction Bank in RMB or other currencies to pay all amounts payable under the Contract. Party A shall assist Party B to complete any procedures for foreign exchange settlement or sale, and Party A shall bear the risk of exchange rate fluctuation.</w:t>
      </w:r>
    </w:p>
    <w:p>
      <w:pPr>
        <w:spacing w:after="0" w:line="181"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Dispute Resolution</w:t>
      </w:r>
    </w:p>
    <w:p>
      <w:pPr>
        <w:spacing w:after="0" w:line="225" w:lineRule="exact"/>
        <w:rPr>
          <w:sz w:val="20"/>
          <w:szCs w:val="20"/>
          <w:color w:val="auto"/>
        </w:rPr>
      </w:pPr>
    </w:p>
    <w:p>
      <w:pPr>
        <w:jc w:val="both"/>
        <w:ind w:left="560"/>
        <w:spacing w:after="0" w:line="277" w:lineRule="auto"/>
        <w:rPr>
          <w:sz w:val="20"/>
          <w:szCs w:val="20"/>
          <w:color w:val="auto"/>
        </w:rPr>
      </w:pPr>
      <w:r>
        <w:rPr>
          <w:rFonts w:ascii="Arial" w:cs="Arial" w:eastAsia="Arial" w:hAnsi="Arial"/>
          <w:sz w:val="18"/>
          <w:szCs w:val="18"/>
          <w:color w:val="auto"/>
        </w:rPr>
        <w:t xml:space="preserve">Any dispute arising from the performance of the Contract may be settled by consultation. If the dispute cannot be resolved through consultation, such dispute shall be submitted to </w:t>
      </w:r>
      <w:r>
        <w:rPr>
          <w:rFonts w:ascii="Arial" w:cs="Arial" w:eastAsia="Arial" w:hAnsi="Arial"/>
          <w:sz w:val="18"/>
          <w:szCs w:val="18"/>
          <w:u w:val="single" w:color="auto"/>
          <w:color w:val="auto"/>
        </w:rPr>
        <w:t>(1)</w:t>
      </w:r>
      <w:r>
        <w:rPr>
          <w:rFonts w:ascii="Arial" w:cs="Arial" w:eastAsia="Arial" w:hAnsi="Arial"/>
          <w:sz w:val="18"/>
          <w:szCs w:val="18"/>
          <w:color w:val="auto"/>
        </w:rPr>
        <w:t xml:space="preserve"> [please select from below]:</w:t>
      </w:r>
    </w:p>
    <w:p>
      <w:pPr>
        <w:spacing w:after="0" w:line="170" w:lineRule="exact"/>
        <w:rPr>
          <w:sz w:val="20"/>
          <w:szCs w:val="20"/>
          <w:color w:val="auto"/>
        </w:rPr>
      </w:pPr>
    </w:p>
    <w:p>
      <w:pPr>
        <w:ind w:left="1220" w:hanging="575"/>
        <w:spacing w:after="0"/>
        <w:tabs>
          <w:tab w:leader="none" w:pos="12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People’s court within the jurisdiction where Party B is located.</w:t>
      </w:r>
    </w:p>
    <w:p>
      <w:pPr>
        <w:spacing w:after="0" w:line="225" w:lineRule="exact"/>
        <w:rPr>
          <w:rFonts w:ascii="Arial" w:cs="Arial" w:eastAsia="Arial" w:hAnsi="Arial"/>
          <w:sz w:val="18"/>
          <w:szCs w:val="18"/>
          <w:color w:val="auto"/>
        </w:rPr>
      </w:pPr>
    </w:p>
    <w:p>
      <w:pPr>
        <w:ind w:left="1220" w:hanging="575"/>
        <w:spacing w:after="0" w:line="277" w:lineRule="auto"/>
        <w:tabs>
          <w:tab w:leader="none" w:pos="12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[name of the arbitration committee] for arbitration at </w:t>
      </w:r>
      <w:r>
        <w:rPr>
          <w:rFonts w:ascii="Arial" w:cs="Arial" w:eastAsia="Arial" w:hAnsi="Arial"/>
          <w:sz w:val="18"/>
          <w:szCs w:val="18"/>
          <w:u w:val="single" w:color="auto"/>
          <w:color w:val="auto"/>
        </w:rPr>
        <w:t>____</w:t>
      </w:r>
      <w:r>
        <w:rPr>
          <w:rFonts w:ascii="Arial" w:cs="Arial" w:eastAsia="Arial" w:hAnsi="Arial"/>
          <w:sz w:val="18"/>
          <w:szCs w:val="18"/>
          <w:color w:val="auto"/>
        </w:rPr>
        <w:t xml:space="preserve"> [place of arbitration] in accordance with the then prevailing arbitration rules. The arbitration award shall be final and binding on both Party A and Party B.</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undisputed provisions shall remain enforceable during the process of litigation or arbitration.</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665" w:right="239" w:bottom="1440" w:gutter="0" w:footer="0" w:header="0"/>
        </w:sectPr>
      </w:pPr>
    </w:p>
    <w:bookmarkStart w:id="76" w:name="page77"/>
    <w:bookmarkEnd w:id="76"/>
    <w:p>
      <w:pPr>
        <w:ind w:left="660"/>
        <w:spacing w:after="0"/>
        <w:tabs>
          <w:tab w:leader="none" w:pos="1200" w:val="left"/>
        </w:tabs>
        <w:rPr>
          <w:sz w:val="20"/>
          <w:szCs w:val="20"/>
          <w:color w:val="auto"/>
        </w:rPr>
      </w:pPr>
      <w:r>
        <w:rPr>
          <w:rFonts w:ascii="Arial" w:cs="Arial" w:eastAsia="Arial" w:hAnsi="Arial"/>
          <w:sz w:val="18"/>
          <w:szCs w:val="18"/>
          <w:color w:val="auto"/>
        </w:rPr>
        <w:t>11.10</w:t>
      </w:r>
      <w:r>
        <w:rPr>
          <w:sz w:val="20"/>
          <w:szCs w:val="20"/>
          <w:color w:val="auto"/>
        </w:rPr>
        <w:tab/>
      </w:r>
      <w:r>
        <w:rPr>
          <w:rFonts w:ascii="Arial" w:cs="Arial" w:eastAsia="Arial" w:hAnsi="Arial"/>
          <w:sz w:val="16"/>
          <w:szCs w:val="16"/>
          <w:color w:val="auto"/>
        </w:rPr>
        <w:t>Effectiveness of the Contract</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The Contract shall become effective upon:</w:t>
      </w:r>
    </w:p>
    <w:p>
      <w:pPr>
        <w:spacing w:after="0" w:line="225" w:lineRule="exact"/>
        <w:rPr>
          <w:sz w:val="20"/>
          <w:szCs w:val="20"/>
          <w:color w:val="auto"/>
        </w:rPr>
      </w:pPr>
    </w:p>
    <w:p>
      <w:pPr>
        <w:ind w:left="1880" w:right="20" w:hanging="575"/>
        <w:spacing w:after="0" w:line="277" w:lineRule="auto"/>
        <w:tabs>
          <w:tab w:leader="none" w:pos="1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execution by the legal representative/(principal officer) or authorized representative of Party A and being affixed with the company chop of Party A; and</w:t>
      </w:r>
    </w:p>
    <w:p>
      <w:pPr>
        <w:spacing w:after="0" w:line="170" w:lineRule="exact"/>
        <w:rPr>
          <w:rFonts w:ascii="Arial" w:cs="Arial" w:eastAsia="Arial" w:hAnsi="Arial"/>
          <w:sz w:val="18"/>
          <w:szCs w:val="18"/>
          <w:color w:val="auto"/>
        </w:rPr>
      </w:pPr>
    </w:p>
    <w:p>
      <w:pPr>
        <w:ind w:left="1880" w:hanging="575"/>
        <w:spacing w:after="0" w:line="277" w:lineRule="auto"/>
        <w:tabs>
          <w:tab w:leader="none" w:pos="18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execution by the principal officer or authorized representative of Party B and being affixed with the company chop of Party B. All Schedules of this Contract shall constitute integral parts of this Contract and shall be equally binding.</w:t>
      </w:r>
    </w:p>
    <w:p>
      <w:pPr>
        <w:spacing w:after="0" w:line="166"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6"/>
          <w:szCs w:val="16"/>
          <w:color w:val="auto"/>
        </w:rPr>
        <w:t xml:space="preserve">The Contract shall be executed in </w:t>
      </w:r>
      <w:r>
        <w:rPr>
          <w:rFonts w:ascii="Arial" w:cs="Arial" w:eastAsia="Arial" w:hAnsi="Arial"/>
          <w:sz w:val="16"/>
          <w:szCs w:val="16"/>
          <w:b w:val="1"/>
          <w:bCs w:val="1"/>
          <w:color w:val="auto"/>
        </w:rPr>
        <w:t>_______</w:t>
      </w:r>
      <w:r>
        <w:rPr>
          <w:rFonts w:ascii="Arial" w:cs="Arial" w:eastAsia="Arial" w:hAnsi="Arial"/>
          <w:sz w:val="16"/>
          <w:szCs w:val="16"/>
          <w:color w:val="auto"/>
        </w:rPr>
        <w:t xml:space="preserve"> counterparts.</w:t>
      </w:r>
    </w:p>
    <w:p>
      <w:pPr>
        <w:spacing w:after="0" w:line="229"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6"/>
          <w:szCs w:val="16"/>
          <w:color w:val="auto"/>
        </w:rPr>
        <w:t>Other Provisions:</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u w:val="single" w:color="auto"/>
          <w:color w:val="auto"/>
        </w:rPr>
        <w:t>___________________________________________________________________________________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REPRESENTATIONS</w:t>
      </w:r>
    </w:p>
    <w:p>
      <w:pPr>
        <w:spacing w:after="0" w:line="12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Party A clearly understands the business scope and authorization limit of Party B.</w:t>
      </w:r>
    </w:p>
    <w:p>
      <w:pPr>
        <w:spacing w:after="0" w:line="225" w:lineRule="exact"/>
        <w:rPr>
          <w:sz w:val="20"/>
          <w:szCs w:val="20"/>
          <w:color w:val="auto"/>
        </w:rPr>
      </w:pPr>
    </w:p>
    <w:p>
      <w:pPr>
        <w:jc w:val="both"/>
        <w:ind w:left="1220" w:right="20" w:hanging="566"/>
        <w:spacing w:after="0" w:line="277" w:lineRule="auto"/>
        <w:tabs>
          <w:tab w:leader="none" w:pos="1200" w:val="left"/>
        </w:tabs>
        <w:rPr>
          <w:sz w:val="20"/>
          <w:szCs w:val="20"/>
          <w:color w:val="auto"/>
        </w:rPr>
      </w:pPr>
      <w:r>
        <w:rPr>
          <w:rFonts w:ascii="Arial" w:cs="Arial" w:eastAsia="Arial" w:hAnsi="Arial"/>
          <w:sz w:val="18"/>
          <w:szCs w:val="18"/>
          <w:color w:val="auto"/>
        </w:rPr>
        <w:t>12.2</w:t>
        <w:tab/>
        <w:t>Party A has read the Contract. Party B, at Party A’s request, has explained the terms of the Contract, and Party A fully understands their meanings and corresponding legal consequences.</w:t>
      </w:r>
    </w:p>
    <w:p>
      <w:pPr>
        <w:spacing w:after="0" w:line="170" w:lineRule="exact"/>
        <w:rPr>
          <w:sz w:val="20"/>
          <w:szCs w:val="20"/>
          <w:color w:val="auto"/>
        </w:rPr>
      </w:pPr>
    </w:p>
    <w:p>
      <w:pPr>
        <w:jc w:val="both"/>
        <w:ind w:left="1220" w:hanging="566"/>
        <w:spacing w:after="0" w:line="264" w:lineRule="auto"/>
        <w:tabs>
          <w:tab w:leader="none" w:pos="1200" w:val="left"/>
        </w:tabs>
        <w:rPr>
          <w:sz w:val="20"/>
          <w:szCs w:val="20"/>
          <w:color w:val="auto"/>
        </w:rPr>
      </w:pPr>
      <w:r>
        <w:rPr>
          <w:rFonts w:ascii="Arial" w:cs="Arial" w:eastAsia="Arial" w:hAnsi="Arial"/>
          <w:sz w:val="18"/>
          <w:szCs w:val="18"/>
          <w:color w:val="auto"/>
        </w:rPr>
        <w:t>12.3</w:t>
        <w:tab/>
        <w:t>The execution and performance of the Contract by Party A is in compliance with laws, administrative regulations, rules and Party A’s articles of association (or its other internal constitutional documents) and has been approved by its internal competent organization and/or the competent governmental authorities.</w:t>
      </w:r>
    </w:p>
    <w:p>
      <w:pPr>
        <w:spacing w:after="0" w:line="181"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Party A carries out production and operation in compliance with laws and regulations.</w:t>
      </w:r>
    </w:p>
    <w:p>
      <w:pPr>
        <w:spacing w:after="0" w:line="225"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6"/>
          <w:szCs w:val="16"/>
          <w:color w:val="auto"/>
        </w:rPr>
        <w:t>Party A has the capability to keep its business going and has the legitimate sources to repay the loan.</w:t>
      </w:r>
    </w:p>
    <w:p>
      <w:pPr>
        <w:spacing w:after="0" w:line="225" w:lineRule="exact"/>
        <w:rPr>
          <w:sz w:val="20"/>
          <w:szCs w:val="20"/>
          <w:color w:val="auto"/>
        </w:rPr>
      </w:pPr>
    </w:p>
    <w:p>
      <w:pPr>
        <w:jc w:val="both"/>
        <w:ind w:left="1220" w:hanging="566"/>
        <w:spacing w:after="0" w:line="277" w:lineRule="auto"/>
        <w:tabs>
          <w:tab w:leader="none" w:pos="1200" w:val="left"/>
        </w:tabs>
        <w:rPr>
          <w:sz w:val="20"/>
          <w:szCs w:val="20"/>
          <w:color w:val="auto"/>
        </w:rPr>
      </w:pPr>
      <w:r>
        <w:rPr>
          <w:rFonts w:ascii="Arial" w:cs="Arial" w:eastAsia="Arial" w:hAnsi="Arial"/>
          <w:sz w:val="18"/>
          <w:szCs w:val="18"/>
          <w:color w:val="auto"/>
        </w:rPr>
        <w:t>12.6</w:t>
        <w:tab/>
        <w:t>Party A warrants that the loan amount requested under this Contract is no more than necessary to meet the real needs of Party A for the purposes specified herein.</w:t>
      </w:r>
    </w:p>
    <w:p>
      <w:pPr>
        <w:spacing w:after="0" w:line="170"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color w:val="auto"/>
        </w:rPr>
        <w:t>12.7</w:t>
      </w:r>
      <w:r>
        <w:rPr>
          <w:sz w:val="20"/>
          <w:szCs w:val="20"/>
          <w:color w:val="auto"/>
        </w:rPr>
        <w:tab/>
      </w:r>
      <w:r>
        <w:rPr>
          <w:rFonts w:ascii="Arial" w:cs="Arial" w:eastAsia="Arial" w:hAnsi="Arial"/>
          <w:sz w:val="16"/>
          <w:szCs w:val="16"/>
          <w:color w:val="auto"/>
        </w:rPr>
        <w:t>Both Party A and its controlling shareholder have good financial standing and have no record of gross misconducts.</w:t>
      </w:r>
    </w:p>
    <w:p>
      <w:pPr>
        <w:spacing w:after="0" w:line="225" w:lineRule="exact"/>
        <w:rPr>
          <w:sz w:val="20"/>
          <w:szCs w:val="20"/>
          <w:color w:val="auto"/>
        </w:rPr>
      </w:pPr>
    </w:p>
    <w:p>
      <w:pPr>
        <w:jc w:val="both"/>
        <w:ind w:left="1220" w:right="20" w:hanging="566"/>
        <w:spacing w:after="0" w:line="277" w:lineRule="auto"/>
        <w:tabs>
          <w:tab w:leader="none" w:pos="1200" w:val="left"/>
        </w:tabs>
        <w:rPr>
          <w:sz w:val="20"/>
          <w:szCs w:val="20"/>
          <w:color w:val="auto"/>
        </w:rPr>
      </w:pPr>
      <w:r>
        <w:rPr>
          <w:rFonts w:ascii="Arial" w:cs="Arial" w:eastAsia="Arial" w:hAnsi="Arial"/>
          <w:sz w:val="18"/>
          <w:szCs w:val="18"/>
          <w:color w:val="auto"/>
        </w:rPr>
        <w:t>12.8</w:t>
        <w:tab/>
        <w:t>Party A agrees that Party B has the right to instruct other branches of China Construction Bank to advance loan under this Contract and to exercise or perform the rights and obligations hereunder.</w:t>
      </w:r>
    </w:p>
    <w:p>
      <w:pPr>
        <w:spacing w:after="0" w:line="170" w:lineRule="exact"/>
        <w:rPr>
          <w:sz w:val="20"/>
          <w:szCs w:val="20"/>
          <w:color w:val="auto"/>
        </w:rPr>
      </w:pPr>
    </w:p>
    <w:p>
      <w:pPr>
        <w:jc w:val="both"/>
        <w:ind w:left="1220" w:hanging="566"/>
        <w:spacing w:after="0" w:line="273" w:lineRule="auto"/>
        <w:tabs>
          <w:tab w:leader="none" w:pos="1200" w:val="left"/>
        </w:tabs>
        <w:rPr>
          <w:sz w:val="20"/>
          <w:szCs w:val="20"/>
          <w:color w:val="auto"/>
        </w:rPr>
      </w:pPr>
      <w:r>
        <w:rPr>
          <w:rFonts w:ascii="Arial" w:cs="Arial" w:eastAsia="Arial" w:hAnsi="Arial"/>
          <w:sz w:val="18"/>
          <w:szCs w:val="18"/>
          <w:color w:val="auto"/>
        </w:rPr>
        <w:t>12.9</w:t>
      </w:r>
      <w:r>
        <w:rPr>
          <w:sz w:val="20"/>
          <w:szCs w:val="20"/>
          <w:color w:val="auto"/>
        </w:rPr>
        <w:tab/>
      </w:r>
      <w:r>
        <w:rPr>
          <w:rFonts w:ascii="Arial" w:cs="Arial" w:eastAsia="Arial" w:hAnsi="Arial"/>
          <w:sz w:val="17"/>
          <w:szCs w:val="17"/>
          <w:color w:val="auto"/>
        </w:rPr>
        <w:t>Party A represents that, at the time of execution of this Contract, there exists no action or event that violates any applicable laws, regulations or rules in relation to environmental protection, energy saving and emission/pollution reduction (the “Environmental Laws”). Party A further warrants that it shall strictly comply with such Environmental Law after the execution of this Contract. If any of the above representations or warranties is untrue, or Party A defaults on any of the above undertakings, or there is any potential risk of energy dissipation or pollution by Party A, Party B is entitled to stop advancing loans, to declare an acceleration of the principal and interest not yet due hereunder, or adopt other remedial measures provided hereunder or permitted by laws.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 xml:space="preserve">Party A </w:t>
      </w:r>
      <w:r>
        <w:rPr>
          <w:rFonts w:ascii="Arial" w:cs="Arial" w:eastAsia="Arial" w:hAnsi="Arial"/>
          <w:sz w:val="18"/>
          <w:szCs w:val="18"/>
          <w:color w:val="auto"/>
        </w:rPr>
        <w:t>(Company Chop)</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By the legal representative (principal officer) or authorized representative: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Signature: 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Party B </w:t>
      </w:r>
      <w:r>
        <w:rPr>
          <w:rFonts w:ascii="Arial" w:cs="Arial" w:eastAsia="Arial" w:hAnsi="Arial"/>
          <w:sz w:val="18"/>
          <w:szCs w:val="18"/>
          <w:color w:val="auto"/>
        </w:rPr>
        <w:t>(Company Chop)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the principal officer or authorized representative: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Signature: 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Schedule 1</w:t>
      </w:r>
    </w:p>
    <w:p>
      <w:pPr>
        <w:spacing w:after="0" w:line="200" w:lineRule="exact"/>
        <w:rPr>
          <w:sz w:val="20"/>
          <w:szCs w:val="20"/>
          <w:color w:val="auto"/>
        </w:rPr>
      </w:pPr>
    </w:p>
    <w:p>
      <w:pPr>
        <w:spacing w:after="0" w:line="241"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Loan Information</w:t>
      </w:r>
    </w:p>
    <w:p>
      <w:pPr>
        <w:spacing w:after="0" w:line="200" w:lineRule="exact"/>
        <w:rPr>
          <w:sz w:val="20"/>
          <w:szCs w:val="20"/>
          <w:color w:val="auto"/>
        </w:rPr>
      </w:pPr>
    </w:p>
    <w:p>
      <w:pPr>
        <w:spacing w:after="0" w:line="24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 Specific purposes of the loan:</w:t>
      </w:r>
    </w:p>
    <w:p>
      <w:pPr>
        <w:spacing w:after="0" w:line="117"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This Loan is used for company’s daily operation expense, including material purchase payment and employee’s salary.</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Party A shall not change the purpose of the loan without Party B’s written consent.</w:t>
      </w:r>
    </w:p>
    <w:p>
      <w:pPr>
        <w:spacing w:after="0" w:line="333" w:lineRule="exact"/>
        <w:rPr>
          <w:sz w:val="20"/>
          <w:szCs w:val="20"/>
          <w:color w:val="auto"/>
        </w:rPr>
      </w:pPr>
    </w:p>
    <w:p>
      <w:pPr>
        <w:ind w:left="820" w:right="7400" w:hanging="434"/>
        <w:spacing w:after="0" w:line="483" w:lineRule="auto"/>
        <w:tabs>
          <w:tab w:leader="none" w:pos="568"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Sources of funds for loan repayment: </w:t>
      </w:r>
      <w:r>
        <w:rPr>
          <w:rFonts w:ascii="Arial" w:cs="Arial" w:eastAsia="Arial" w:hAnsi="Arial"/>
          <w:sz w:val="16"/>
          <w:szCs w:val="16"/>
          <w:u w:val="single" w:color="auto"/>
          <w:color w:val="auto"/>
        </w:rPr>
        <w:t>Company’s proceeds of sales.</w:t>
      </w:r>
    </w:p>
    <w:p>
      <w:pPr>
        <w:spacing w:after="0" w:line="1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860"/>
        <w:spacing w:after="0"/>
        <w:rPr>
          <w:sz w:val="20"/>
          <w:szCs w:val="20"/>
          <w:color w:val="auto"/>
        </w:rPr>
      </w:pPr>
      <w:r>
        <w:rPr>
          <w:rFonts w:ascii="Arial" w:cs="Arial" w:eastAsia="Arial" w:hAnsi="Arial"/>
          <w:sz w:val="16"/>
          <w:szCs w:val="16"/>
          <w:color w:val="auto"/>
        </w:rPr>
        <w:t>Party A guarantees the truthfulness and legality of such sources of funds and the steadiness and adequacy of cash flows of such sources.</w:t>
      </w:r>
    </w:p>
    <w:p>
      <w:pPr>
        <w:spacing w:after="0" w:line="356" w:lineRule="exact"/>
        <w:rPr>
          <w:sz w:val="20"/>
          <w:szCs w:val="20"/>
          <w:color w:val="auto"/>
        </w:rPr>
      </w:pPr>
    </w:p>
    <w:p>
      <w:pPr>
        <w:ind w:left="560" w:hanging="174"/>
        <w:spacing w:after="0"/>
        <w:tabs>
          <w:tab w:leader="none" w:pos="5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117"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40"/>
          </w:cols>
          <w:pgMar w:left="240" w:top="661" w:right="101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Schedule 2</w:t>
      </w:r>
    </w:p>
    <w:p>
      <w:pPr>
        <w:spacing w:after="0" w:line="200" w:lineRule="exact"/>
        <w:rPr>
          <w:sz w:val="20"/>
          <w:szCs w:val="20"/>
          <w:color w:val="auto"/>
        </w:rPr>
      </w:pPr>
    </w:p>
    <w:p>
      <w:pPr>
        <w:spacing w:after="0" w:line="24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Mandatory Financial Indicators</w:t>
      </w:r>
    </w:p>
    <w:p>
      <w:pPr>
        <w:spacing w:after="0" w:line="200" w:lineRule="exact"/>
        <w:rPr>
          <w:sz w:val="20"/>
          <w:szCs w:val="20"/>
          <w:color w:val="auto"/>
        </w:rPr>
      </w:pPr>
    </w:p>
    <w:p>
      <w:pPr>
        <w:spacing w:after="0" w:line="2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Financial indicators of Party A shall on a continuous basis meet the following requirements:</w:t>
      </w:r>
    </w:p>
    <w:p>
      <w:pPr>
        <w:spacing w:after="0" w:line="100"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2440" w:type="dxa"/>
            <w:vAlign w:val="bottom"/>
          </w:tcPr>
          <w:p>
            <w:pPr>
              <w:spacing w:after="0"/>
              <w:rPr>
                <w:sz w:val="20"/>
                <w:szCs w:val="20"/>
                <w:color w:val="auto"/>
              </w:rPr>
            </w:pPr>
            <w:r>
              <w:rPr>
                <w:rFonts w:ascii="Arial" w:cs="Arial" w:eastAsia="Arial" w:hAnsi="Arial"/>
                <w:sz w:val="18"/>
                <w:szCs w:val="18"/>
                <w:color w:val="auto"/>
                <w:w w:val="96"/>
              </w:rPr>
              <w:t>Maximum Monthly Capital/Debt</w:t>
            </w: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480"/>
              <w:spacing w:after="0"/>
              <w:rPr>
                <w:sz w:val="20"/>
                <w:szCs w:val="20"/>
                <w:color w:val="auto"/>
              </w:rPr>
            </w:pPr>
            <w:r>
              <w:rPr>
                <w:rFonts w:ascii="Arial" w:cs="Arial" w:eastAsia="Arial" w:hAnsi="Arial"/>
                <w:sz w:val="18"/>
                <w:szCs w:val="18"/>
                <w:color w:val="auto"/>
              </w:rPr>
              <w:t>65%</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304"/>
        </w:trPr>
        <w:tc>
          <w:tcPr>
            <w:tcW w:w="2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Minimum Current Ratio:</w:t>
            </w:r>
          </w:p>
        </w:tc>
        <w:tc>
          <w:tcPr>
            <w:tcW w:w="58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100%</w:t>
            </w:r>
          </w:p>
        </w:tc>
        <w:tc>
          <w:tcPr>
            <w:tcW w:w="40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4"/>
        </w:trPr>
        <w:tc>
          <w:tcPr>
            <w:tcW w:w="2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Minimum liquidity Ratio:</w:t>
            </w:r>
          </w:p>
        </w:tc>
        <w:tc>
          <w:tcPr>
            <w:tcW w:w="50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4"/>
        </w:trPr>
        <w:tc>
          <w:tcPr>
            <w:tcW w:w="29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6"/>
              </w:rPr>
              <w:t>Maximum contingency liability/Capital</w:t>
            </w:r>
          </w:p>
        </w:tc>
        <w:tc>
          <w:tcPr>
            <w:tcW w:w="120" w:type="dxa"/>
            <w:vAlign w:val="bottom"/>
            <w:tcBorders>
              <w:bottom w:val="single" w:sz="8" w:color="auto"/>
            </w:tcBorders>
            <w:gridSpan w:val="2"/>
          </w:tcPr>
          <w:p>
            <w:pPr>
              <w:spacing w:after="0"/>
              <w:rPr>
                <w:sz w:val="24"/>
                <w:szCs w:val="2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4"/>
        </w:trPr>
        <w:tc>
          <w:tcPr>
            <w:tcW w:w="422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rPr>
              <w:t>Maximum accumulated long term investment/Capital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bl>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00" w:lineRule="exact"/>
        <w:rPr>
          <w:sz w:val="20"/>
          <w:szCs w:val="20"/>
          <w:color w:val="auto"/>
        </w:rPr>
      </w:pPr>
    </w:p>
    <w:p>
      <w:pPr>
        <w:spacing w:after="0" w:line="241" w:lineRule="exact"/>
        <w:rPr>
          <w:sz w:val="20"/>
          <w:szCs w:val="20"/>
          <w:color w:val="auto"/>
        </w:rPr>
      </w:pPr>
    </w:p>
    <w:p>
      <w:pPr>
        <w:ind w:left="420"/>
        <w:spacing w:after="0" w:line="277" w:lineRule="auto"/>
        <w:rPr>
          <w:sz w:val="20"/>
          <w:szCs w:val="20"/>
          <w:color w:val="auto"/>
        </w:rPr>
      </w:pPr>
      <w:r>
        <w:rPr>
          <w:rFonts w:ascii="Arial" w:cs="Arial" w:eastAsia="Arial" w:hAnsi="Arial"/>
          <w:sz w:val="18"/>
          <w:szCs w:val="18"/>
          <w:color w:val="auto"/>
        </w:rPr>
        <w:t xml:space="preserve">Party B has the right to change unilaterally such requirements as to mandatory indicators provided that </w:t>
      </w:r>
      <w:r>
        <w:rPr>
          <w:rFonts w:ascii="Arial" w:cs="Arial" w:eastAsia="Arial" w:hAnsi="Arial"/>
          <w:sz w:val="18"/>
          <w:szCs w:val="18"/>
          <w:u w:val="single" w:color="auto"/>
          <w:color w:val="auto"/>
        </w:rPr>
        <w:t>FIVE</w:t>
      </w:r>
      <w:r>
        <w:rPr>
          <w:rFonts w:ascii="Arial" w:cs="Arial" w:eastAsia="Arial" w:hAnsi="Arial"/>
          <w:sz w:val="18"/>
          <w:szCs w:val="18"/>
          <w:color w:val="auto"/>
        </w:rPr>
        <w:t xml:space="preserve"> working-day advanced notice is issued to Party A.</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Schedule 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for Loan Drawdown</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Contract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7240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24025"/>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Date of Drawdown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4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No.</w:t>
            </w:r>
          </w:p>
        </w:tc>
        <w:tc>
          <w:tcPr>
            <w:tcW w:w="2420" w:type="dxa"/>
            <w:vAlign w:val="bottom"/>
            <w:tcBorders>
              <w:top w:val="single" w:sz="8" w:color="auto"/>
              <w:right w:val="single" w:sz="8" w:color="auto"/>
            </w:tcBorders>
          </w:tcPr>
          <w:p>
            <w:pPr>
              <w:ind w:left="540"/>
              <w:spacing w:after="0" w:line="195" w:lineRule="exact"/>
              <w:rPr>
                <w:sz w:val="20"/>
                <w:szCs w:val="20"/>
                <w:color w:val="auto"/>
              </w:rPr>
            </w:pPr>
            <w:r>
              <w:rPr>
                <w:rFonts w:ascii="Arial" w:cs="Arial" w:eastAsia="Arial" w:hAnsi="Arial"/>
                <w:sz w:val="18"/>
                <w:szCs w:val="18"/>
                <w:color w:val="auto"/>
              </w:rPr>
              <w:t>Proposed Purpose</w:t>
            </w:r>
          </w:p>
        </w:tc>
        <w:tc>
          <w:tcPr>
            <w:tcW w:w="2720" w:type="dxa"/>
            <w:vAlign w:val="bottom"/>
            <w:tcBorders>
              <w:top w:val="single" w:sz="8" w:color="auto"/>
              <w:right w:val="single" w:sz="8" w:color="auto"/>
            </w:tcBorders>
          </w:tcPr>
          <w:p>
            <w:pPr>
              <w:ind w:left="360"/>
              <w:spacing w:after="0" w:line="195" w:lineRule="exact"/>
              <w:rPr>
                <w:sz w:val="20"/>
                <w:szCs w:val="20"/>
                <w:color w:val="auto"/>
              </w:rPr>
            </w:pPr>
            <w:r>
              <w:rPr>
                <w:rFonts w:ascii="Arial" w:cs="Arial" w:eastAsia="Arial" w:hAnsi="Arial"/>
                <w:sz w:val="18"/>
                <w:szCs w:val="18"/>
                <w:color w:val="auto"/>
              </w:rPr>
              <w:t>Proposed Payment Amount</w:t>
            </w:r>
          </w:p>
        </w:tc>
        <w:tc>
          <w:tcPr>
            <w:tcW w:w="398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Proposed Recipient</w:t>
            </w:r>
          </w:p>
        </w:tc>
        <w:tc>
          <w:tcPr>
            <w:tcW w:w="1360" w:type="dxa"/>
            <w:vAlign w:val="bottom"/>
            <w:tcBorders>
              <w:top w:val="single" w:sz="8" w:color="auto"/>
            </w:tcBorders>
          </w:tcPr>
          <w:p>
            <w:pPr>
              <w:ind w:left="460"/>
              <w:spacing w:after="0" w:line="195" w:lineRule="exact"/>
              <w:rPr>
                <w:sz w:val="20"/>
                <w:szCs w:val="20"/>
                <w:color w:val="auto"/>
              </w:rPr>
            </w:pPr>
            <w:r>
              <w:rPr>
                <w:rFonts w:ascii="Arial" w:cs="Arial" w:eastAsia="Arial" w:hAnsi="Arial"/>
                <w:sz w:val="18"/>
                <w:szCs w:val="18"/>
                <w:color w:val="auto"/>
              </w:rPr>
              <w:t>Notes</w:t>
            </w:r>
          </w:p>
        </w:tc>
      </w:tr>
      <w:tr>
        <w:trPr>
          <w:trHeight w:val="230"/>
        </w:trPr>
        <w:tc>
          <w:tcPr>
            <w:tcW w:w="940" w:type="dxa"/>
            <w:vAlign w:val="bottom"/>
            <w:tcBorders>
              <w:bottom w:val="single" w:sz="8" w:color="auto"/>
              <w:right w:val="single" w:sz="8" w:color="auto"/>
            </w:tcBorders>
          </w:tcPr>
          <w:p>
            <w:pPr>
              <w:spacing w:after="0"/>
              <w:rPr>
                <w:sz w:val="20"/>
                <w:szCs w:val="20"/>
                <w:color w:val="auto"/>
              </w:rPr>
            </w:pPr>
          </w:p>
        </w:tc>
        <w:tc>
          <w:tcPr>
            <w:tcW w:w="242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(if any)</w:t>
            </w:r>
          </w:p>
        </w:tc>
        <w:tc>
          <w:tcPr>
            <w:tcW w:w="1360" w:type="dxa"/>
            <w:vAlign w:val="bottom"/>
            <w:tcBorders>
              <w:bottom w:val="single" w:sz="8" w:color="auto"/>
            </w:tcBorders>
          </w:tcPr>
          <w:p>
            <w:pPr>
              <w:spacing w:after="0"/>
              <w:rPr>
                <w:sz w:val="20"/>
                <w:szCs w:val="20"/>
                <w:color w:val="auto"/>
              </w:rPr>
            </w:pPr>
          </w:p>
        </w:tc>
      </w:tr>
      <w:tr>
        <w:trPr>
          <w:trHeight w:val="210"/>
        </w:trPr>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242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210"/>
        </w:trPr>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2420" w:type="dxa"/>
            <w:vAlign w:val="bottom"/>
            <w:tcBorders>
              <w:bottom w:val="single" w:sz="8" w:color="auto"/>
              <w:right w:val="single" w:sz="8" w:color="auto"/>
            </w:tcBorders>
          </w:tcPr>
          <w:p>
            <w:pPr>
              <w:spacing w:after="0"/>
              <w:rPr>
                <w:sz w:val="18"/>
                <w:szCs w:val="18"/>
                <w:color w:val="auto"/>
              </w:rPr>
            </w:pPr>
          </w:p>
        </w:tc>
        <w:tc>
          <w:tcPr>
            <w:tcW w:w="2720" w:type="dxa"/>
            <w:vAlign w:val="bottom"/>
            <w:tcBorders>
              <w:bottom w:val="single" w:sz="8" w:color="auto"/>
              <w:right w:val="single" w:sz="8" w:color="auto"/>
            </w:tcBorders>
          </w:tcPr>
          <w:p>
            <w:pPr>
              <w:spacing w:after="0"/>
              <w:rPr>
                <w:sz w:val="18"/>
                <w:szCs w:val="18"/>
                <w:color w:val="auto"/>
              </w:rPr>
            </w:pPr>
          </w:p>
        </w:tc>
        <w:tc>
          <w:tcPr>
            <w:tcW w:w="398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r>
      <w:tr>
        <w:trPr>
          <w:trHeight w:val="195"/>
        </w:trPr>
        <w:tc>
          <w:tcPr>
            <w:tcW w:w="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w:t>
            </w:r>
          </w:p>
        </w:tc>
        <w:tc>
          <w:tcPr>
            <w:tcW w:w="2420" w:type="dxa"/>
            <w:vAlign w:val="bottom"/>
            <w:tcBorders>
              <w:right w:val="single" w:sz="8" w:color="auto"/>
            </w:tcBorders>
          </w:tcPr>
          <w:p>
            <w:pPr>
              <w:spacing w:after="0"/>
              <w:rPr>
                <w:sz w:val="16"/>
                <w:szCs w:val="16"/>
                <w:color w:val="auto"/>
              </w:rPr>
            </w:pPr>
          </w:p>
        </w:tc>
        <w:tc>
          <w:tcPr>
            <w:tcW w:w="2720" w:type="dxa"/>
            <w:vAlign w:val="bottom"/>
            <w:tcBorders>
              <w:right w:val="single" w:sz="8" w:color="auto"/>
            </w:tcBorders>
          </w:tcPr>
          <w:p>
            <w:pPr>
              <w:spacing w:after="0"/>
              <w:rPr>
                <w:sz w:val="16"/>
                <w:szCs w:val="16"/>
                <w:color w:val="auto"/>
              </w:rPr>
            </w:pPr>
          </w:p>
        </w:tc>
        <w:tc>
          <w:tcPr>
            <w:tcW w:w="3980" w:type="dxa"/>
            <w:vAlign w:val="bottom"/>
            <w:tcBorders>
              <w:right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230"/>
        </w:trPr>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42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3980" w:type="dxa"/>
            <w:vAlign w:val="bottom"/>
            <w:tcBorders>
              <w:bottom w:val="single" w:sz="8" w:color="auto"/>
              <w:right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10"/>
        </w:trPr>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Total</w:t>
            </w:r>
          </w:p>
        </w:tc>
        <w:tc>
          <w:tcPr>
            <w:tcW w:w="2420" w:type="dxa"/>
            <w:vAlign w:val="bottom"/>
            <w:tcBorders>
              <w:bottom w:val="single" w:sz="8" w:color="auto"/>
            </w:tcBorders>
          </w:tcPr>
          <w:p>
            <w:pPr>
              <w:spacing w:after="0"/>
              <w:rPr>
                <w:sz w:val="18"/>
                <w:szCs w:val="18"/>
                <w:color w:val="auto"/>
              </w:rPr>
            </w:pPr>
          </w:p>
        </w:tc>
        <w:tc>
          <w:tcPr>
            <w:tcW w:w="6700" w:type="dxa"/>
            <w:vAlign w:val="bottom"/>
            <w:tcBorders>
              <w:bottom w:val="single" w:sz="8" w:color="auto"/>
            </w:tcBorders>
            <w:gridSpan w:val="2"/>
          </w:tcPr>
          <w:p>
            <w:pPr>
              <w:ind w:left="1940"/>
              <w:spacing w:after="0"/>
              <w:rPr>
                <w:sz w:val="20"/>
                <w:szCs w:val="20"/>
                <w:color w:val="auto"/>
              </w:rPr>
            </w:pPr>
            <w:r>
              <w:rPr>
                <w:rFonts w:ascii="Arial" w:cs="Arial" w:eastAsia="Arial" w:hAnsi="Arial"/>
                <w:sz w:val="18"/>
                <w:szCs w:val="18"/>
                <w:color w:val="auto"/>
              </w:rPr>
              <w:t>RMB (CAPITALIZE WORDS)</w:t>
            </w:r>
          </w:p>
        </w:tc>
        <w:tc>
          <w:tcPr>
            <w:tcW w:w="136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Name of the Borrower (company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85"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Schedule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report on payment at Party A’s initiative</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Contract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24269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242697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 of Delivery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NO.</w:t>
            </w:r>
          </w:p>
        </w:tc>
        <w:tc>
          <w:tcPr>
            <w:tcW w:w="1880" w:type="dxa"/>
            <w:vAlign w:val="bottom"/>
            <w:tcBorders>
              <w:top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Actual purpose of the</w:t>
            </w:r>
          </w:p>
        </w:tc>
        <w:tc>
          <w:tcPr>
            <w:tcW w:w="1140" w:type="dxa"/>
            <w:vAlign w:val="bottom"/>
            <w:tcBorders>
              <w:top w:val="single" w:sz="8" w:color="auto"/>
              <w:right w:val="single" w:sz="8" w:color="auto"/>
            </w:tcBorders>
            <w:vMerge w:val="restart"/>
          </w:tcPr>
          <w:p>
            <w:pPr>
              <w:ind w:left="220"/>
              <w:spacing w:after="0"/>
              <w:rPr>
                <w:sz w:val="20"/>
                <w:szCs w:val="20"/>
                <w:color w:val="auto"/>
              </w:rPr>
            </w:pPr>
            <w:r>
              <w:rPr>
                <w:rFonts w:ascii="Arial" w:cs="Arial" w:eastAsia="Arial" w:hAnsi="Arial"/>
                <w:sz w:val="18"/>
                <w:szCs w:val="18"/>
                <w:color w:val="auto"/>
              </w:rPr>
              <w:t>Recipient</w:t>
            </w:r>
          </w:p>
        </w:tc>
        <w:tc>
          <w:tcPr>
            <w:tcW w:w="820" w:type="dxa"/>
            <w:vAlign w:val="bottom"/>
            <w:tcBorders>
              <w:top w:val="single" w:sz="8" w:color="auto"/>
              <w:right w:val="single" w:sz="8" w:color="auto"/>
            </w:tcBorders>
            <w:vMerge w:val="restart"/>
          </w:tcPr>
          <w:p>
            <w:pPr>
              <w:ind w:left="100"/>
              <w:spacing w:after="0"/>
              <w:rPr>
                <w:sz w:val="20"/>
                <w:szCs w:val="20"/>
                <w:color w:val="auto"/>
              </w:rPr>
            </w:pPr>
            <w:r>
              <w:rPr>
                <w:rFonts w:ascii="Arial" w:cs="Arial" w:eastAsia="Arial" w:hAnsi="Arial"/>
                <w:sz w:val="18"/>
                <w:szCs w:val="18"/>
                <w:color w:val="auto"/>
              </w:rPr>
              <w:t>Amount</w:t>
            </w:r>
          </w:p>
        </w:tc>
        <w:tc>
          <w:tcPr>
            <w:tcW w:w="1540" w:type="dxa"/>
            <w:vAlign w:val="bottom"/>
            <w:tcBorders>
              <w:top w:val="single" w:sz="8" w:color="auto"/>
              <w:right w:val="single" w:sz="8" w:color="auto"/>
            </w:tcBorders>
          </w:tcPr>
          <w:p>
            <w:pPr>
              <w:ind w:left="340"/>
              <w:spacing w:after="0" w:line="195" w:lineRule="exact"/>
              <w:rPr>
                <w:sz w:val="20"/>
                <w:szCs w:val="20"/>
                <w:color w:val="auto"/>
              </w:rPr>
            </w:pPr>
            <w:r>
              <w:rPr>
                <w:rFonts w:ascii="Arial" w:cs="Arial" w:eastAsia="Arial" w:hAnsi="Arial"/>
                <w:sz w:val="18"/>
                <w:szCs w:val="18"/>
                <w:color w:val="auto"/>
              </w:rPr>
              <w:t>Evidencing</w:t>
            </w:r>
          </w:p>
        </w:tc>
        <w:tc>
          <w:tcPr>
            <w:tcW w:w="48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Whether or not in compliance with the purpose specified in this</w:t>
            </w:r>
          </w:p>
        </w:tc>
        <w:tc>
          <w:tcPr>
            <w:tcW w:w="0" w:type="dxa"/>
            <w:vAlign w:val="bottom"/>
          </w:tcPr>
          <w:p>
            <w:pPr>
              <w:spacing w:after="0"/>
              <w:rPr>
                <w:sz w:val="1"/>
                <w:szCs w:val="1"/>
                <w:color w:val="auto"/>
              </w:rPr>
            </w:pPr>
          </w:p>
        </w:tc>
      </w:tr>
      <w:tr>
        <w:trPr>
          <w:trHeight w:val="122"/>
        </w:trPr>
        <w:tc>
          <w:tcPr>
            <w:tcW w:w="1180" w:type="dxa"/>
            <w:vAlign w:val="bottom"/>
            <w:tcBorders>
              <w:right w:val="single" w:sz="8" w:color="auto"/>
            </w:tcBorders>
            <w:vMerge w:val="continue"/>
          </w:tcPr>
          <w:p>
            <w:pPr>
              <w:spacing w:after="0"/>
              <w:rPr>
                <w:sz w:val="10"/>
                <w:szCs w:val="10"/>
                <w:color w:val="auto"/>
              </w:rPr>
            </w:pPr>
          </w:p>
        </w:tc>
        <w:tc>
          <w:tcPr>
            <w:tcW w:w="1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Loan</w:t>
            </w:r>
          </w:p>
        </w:tc>
        <w:tc>
          <w:tcPr>
            <w:tcW w:w="1140" w:type="dxa"/>
            <w:vAlign w:val="bottom"/>
            <w:tcBorders>
              <w:right w:val="single" w:sz="8" w:color="auto"/>
            </w:tcBorders>
            <w:vMerge w:val="continue"/>
          </w:tcPr>
          <w:p>
            <w:pPr>
              <w:spacing w:after="0"/>
              <w:rPr>
                <w:sz w:val="10"/>
                <w:szCs w:val="10"/>
                <w:color w:val="auto"/>
              </w:rPr>
            </w:pPr>
          </w:p>
        </w:tc>
        <w:tc>
          <w:tcPr>
            <w:tcW w:w="820" w:type="dxa"/>
            <w:vAlign w:val="bottom"/>
            <w:tcBorders>
              <w:right w:val="single" w:sz="8" w:color="auto"/>
            </w:tcBorders>
            <w:vMerge w:val="continue"/>
          </w:tcPr>
          <w:p>
            <w:pPr>
              <w:spacing w:after="0"/>
              <w:rPr>
                <w:sz w:val="10"/>
                <w:szCs w:val="10"/>
                <w:color w:val="auto"/>
              </w:rPr>
            </w:pPr>
          </w:p>
        </w:tc>
        <w:tc>
          <w:tcPr>
            <w:tcW w:w="1540" w:type="dxa"/>
            <w:vAlign w:val="bottom"/>
            <w:tcBorders>
              <w:right w:val="single" w:sz="8" w:color="auto"/>
            </w:tcBorders>
            <w:vMerge w:val="restart"/>
          </w:tcPr>
          <w:p>
            <w:pPr>
              <w:ind w:left="400"/>
              <w:spacing w:after="0"/>
              <w:rPr>
                <w:sz w:val="20"/>
                <w:szCs w:val="20"/>
                <w:color w:val="auto"/>
              </w:rPr>
            </w:pPr>
            <w:r>
              <w:rPr>
                <w:rFonts w:ascii="Arial" w:cs="Arial" w:eastAsia="Arial" w:hAnsi="Arial"/>
                <w:sz w:val="18"/>
                <w:szCs w:val="18"/>
                <w:color w:val="auto"/>
              </w:rPr>
              <w:t>Materials</w:t>
            </w:r>
          </w:p>
        </w:tc>
        <w:tc>
          <w:tcPr>
            <w:tcW w:w="4860" w:type="dxa"/>
            <w:vAlign w:val="bottom"/>
            <w:vMerge w:val="restart"/>
          </w:tcPr>
          <w:p>
            <w:pPr>
              <w:jc w:val="center"/>
              <w:spacing w:after="0"/>
              <w:rPr>
                <w:sz w:val="20"/>
                <w:szCs w:val="20"/>
                <w:color w:val="auto"/>
              </w:rPr>
            </w:pPr>
            <w:r>
              <w:rPr>
                <w:rFonts w:ascii="Arial" w:cs="Arial" w:eastAsia="Arial" w:hAnsi="Arial"/>
                <w:sz w:val="18"/>
                <w:szCs w:val="18"/>
                <w:color w:val="auto"/>
                <w:w w:val="91"/>
              </w:rPr>
              <w:t>Contract</w:t>
            </w:r>
          </w:p>
        </w:tc>
        <w:tc>
          <w:tcPr>
            <w:tcW w:w="0" w:type="dxa"/>
            <w:vAlign w:val="bottom"/>
          </w:tcPr>
          <w:p>
            <w:pPr>
              <w:spacing w:after="0"/>
              <w:rPr>
                <w:sz w:val="1"/>
                <w:szCs w:val="1"/>
                <w:color w:val="auto"/>
              </w:rPr>
            </w:pPr>
          </w:p>
        </w:tc>
      </w:tr>
      <w:tr>
        <w:trPr>
          <w:trHeight w:val="108"/>
        </w:trPr>
        <w:tc>
          <w:tcPr>
            <w:tcW w:w="1180" w:type="dxa"/>
            <w:vAlign w:val="bottom"/>
            <w:tcBorders>
              <w:bottom w:val="single" w:sz="8" w:color="auto"/>
              <w:right w:val="single" w:sz="8" w:color="auto"/>
            </w:tcBorders>
          </w:tcPr>
          <w:p>
            <w:pPr>
              <w:spacing w:after="0"/>
              <w:rPr>
                <w:sz w:val="9"/>
                <w:szCs w:val="9"/>
                <w:color w:val="auto"/>
              </w:rPr>
            </w:pPr>
          </w:p>
        </w:tc>
        <w:tc>
          <w:tcPr>
            <w:tcW w:w="1880" w:type="dxa"/>
            <w:vAlign w:val="bottom"/>
            <w:tcBorders>
              <w:bottom w:val="single" w:sz="8" w:color="auto"/>
              <w:right w:val="single" w:sz="8" w:color="auto"/>
            </w:tcBorders>
            <w:vMerge w:val="continue"/>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820" w:type="dxa"/>
            <w:vAlign w:val="bottom"/>
            <w:tcBorders>
              <w:bottom w:val="single" w:sz="8" w:color="auto"/>
              <w:right w:val="single" w:sz="8" w:color="auto"/>
            </w:tcBorders>
          </w:tcPr>
          <w:p>
            <w:pPr>
              <w:spacing w:after="0"/>
              <w:rPr>
                <w:sz w:val="9"/>
                <w:szCs w:val="9"/>
                <w:color w:val="auto"/>
              </w:rPr>
            </w:pPr>
          </w:p>
        </w:tc>
        <w:tc>
          <w:tcPr>
            <w:tcW w:w="1540" w:type="dxa"/>
            <w:vAlign w:val="bottom"/>
            <w:tcBorders>
              <w:bottom w:val="single" w:sz="8" w:color="auto"/>
              <w:right w:val="single" w:sz="8" w:color="auto"/>
            </w:tcBorders>
            <w:vMerge w:val="continue"/>
          </w:tcPr>
          <w:p>
            <w:pPr>
              <w:spacing w:after="0"/>
              <w:rPr>
                <w:sz w:val="9"/>
                <w:szCs w:val="9"/>
                <w:color w:val="auto"/>
              </w:rPr>
            </w:pPr>
          </w:p>
        </w:tc>
        <w:tc>
          <w:tcPr>
            <w:tcW w:w="486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18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18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right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1540" w:type="dxa"/>
            <w:vAlign w:val="bottom"/>
            <w:tcBorders>
              <w:bottom w:val="single" w:sz="8" w:color="auto"/>
              <w:right w:val="single" w:sz="8" w:color="auto"/>
            </w:tcBorders>
          </w:tcPr>
          <w:p>
            <w:pPr>
              <w:spacing w:after="0"/>
              <w:rPr>
                <w:sz w:val="18"/>
                <w:szCs w:val="18"/>
                <w:color w:val="auto"/>
              </w:rPr>
            </w:pPr>
          </w:p>
        </w:tc>
        <w:tc>
          <w:tcPr>
            <w:tcW w:w="4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total</w:t>
            </w:r>
          </w:p>
        </w:tc>
        <w:tc>
          <w:tcPr>
            <w:tcW w:w="18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400" w:type="dxa"/>
            <w:vAlign w:val="bottom"/>
            <w:tcBorders>
              <w:bottom w:val="single" w:sz="8" w:color="auto"/>
            </w:tcBorders>
            <w:gridSpan w:val="2"/>
          </w:tcPr>
          <w:p>
            <w:pPr>
              <w:ind w:left="400"/>
              <w:spacing w:after="0"/>
              <w:rPr>
                <w:sz w:val="20"/>
                <w:szCs w:val="20"/>
                <w:color w:val="auto"/>
              </w:rPr>
            </w:pPr>
            <w:r>
              <w:rPr>
                <w:rFonts w:ascii="Arial" w:cs="Arial" w:eastAsia="Arial" w:hAnsi="Arial"/>
                <w:sz w:val="18"/>
                <w:szCs w:val="18"/>
                <w:color w:val="auto"/>
              </w:rPr>
              <w:t>RMB (CAPITALIZE WORDS)</w:t>
            </w:r>
          </w:p>
        </w:tc>
        <w:tc>
          <w:tcPr>
            <w:tcW w:w="0" w:type="dxa"/>
            <w:vAlign w:val="bottom"/>
          </w:tcPr>
          <w:p>
            <w:pPr>
              <w:spacing w:after="0"/>
              <w:rPr>
                <w:sz w:val="1"/>
                <w:szCs w:val="1"/>
                <w:color w:val="auto"/>
              </w:rPr>
            </w:pPr>
          </w:p>
        </w:tc>
      </w:tr>
      <w:tr>
        <w:trPr>
          <w:trHeight w:val="642"/>
        </w:trPr>
        <w:tc>
          <w:tcPr>
            <w:tcW w:w="30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w w:val="93"/>
              </w:rPr>
              <w:t>Name of the Borrower (company seal):</w:t>
            </w:r>
          </w:p>
        </w:tc>
        <w:tc>
          <w:tcPr>
            <w:tcW w:w="1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42"/>
        </w:trPr>
        <w:tc>
          <w:tcPr>
            <w:tcW w:w="1180" w:type="dxa"/>
            <w:vAlign w:val="bottom"/>
          </w:tcPr>
          <w:p>
            <w:pPr>
              <w:jc w:val="center"/>
              <w:spacing w:after="0"/>
              <w:rPr>
                <w:sz w:val="20"/>
                <w:szCs w:val="20"/>
                <w:color w:val="auto"/>
              </w:rPr>
            </w:pPr>
            <w:r>
              <w:rPr>
                <w:rFonts w:ascii="Arial" w:cs="Arial" w:eastAsia="Arial" w:hAnsi="Arial"/>
                <w:sz w:val="18"/>
                <w:szCs w:val="18"/>
                <w:color w:val="auto"/>
                <w:w w:val="93"/>
              </w:rPr>
              <w:t>Internal</w:t>
            </w:r>
          </w:p>
        </w:tc>
        <w:tc>
          <w:tcPr>
            <w:tcW w:w="18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rPr>
              <w:t>Relationship Manager (signature):</w:t>
            </w:r>
          </w:p>
        </w:tc>
        <w:tc>
          <w:tcPr>
            <w:tcW w:w="0" w:type="dxa"/>
            <w:vAlign w:val="bottom"/>
          </w:tcPr>
          <w:p>
            <w:pPr>
              <w:spacing w:after="0"/>
              <w:rPr>
                <w:sz w:val="1"/>
                <w:szCs w:val="1"/>
                <w:color w:val="auto"/>
              </w:rPr>
            </w:pPr>
          </w:p>
        </w:tc>
      </w:tr>
      <w:tr>
        <w:trPr>
          <w:trHeight w:val="210"/>
        </w:trPr>
        <w:tc>
          <w:tcPr>
            <w:tcW w:w="1180" w:type="dxa"/>
            <w:vAlign w:val="bottom"/>
          </w:tcPr>
          <w:p>
            <w:pPr>
              <w:jc w:val="center"/>
              <w:spacing w:after="0"/>
              <w:rPr>
                <w:sz w:val="20"/>
                <w:szCs w:val="20"/>
                <w:color w:val="auto"/>
              </w:rPr>
            </w:pPr>
            <w:r>
              <w:rPr>
                <w:rFonts w:ascii="Arial" w:cs="Arial" w:eastAsia="Arial" w:hAnsi="Arial"/>
                <w:sz w:val="18"/>
                <w:szCs w:val="18"/>
                <w:color w:val="auto"/>
                <w:w w:val="92"/>
              </w:rPr>
              <w:t>review</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Officer in charge of reviewing loan advances and payments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Schedule A to Form of USD Trust Receipt Loan Agreement</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Loan</w:t>
            </w:r>
          </w:p>
        </w:tc>
        <w:tc>
          <w:tcPr>
            <w:tcW w:w="162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Loan Expiration</w:t>
            </w:r>
          </w:p>
        </w:tc>
        <w:tc>
          <w:tcPr>
            <w:tcW w:w="148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Loan Amount</w:t>
            </w:r>
          </w:p>
        </w:tc>
        <w:tc>
          <w:tcPr>
            <w:tcW w:w="2720" w:type="dxa"/>
            <w:vAlign w:val="bottom"/>
            <w:tcBorders>
              <w:top w:val="single" w:sz="8" w:color="auto"/>
              <w:right w:val="single" w:sz="8" w:color="auto"/>
            </w:tcBorders>
          </w:tcPr>
          <w:p>
            <w:pPr>
              <w:ind w:left="940"/>
              <w:spacing w:after="0"/>
              <w:rPr>
                <w:sz w:val="20"/>
                <w:szCs w:val="20"/>
                <w:color w:val="auto"/>
              </w:rPr>
            </w:pPr>
            <w:r>
              <w:rPr>
                <w:rFonts w:ascii="Arial" w:cs="Arial" w:eastAsia="Arial" w:hAnsi="Arial"/>
                <w:sz w:val="18"/>
                <w:szCs w:val="18"/>
                <w:b w:val="1"/>
                <w:bCs w:val="1"/>
                <w:color w:val="auto"/>
              </w:rPr>
              <w:t>Loan Rate</w:t>
            </w:r>
          </w:p>
        </w:tc>
        <w:tc>
          <w:tcPr>
            <w:tcW w:w="160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8"/>
                <w:szCs w:val="18"/>
                <w:b w:val="1"/>
                <w:bCs w:val="1"/>
                <w:color w:val="auto"/>
              </w:rPr>
              <w:t>Drawdown</w:t>
            </w:r>
          </w:p>
        </w:tc>
        <w:tc>
          <w:tcPr>
            <w:tcW w:w="226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w w:val="96"/>
              </w:rPr>
              <w:t>Schedule for Repayment</w:t>
            </w:r>
          </w:p>
        </w:tc>
      </w:tr>
      <w:tr>
        <w:trPr>
          <w:trHeight w:val="216"/>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Commencement</w:t>
            </w:r>
          </w:p>
        </w:tc>
        <w:tc>
          <w:tcPr>
            <w:tcW w:w="1620" w:type="dxa"/>
            <w:vAlign w:val="bottom"/>
            <w:tcBorders>
              <w:right w:val="single" w:sz="8" w:color="auto"/>
            </w:tcBorders>
          </w:tcPr>
          <w:p>
            <w:pPr>
              <w:ind w:left="620"/>
              <w:spacing w:after="0"/>
              <w:rPr>
                <w:sz w:val="20"/>
                <w:szCs w:val="20"/>
                <w:color w:val="auto"/>
              </w:rPr>
            </w:pPr>
            <w:r>
              <w:rPr>
                <w:rFonts w:ascii="Arial" w:cs="Arial" w:eastAsia="Arial" w:hAnsi="Arial"/>
                <w:sz w:val="18"/>
                <w:szCs w:val="18"/>
                <w:b w:val="1"/>
                <w:bCs w:val="1"/>
                <w:color w:val="auto"/>
              </w:rPr>
              <w:t>Date</w:t>
            </w: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spacing w:after="0"/>
              <w:rPr>
                <w:sz w:val="18"/>
                <w:szCs w:val="18"/>
                <w:color w:val="auto"/>
              </w:rPr>
            </w:pPr>
          </w:p>
        </w:tc>
        <w:tc>
          <w:tcPr>
            <w:tcW w:w="1600" w:type="dxa"/>
            <w:vAlign w:val="bottom"/>
            <w:tcBorders>
              <w:right w:val="single" w:sz="8" w:color="auto"/>
            </w:tcBorders>
          </w:tcPr>
          <w:p>
            <w:pPr>
              <w:ind w:left="440"/>
              <w:spacing w:after="0"/>
              <w:rPr>
                <w:sz w:val="20"/>
                <w:szCs w:val="20"/>
                <w:color w:val="auto"/>
              </w:rPr>
            </w:pPr>
            <w:r>
              <w:rPr>
                <w:rFonts w:ascii="Arial" w:cs="Arial" w:eastAsia="Arial" w:hAnsi="Arial"/>
                <w:sz w:val="18"/>
                <w:szCs w:val="18"/>
                <w:b w:val="1"/>
                <w:bCs w:val="1"/>
                <w:color w:val="auto"/>
              </w:rPr>
              <w:t>Schedule</w:t>
            </w:r>
          </w:p>
        </w:tc>
        <w:tc>
          <w:tcPr>
            <w:tcW w:w="2260" w:type="dxa"/>
            <w:vAlign w:val="bottom"/>
            <w:tcBorders>
              <w:right w:val="single" w:sz="8" w:color="auto"/>
            </w:tcBorders>
          </w:tcPr>
          <w:p>
            <w:pPr>
              <w:spacing w:after="0"/>
              <w:rPr>
                <w:sz w:val="18"/>
                <w:szCs w:val="18"/>
                <w:color w:val="auto"/>
              </w:rPr>
            </w:pPr>
          </w:p>
        </w:tc>
      </w:tr>
      <w:tr>
        <w:trPr>
          <w:trHeight w:val="234"/>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spacing w:after="0"/>
              <w:rPr>
                <w:sz w:val="20"/>
                <w:szCs w:val="20"/>
                <w:color w:val="auto"/>
              </w:rPr>
            </w:pPr>
          </w:p>
        </w:tc>
        <w:tc>
          <w:tcPr>
            <w:tcW w:w="16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spacing w:after="0"/>
              <w:rPr>
                <w:sz w:val="20"/>
                <w:szCs w:val="20"/>
                <w:color w:val="auto"/>
              </w:rPr>
            </w:pPr>
          </w:p>
        </w:tc>
      </w:tr>
      <w:tr>
        <w:trPr>
          <w:trHeight w:val="195"/>
        </w:trPr>
        <w:tc>
          <w:tcPr>
            <w:tcW w:w="1740" w:type="dxa"/>
            <w:vAlign w:val="bottom"/>
            <w:tcBorders>
              <w:left w:val="single" w:sz="8" w:color="auto"/>
              <w:right w:val="single" w:sz="8" w:color="auto"/>
            </w:tcBorders>
            <w:shd w:val="clear" w:color="auto" w:fill="EEEEEE"/>
          </w:tcPr>
          <w:p>
            <w:pPr>
              <w:ind w:left="120"/>
              <w:spacing w:after="0" w:line="195" w:lineRule="exact"/>
              <w:rPr>
                <w:sz w:val="20"/>
                <w:szCs w:val="20"/>
                <w:color w:val="auto"/>
              </w:rPr>
            </w:pPr>
            <w:r>
              <w:rPr>
                <w:rFonts w:ascii="Arial" w:cs="Arial" w:eastAsia="Arial" w:hAnsi="Arial"/>
                <w:sz w:val="18"/>
                <w:szCs w:val="18"/>
                <w:color w:val="auto"/>
              </w:rPr>
              <w:t>April 24, 2014</w:t>
            </w:r>
          </w:p>
        </w:tc>
        <w:tc>
          <w:tcPr>
            <w:tcW w:w="162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July 24, 2014</w:t>
            </w:r>
          </w:p>
        </w:tc>
        <w:tc>
          <w:tcPr>
            <w:tcW w:w="148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428,626.85 USD</w:t>
            </w:r>
          </w:p>
        </w:tc>
        <w:tc>
          <w:tcPr>
            <w:tcW w:w="272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A fixed interest rate of 2.0288%,</w:t>
            </w:r>
          </w:p>
        </w:tc>
        <w:tc>
          <w:tcPr>
            <w:tcW w:w="160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620" w:type="dxa"/>
            <w:vAlign w:val="bottom"/>
            <w:tcBorders>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spacing w:after="0"/>
              <w:rPr>
                <w:sz w:val="18"/>
                <w:szCs w:val="18"/>
                <w:color w:val="auto"/>
              </w:rPr>
            </w:pPr>
          </w:p>
        </w:tc>
        <w:tc>
          <w:tcPr>
            <w:tcW w:w="272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equal to LIBOR plus 180 basis</w:t>
            </w:r>
          </w:p>
        </w:tc>
        <w:tc>
          <w:tcPr>
            <w:tcW w:w="160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On April 24, 2014</w:t>
            </w:r>
          </w:p>
        </w:tc>
        <w:tc>
          <w:tcPr>
            <w:tcW w:w="22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On July 24, 2014 in the</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620" w:type="dxa"/>
            <w:vAlign w:val="bottom"/>
            <w:tcBorders>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spacing w:after="0"/>
              <w:rPr>
                <w:sz w:val="18"/>
                <w:szCs w:val="18"/>
                <w:color w:val="auto"/>
              </w:rPr>
            </w:pPr>
          </w:p>
        </w:tc>
        <w:tc>
          <w:tcPr>
            <w:tcW w:w="272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points and 135 basis points of</w:t>
            </w:r>
          </w:p>
        </w:tc>
        <w:tc>
          <w:tcPr>
            <w:tcW w:w="160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for 428,626.85</w:t>
            </w:r>
          </w:p>
        </w:tc>
        <w:tc>
          <w:tcPr>
            <w:tcW w:w="22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w w:val="98"/>
              </w:rPr>
              <w:t>amount of 428,626.85 USD</w:t>
            </w:r>
          </w:p>
        </w:tc>
      </w:tr>
      <w:tr>
        <w:trPr>
          <w:trHeight w:val="230"/>
        </w:trPr>
        <w:tc>
          <w:tcPr>
            <w:tcW w:w="1740" w:type="dxa"/>
            <w:vAlign w:val="bottom"/>
            <w:tcBorders>
              <w:left w:val="single" w:sz="8" w:color="auto"/>
              <w:bottom w:val="single" w:sz="8" w:color="auto"/>
              <w:right w:val="single" w:sz="8" w:color="auto"/>
            </w:tcBorders>
            <w:shd w:val="clear" w:color="auto" w:fill="EEEEEE"/>
          </w:tcPr>
          <w:p>
            <w:pPr>
              <w:spacing w:after="0"/>
              <w:rPr>
                <w:sz w:val="20"/>
                <w:szCs w:val="20"/>
                <w:color w:val="auto"/>
              </w:rPr>
            </w:pPr>
          </w:p>
        </w:tc>
        <w:tc>
          <w:tcPr>
            <w:tcW w:w="1620" w:type="dxa"/>
            <w:vAlign w:val="bottom"/>
            <w:tcBorders>
              <w:bottom w:val="single" w:sz="8" w:color="auto"/>
              <w:right w:val="single" w:sz="8" w:color="auto"/>
            </w:tcBorders>
            <w:shd w:val="clear" w:color="auto" w:fill="EEEEEE"/>
          </w:tcPr>
          <w:p>
            <w:pPr>
              <w:spacing w:after="0"/>
              <w:rPr>
                <w:sz w:val="20"/>
                <w:szCs w:val="20"/>
                <w:color w:val="auto"/>
              </w:rPr>
            </w:pPr>
          </w:p>
        </w:tc>
        <w:tc>
          <w:tcPr>
            <w:tcW w:w="1480" w:type="dxa"/>
            <w:vAlign w:val="bottom"/>
            <w:tcBorders>
              <w:bottom w:val="single" w:sz="8" w:color="auto"/>
              <w:right w:val="single" w:sz="8" w:color="auto"/>
            </w:tcBorders>
            <w:shd w:val="clear" w:color="auto" w:fill="EEEEEE"/>
          </w:tcPr>
          <w:p>
            <w:pPr>
              <w:spacing w:after="0"/>
              <w:rPr>
                <w:sz w:val="20"/>
                <w:szCs w:val="20"/>
                <w:color w:val="auto"/>
              </w:rPr>
            </w:pPr>
          </w:p>
        </w:tc>
        <w:tc>
          <w:tcPr>
            <w:tcW w:w="2720" w:type="dxa"/>
            <w:vAlign w:val="bottom"/>
            <w:tcBorders>
              <w:bottom w:val="single" w:sz="8" w:color="auto"/>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service charge</w:t>
            </w:r>
          </w:p>
        </w:tc>
        <w:tc>
          <w:tcPr>
            <w:tcW w:w="1600" w:type="dxa"/>
            <w:vAlign w:val="bottom"/>
            <w:tcBorders>
              <w:bottom w:val="single" w:sz="8" w:color="auto"/>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USD</w:t>
            </w:r>
          </w:p>
        </w:tc>
        <w:tc>
          <w:tcPr>
            <w:tcW w:w="2260" w:type="dxa"/>
            <w:vAlign w:val="bottom"/>
            <w:tcBorders>
              <w:bottom w:val="single" w:sz="8" w:color="auto"/>
              <w:right w:val="single" w:sz="8" w:color="auto"/>
            </w:tcBorders>
            <w:shd w:val="clear" w:color="auto" w:fill="EEEEEE"/>
          </w:tcPr>
          <w:p>
            <w:pPr>
              <w:spacing w:after="0"/>
              <w:rPr>
                <w:sz w:val="20"/>
                <w:szCs w:val="20"/>
                <w:color w:val="auto"/>
              </w:rPr>
            </w:pPr>
          </w:p>
        </w:tc>
      </w:tr>
      <w:tr>
        <w:trPr>
          <w:trHeight w:val="195"/>
        </w:trPr>
        <w:tc>
          <w:tcPr>
            <w:tcW w:w="1740" w:type="dxa"/>
            <w:vAlign w:val="bottom"/>
            <w:tcBorders>
              <w:left w:val="single" w:sz="8" w:color="auto"/>
              <w:right w:val="single" w:sz="8" w:color="auto"/>
            </w:tcBorders>
          </w:tcPr>
          <w:p>
            <w:pPr>
              <w:ind w:left="120"/>
              <w:spacing w:after="0" w:line="195" w:lineRule="exact"/>
              <w:rPr>
                <w:sz w:val="20"/>
                <w:szCs w:val="20"/>
                <w:color w:val="auto"/>
              </w:rPr>
            </w:pPr>
            <w:r>
              <w:rPr>
                <w:rFonts w:ascii="Arial" w:cs="Arial" w:eastAsia="Arial" w:hAnsi="Arial"/>
                <w:sz w:val="18"/>
                <w:szCs w:val="18"/>
                <w:color w:val="auto"/>
              </w:rPr>
              <w:t>June 9, 2014</w:t>
            </w:r>
          </w:p>
        </w:tc>
        <w:tc>
          <w:tcPr>
            <w:tcW w:w="162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w w:val="96"/>
              </w:rPr>
              <w:t>September 5, 2014</w:t>
            </w:r>
          </w:p>
        </w:tc>
        <w:tc>
          <w:tcPr>
            <w:tcW w:w="148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383,868.87 USD</w:t>
            </w:r>
          </w:p>
        </w:tc>
        <w:tc>
          <w:tcPr>
            <w:tcW w:w="27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A fixed interest rate of 2.1296%,</w:t>
            </w:r>
          </w:p>
        </w:tc>
        <w:tc>
          <w:tcPr>
            <w:tcW w:w="1600" w:type="dxa"/>
            <w:vAlign w:val="bottom"/>
            <w:tcBorders>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equal to LIBOR plus 190 basis</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On June 9, 2014</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On September 5, 2014 in</w:t>
            </w:r>
          </w:p>
        </w:tc>
      </w:tr>
      <w:tr>
        <w:trPr>
          <w:trHeight w:val="216"/>
        </w:trPr>
        <w:tc>
          <w:tcPr>
            <w:tcW w:w="174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27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points and 125 basis points of</w:t>
            </w:r>
          </w:p>
        </w:tc>
        <w:tc>
          <w:tcPr>
            <w:tcW w:w="160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for 383,868.67</w:t>
            </w:r>
          </w:p>
        </w:tc>
        <w:tc>
          <w:tcPr>
            <w:tcW w:w="22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the amount of 383,868.67</w:t>
            </w:r>
          </w:p>
        </w:tc>
      </w:tr>
      <w:tr>
        <w:trPr>
          <w:trHeight w:val="230"/>
        </w:trPr>
        <w:tc>
          <w:tcPr>
            <w:tcW w:w="1740" w:type="dxa"/>
            <w:vAlign w:val="bottom"/>
            <w:tcBorders>
              <w:left w:val="single" w:sz="8" w:color="auto"/>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2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service charge</w:t>
            </w:r>
          </w:p>
        </w:tc>
        <w:tc>
          <w:tcPr>
            <w:tcW w:w="16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USD</w:t>
            </w:r>
          </w:p>
        </w:tc>
        <w:tc>
          <w:tcPr>
            <w:tcW w:w="22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USD</w:t>
            </w:r>
          </w:p>
        </w:tc>
      </w:tr>
      <w:tr>
        <w:trPr>
          <w:trHeight w:val="195"/>
        </w:trPr>
        <w:tc>
          <w:tcPr>
            <w:tcW w:w="1740" w:type="dxa"/>
            <w:vAlign w:val="bottom"/>
            <w:tcBorders>
              <w:left w:val="single" w:sz="8" w:color="auto"/>
              <w:right w:val="single" w:sz="8" w:color="auto"/>
            </w:tcBorders>
            <w:shd w:val="clear" w:color="auto" w:fill="EEEEEE"/>
          </w:tcPr>
          <w:p>
            <w:pPr>
              <w:ind w:left="120"/>
              <w:spacing w:after="0" w:line="195" w:lineRule="exact"/>
              <w:rPr>
                <w:sz w:val="20"/>
                <w:szCs w:val="20"/>
                <w:color w:val="auto"/>
              </w:rPr>
            </w:pPr>
            <w:r>
              <w:rPr>
                <w:rFonts w:ascii="Arial" w:cs="Arial" w:eastAsia="Arial" w:hAnsi="Arial"/>
                <w:sz w:val="18"/>
                <w:szCs w:val="18"/>
                <w:color w:val="auto"/>
              </w:rPr>
              <w:t>June 12, 2014</w:t>
            </w:r>
          </w:p>
        </w:tc>
        <w:tc>
          <w:tcPr>
            <w:tcW w:w="162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September 10,</w:t>
            </w:r>
          </w:p>
        </w:tc>
        <w:tc>
          <w:tcPr>
            <w:tcW w:w="148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433,844.50 USD</w:t>
            </w:r>
          </w:p>
        </w:tc>
        <w:tc>
          <w:tcPr>
            <w:tcW w:w="272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A fixed interest rate of 2.1303%,</w:t>
            </w:r>
          </w:p>
        </w:tc>
        <w:tc>
          <w:tcPr>
            <w:tcW w:w="1600" w:type="dxa"/>
            <w:vAlign w:val="bottom"/>
            <w:tcBorders>
              <w:right w:val="single" w:sz="8" w:color="auto"/>
            </w:tcBorders>
            <w:shd w:val="clear" w:color="auto" w:fill="EEEEEE"/>
          </w:tcPr>
          <w:p>
            <w:pPr>
              <w:ind w:left="100"/>
              <w:spacing w:after="0" w:line="195" w:lineRule="exact"/>
              <w:rPr>
                <w:sz w:val="20"/>
                <w:szCs w:val="20"/>
                <w:color w:val="auto"/>
              </w:rPr>
            </w:pPr>
            <w:r>
              <w:rPr>
                <w:rFonts w:ascii="Arial" w:cs="Arial" w:eastAsia="Arial" w:hAnsi="Arial"/>
                <w:sz w:val="18"/>
                <w:szCs w:val="18"/>
                <w:color w:val="auto"/>
              </w:rPr>
              <w:t>Option 1:</w:t>
            </w:r>
          </w:p>
        </w:tc>
        <w:tc>
          <w:tcPr>
            <w:tcW w:w="2260" w:type="dxa"/>
            <w:vAlign w:val="bottom"/>
            <w:tcBorders>
              <w:right w:val="single" w:sz="8" w:color="auto"/>
            </w:tcBorders>
            <w:shd w:val="clear" w:color="auto" w:fill="EEEEEE"/>
          </w:tcPr>
          <w:p>
            <w:pPr>
              <w:ind w:left="80"/>
              <w:spacing w:after="0" w:line="195" w:lineRule="exact"/>
              <w:rPr>
                <w:sz w:val="20"/>
                <w:szCs w:val="20"/>
                <w:color w:val="auto"/>
              </w:rPr>
            </w:pPr>
            <w:r>
              <w:rPr>
                <w:rFonts w:ascii="Arial" w:cs="Arial" w:eastAsia="Arial" w:hAnsi="Arial"/>
                <w:sz w:val="18"/>
                <w:szCs w:val="18"/>
                <w:color w:val="auto"/>
              </w:rPr>
              <w:t>Option 1:</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62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2014</w:t>
            </w:r>
          </w:p>
        </w:tc>
        <w:tc>
          <w:tcPr>
            <w:tcW w:w="1480" w:type="dxa"/>
            <w:vAlign w:val="bottom"/>
            <w:tcBorders>
              <w:right w:val="single" w:sz="8" w:color="auto"/>
            </w:tcBorders>
            <w:shd w:val="clear" w:color="auto" w:fill="EEEEEE"/>
          </w:tcPr>
          <w:p>
            <w:pPr>
              <w:spacing w:after="0"/>
              <w:rPr>
                <w:sz w:val="18"/>
                <w:szCs w:val="18"/>
                <w:color w:val="auto"/>
              </w:rPr>
            </w:pPr>
          </w:p>
        </w:tc>
        <w:tc>
          <w:tcPr>
            <w:tcW w:w="272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equal to LIBOR plus 190 basis</w:t>
            </w:r>
          </w:p>
        </w:tc>
        <w:tc>
          <w:tcPr>
            <w:tcW w:w="160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On June 12, 2014</w:t>
            </w:r>
          </w:p>
        </w:tc>
        <w:tc>
          <w:tcPr>
            <w:tcW w:w="22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On September 10, 2014 in</w:t>
            </w:r>
          </w:p>
        </w:tc>
      </w:tr>
      <w:tr>
        <w:trPr>
          <w:trHeight w:val="216"/>
        </w:trPr>
        <w:tc>
          <w:tcPr>
            <w:tcW w:w="1740" w:type="dxa"/>
            <w:vAlign w:val="bottom"/>
            <w:tcBorders>
              <w:left w:val="single" w:sz="8" w:color="auto"/>
              <w:right w:val="single" w:sz="8" w:color="auto"/>
            </w:tcBorders>
            <w:shd w:val="clear" w:color="auto" w:fill="EEEEEE"/>
          </w:tcPr>
          <w:p>
            <w:pPr>
              <w:spacing w:after="0"/>
              <w:rPr>
                <w:sz w:val="18"/>
                <w:szCs w:val="18"/>
                <w:color w:val="auto"/>
              </w:rPr>
            </w:pPr>
          </w:p>
        </w:tc>
        <w:tc>
          <w:tcPr>
            <w:tcW w:w="1620" w:type="dxa"/>
            <w:vAlign w:val="bottom"/>
            <w:tcBorders>
              <w:right w:val="single" w:sz="8" w:color="auto"/>
            </w:tcBorders>
            <w:shd w:val="clear" w:color="auto" w:fill="EEEEEE"/>
          </w:tcPr>
          <w:p>
            <w:pPr>
              <w:spacing w:after="0"/>
              <w:rPr>
                <w:sz w:val="18"/>
                <w:szCs w:val="18"/>
                <w:color w:val="auto"/>
              </w:rPr>
            </w:pPr>
          </w:p>
        </w:tc>
        <w:tc>
          <w:tcPr>
            <w:tcW w:w="1480" w:type="dxa"/>
            <w:vAlign w:val="bottom"/>
            <w:tcBorders>
              <w:right w:val="single" w:sz="8" w:color="auto"/>
            </w:tcBorders>
            <w:shd w:val="clear" w:color="auto" w:fill="EEEEEE"/>
          </w:tcPr>
          <w:p>
            <w:pPr>
              <w:spacing w:after="0"/>
              <w:rPr>
                <w:sz w:val="18"/>
                <w:szCs w:val="18"/>
                <w:color w:val="auto"/>
              </w:rPr>
            </w:pPr>
          </w:p>
        </w:tc>
        <w:tc>
          <w:tcPr>
            <w:tcW w:w="272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points and 125 basis points of</w:t>
            </w:r>
          </w:p>
        </w:tc>
        <w:tc>
          <w:tcPr>
            <w:tcW w:w="1600" w:type="dxa"/>
            <w:vAlign w:val="bottom"/>
            <w:tcBorders>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for 433,844.50</w:t>
            </w:r>
          </w:p>
        </w:tc>
        <w:tc>
          <w:tcPr>
            <w:tcW w:w="2260" w:type="dxa"/>
            <w:vAlign w:val="bottom"/>
            <w:tcBorders>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the amount of 433,844.50</w:t>
            </w:r>
          </w:p>
        </w:tc>
      </w:tr>
      <w:tr>
        <w:trPr>
          <w:trHeight w:val="230"/>
        </w:trPr>
        <w:tc>
          <w:tcPr>
            <w:tcW w:w="1740" w:type="dxa"/>
            <w:vAlign w:val="bottom"/>
            <w:tcBorders>
              <w:left w:val="single" w:sz="8" w:color="auto"/>
              <w:bottom w:val="single" w:sz="8" w:color="auto"/>
              <w:right w:val="single" w:sz="8" w:color="auto"/>
            </w:tcBorders>
            <w:shd w:val="clear" w:color="auto" w:fill="EEEEEE"/>
          </w:tcPr>
          <w:p>
            <w:pPr>
              <w:spacing w:after="0"/>
              <w:rPr>
                <w:sz w:val="20"/>
                <w:szCs w:val="20"/>
                <w:color w:val="auto"/>
              </w:rPr>
            </w:pPr>
          </w:p>
        </w:tc>
        <w:tc>
          <w:tcPr>
            <w:tcW w:w="1620" w:type="dxa"/>
            <w:vAlign w:val="bottom"/>
            <w:tcBorders>
              <w:bottom w:val="single" w:sz="8" w:color="auto"/>
              <w:right w:val="single" w:sz="8" w:color="auto"/>
            </w:tcBorders>
            <w:shd w:val="clear" w:color="auto" w:fill="EEEEEE"/>
          </w:tcPr>
          <w:p>
            <w:pPr>
              <w:spacing w:after="0"/>
              <w:rPr>
                <w:sz w:val="20"/>
                <w:szCs w:val="20"/>
                <w:color w:val="auto"/>
              </w:rPr>
            </w:pPr>
          </w:p>
        </w:tc>
        <w:tc>
          <w:tcPr>
            <w:tcW w:w="1480" w:type="dxa"/>
            <w:vAlign w:val="bottom"/>
            <w:tcBorders>
              <w:bottom w:val="single" w:sz="8" w:color="auto"/>
              <w:right w:val="single" w:sz="8" w:color="auto"/>
            </w:tcBorders>
            <w:shd w:val="clear" w:color="auto" w:fill="EEEEEE"/>
          </w:tcPr>
          <w:p>
            <w:pPr>
              <w:spacing w:after="0"/>
              <w:rPr>
                <w:sz w:val="20"/>
                <w:szCs w:val="20"/>
                <w:color w:val="auto"/>
              </w:rPr>
            </w:pPr>
          </w:p>
        </w:tc>
        <w:tc>
          <w:tcPr>
            <w:tcW w:w="2720" w:type="dxa"/>
            <w:vAlign w:val="bottom"/>
            <w:tcBorders>
              <w:bottom w:val="single" w:sz="8" w:color="auto"/>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service charge</w:t>
            </w:r>
          </w:p>
        </w:tc>
        <w:tc>
          <w:tcPr>
            <w:tcW w:w="1600" w:type="dxa"/>
            <w:vAlign w:val="bottom"/>
            <w:tcBorders>
              <w:bottom w:val="single" w:sz="8" w:color="auto"/>
              <w:right w:val="single" w:sz="8" w:color="auto"/>
            </w:tcBorders>
            <w:shd w:val="clear" w:color="auto" w:fill="EEEEEE"/>
          </w:tcPr>
          <w:p>
            <w:pPr>
              <w:ind w:left="100"/>
              <w:spacing w:after="0"/>
              <w:rPr>
                <w:sz w:val="20"/>
                <w:szCs w:val="20"/>
                <w:color w:val="auto"/>
              </w:rPr>
            </w:pPr>
            <w:r>
              <w:rPr>
                <w:rFonts w:ascii="Arial" w:cs="Arial" w:eastAsia="Arial" w:hAnsi="Arial"/>
                <w:sz w:val="18"/>
                <w:szCs w:val="18"/>
                <w:color w:val="auto"/>
              </w:rPr>
              <w:t>USD</w:t>
            </w:r>
          </w:p>
        </w:tc>
        <w:tc>
          <w:tcPr>
            <w:tcW w:w="2260" w:type="dxa"/>
            <w:vAlign w:val="bottom"/>
            <w:tcBorders>
              <w:bottom w:val="single" w:sz="8" w:color="auto"/>
              <w:right w:val="single" w:sz="8" w:color="auto"/>
            </w:tcBorders>
            <w:shd w:val="clear" w:color="auto" w:fill="EEEEEE"/>
          </w:tcPr>
          <w:p>
            <w:pPr>
              <w:ind w:left="80"/>
              <w:spacing w:after="0"/>
              <w:rPr>
                <w:sz w:val="20"/>
                <w:szCs w:val="20"/>
                <w:color w:val="auto"/>
              </w:rPr>
            </w:pPr>
            <w:r>
              <w:rPr>
                <w:rFonts w:ascii="Arial" w:cs="Arial" w:eastAsia="Arial" w:hAnsi="Arial"/>
                <w:sz w:val="18"/>
                <w:szCs w:val="18"/>
                <w:color w:val="auto"/>
              </w:rPr>
              <w:t>USD</w:t>
            </w:r>
          </w:p>
        </w:tc>
      </w:tr>
      <w:tr>
        <w:trPr>
          <w:trHeight w:val="885"/>
        </w:trPr>
        <w:tc>
          <w:tcPr>
            <w:tcW w:w="17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28</w:t>
            </w:r>
          </w:p>
        </w:tc>
        <w:tc>
          <w:tcPr>
            <w:tcW w:w="16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Chih-Hsiang (Thompson) Lin, certify that:</w:t>
      </w:r>
    </w:p>
    <w:p>
      <w:pPr>
        <w:spacing w:after="0" w:line="225" w:lineRule="exact"/>
        <w:rPr>
          <w:sz w:val="20"/>
          <w:szCs w:val="20"/>
          <w:color w:val="auto"/>
        </w:rPr>
      </w:pPr>
    </w:p>
    <w:p>
      <w:pPr>
        <w:ind w:left="360" w:hanging="217"/>
        <w:spacing w:after="0"/>
        <w:tabs>
          <w:tab w:leader="none" w:pos="3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333" w:lineRule="exact"/>
        <w:rPr>
          <w:rFonts w:ascii="Arial" w:cs="Arial" w:eastAsia="Arial" w:hAnsi="Arial"/>
          <w:sz w:val="18"/>
          <w:szCs w:val="18"/>
          <w:color w:val="auto"/>
        </w:rPr>
      </w:pPr>
    </w:p>
    <w:p>
      <w:pPr>
        <w:ind w:left="360" w:hanging="217"/>
        <w:spacing w:after="0" w:line="342" w:lineRule="auto"/>
        <w:tabs>
          <w:tab w:leader="none" w:pos="3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1" w:lineRule="exact"/>
        <w:rPr>
          <w:rFonts w:ascii="Arial" w:cs="Arial" w:eastAsia="Arial" w:hAnsi="Arial"/>
          <w:sz w:val="16"/>
          <w:szCs w:val="16"/>
          <w:color w:val="auto"/>
        </w:rPr>
      </w:pPr>
    </w:p>
    <w:p>
      <w:pPr>
        <w:ind w:left="360" w:hanging="217"/>
        <w:spacing w:after="0" w:line="277" w:lineRule="auto"/>
        <w:tabs>
          <w:tab w:leader="none" w:pos="3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278" w:lineRule="exact"/>
        <w:rPr>
          <w:rFonts w:ascii="Arial" w:cs="Arial" w:eastAsia="Arial" w:hAnsi="Arial"/>
          <w:sz w:val="18"/>
          <w:szCs w:val="18"/>
          <w:color w:val="auto"/>
        </w:rPr>
      </w:pPr>
    </w:p>
    <w:p>
      <w:pPr>
        <w:ind w:left="360" w:hanging="217"/>
        <w:spacing w:after="0" w:line="277" w:lineRule="auto"/>
        <w:tabs>
          <w:tab w:leader="none" w:pos="3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78" w:lineRule="exact"/>
        <w:rPr>
          <w:rFonts w:ascii="Arial" w:cs="Arial" w:eastAsia="Arial" w:hAnsi="Arial"/>
          <w:sz w:val="18"/>
          <w:szCs w:val="18"/>
          <w:color w:val="auto"/>
        </w:rPr>
      </w:pPr>
    </w:p>
    <w:p>
      <w:pPr>
        <w:jc w:val="both"/>
        <w:ind w:left="720" w:hanging="230"/>
        <w:spacing w:after="0" w:line="264" w:lineRule="auto"/>
        <w:tabs>
          <w:tab w:leader="none" w:pos="7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ind w:left="720" w:right="20" w:hanging="241"/>
        <w:spacing w:after="0" w:line="308" w:lineRule="auto"/>
        <w:tabs>
          <w:tab w:leader="none" w:pos="720" w:val="left"/>
        </w:tabs>
        <w:numPr>
          <w:ilvl w:val="1"/>
          <w:numId w:val="11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720" w:hanging="230"/>
        <w:spacing w:after="0" w:line="264" w:lineRule="auto"/>
        <w:tabs>
          <w:tab w:leader="none" w:pos="7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360" w:hanging="217"/>
        <w:spacing w:after="0" w:line="308" w:lineRule="auto"/>
        <w:tabs>
          <w:tab w:leader="none" w:pos="3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720" w:hanging="230"/>
        <w:spacing w:after="0" w:line="277" w:lineRule="auto"/>
        <w:tabs>
          <w:tab w:leader="none" w:pos="7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720" w:hanging="241"/>
        <w:spacing w:after="0" w:line="277" w:lineRule="auto"/>
        <w:tabs>
          <w:tab w:leader="none" w:pos="72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Chih-Hsiang (Thompson) Lin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Chih-Hsiang (Thompson) Lin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James L. Dunn, Jr., certify that:</w:t>
      </w:r>
    </w:p>
    <w:p>
      <w:pPr>
        <w:spacing w:after="0" w:line="225" w:lineRule="exact"/>
        <w:rPr>
          <w:sz w:val="20"/>
          <w:szCs w:val="20"/>
          <w:color w:val="auto"/>
        </w:rPr>
      </w:pPr>
    </w:p>
    <w:p>
      <w:pPr>
        <w:ind w:left="360" w:hanging="217"/>
        <w:spacing w:after="0"/>
        <w:tabs>
          <w:tab w:leader="none" w:pos="3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Applied Optoelectronics, Inc.;</w:t>
      </w:r>
    </w:p>
    <w:p>
      <w:pPr>
        <w:spacing w:after="0" w:line="333" w:lineRule="exact"/>
        <w:rPr>
          <w:rFonts w:ascii="Arial" w:cs="Arial" w:eastAsia="Arial" w:hAnsi="Arial"/>
          <w:sz w:val="18"/>
          <w:szCs w:val="18"/>
          <w:color w:val="auto"/>
        </w:rPr>
      </w:pPr>
    </w:p>
    <w:p>
      <w:pPr>
        <w:ind w:left="360" w:hanging="217"/>
        <w:spacing w:after="0" w:line="342" w:lineRule="auto"/>
        <w:tabs>
          <w:tab w:leader="none" w:pos="3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1" w:lineRule="exact"/>
        <w:rPr>
          <w:rFonts w:ascii="Arial" w:cs="Arial" w:eastAsia="Arial" w:hAnsi="Arial"/>
          <w:sz w:val="16"/>
          <w:szCs w:val="16"/>
          <w:color w:val="auto"/>
        </w:rPr>
      </w:pPr>
    </w:p>
    <w:p>
      <w:pPr>
        <w:ind w:left="360" w:hanging="217"/>
        <w:spacing w:after="0" w:line="277" w:lineRule="auto"/>
        <w:tabs>
          <w:tab w:leader="none" w:pos="3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p>
      <w:pPr>
        <w:spacing w:after="0" w:line="278" w:lineRule="exact"/>
        <w:rPr>
          <w:rFonts w:ascii="Arial" w:cs="Arial" w:eastAsia="Arial" w:hAnsi="Arial"/>
          <w:sz w:val="18"/>
          <w:szCs w:val="18"/>
          <w:color w:val="auto"/>
        </w:rPr>
      </w:pPr>
    </w:p>
    <w:p>
      <w:pPr>
        <w:ind w:left="360" w:hanging="217"/>
        <w:spacing w:after="0" w:line="277" w:lineRule="auto"/>
        <w:tabs>
          <w:tab w:leader="none" w:pos="3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78" w:lineRule="exact"/>
        <w:rPr>
          <w:rFonts w:ascii="Arial" w:cs="Arial" w:eastAsia="Arial" w:hAnsi="Arial"/>
          <w:sz w:val="18"/>
          <w:szCs w:val="18"/>
          <w:color w:val="auto"/>
        </w:rPr>
      </w:pPr>
    </w:p>
    <w:p>
      <w:pPr>
        <w:jc w:val="both"/>
        <w:ind w:left="720" w:hanging="230"/>
        <w:spacing w:after="0" w:line="264" w:lineRule="auto"/>
        <w:tabs>
          <w:tab w:leader="none" w:pos="7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ind w:left="720" w:right="20" w:hanging="241"/>
        <w:spacing w:after="0" w:line="308" w:lineRule="auto"/>
        <w:tabs>
          <w:tab w:leader="none" w:pos="72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720" w:hanging="230"/>
        <w:spacing w:after="0" w:line="264" w:lineRule="auto"/>
        <w:tabs>
          <w:tab w:leader="none" w:pos="7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8"/>
          <w:szCs w:val="18"/>
          <w:color w:val="auto"/>
        </w:rPr>
      </w:pPr>
    </w:p>
    <w:p>
      <w:pPr>
        <w:ind w:left="360" w:hanging="217"/>
        <w:spacing w:after="0" w:line="308" w:lineRule="auto"/>
        <w:tabs>
          <w:tab w:leader="none" w:pos="3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54" w:lineRule="exact"/>
        <w:rPr>
          <w:rFonts w:ascii="Arial" w:cs="Arial" w:eastAsia="Arial" w:hAnsi="Arial"/>
          <w:sz w:val="17"/>
          <w:szCs w:val="17"/>
          <w:color w:val="auto"/>
        </w:rPr>
      </w:pPr>
    </w:p>
    <w:p>
      <w:pPr>
        <w:ind w:left="720" w:hanging="230"/>
        <w:spacing w:after="0" w:line="277" w:lineRule="auto"/>
        <w:tabs>
          <w:tab w:leader="none" w:pos="7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720" w:hanging="241"/>
        <w:spacing w:after="0" w:line="277" w:lineRule="auto"/>
        <w:tabs>
          <w:tab w:leader="none" w:pos="7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August 12,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L. Dunn, Jr.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L. Dunn,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and Senior Vice President</w:t>
      </w:r>
    </w:p>
    <w:p>
      <w:pPr>
        <w:sectPr>
          <w:pgSz w:w="11900" w:h="16838" w:orient="portrait"/>
          <w:cols w:equalWidth="0" w:num="1">
            <w:col w:w="11420"/>
          </w:cols>
          <w:pgMar w:left="240" w:top="121"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James L. Dunn, Jr., Chief Financial Officer and Senior Vice President of the Company, each hereby certifies that, to the best of his knowledge;</w:t>
      </w:r>
    </w:p>
    <w:p>
      <w:pPr>
        <w:spacing w:after="0" w:line="187" w:lineRule="exact"/>
        <w:rPr>
          <w:sz w:val="20"/>
          <w:szCs w:val="20"/>
          <w:color w:val="auto"/>
        </w:rPr>
      </w:pPr>
    </w:p>
    <w:p>
      <w:pPr>
        <w:ind w:left="660" w:right="480" w:hanging="328"/>
        <w:spacing w:after="0" w:line="308" w:lineRule="auto"/>
        <w:tabs>
          <w:tab w:leader="none" w:pos="66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June 30, 2014, to which this Certification is attached as Exhibit 32.1 (the “Quarterly Report”) fully complies with the requirements of Section 13(a) or Section 15(d) of the Exchange Act; and</w:t>
      </w:r>
    </w:p>
    <w:p>
      <w:pPr>
        <w:spacing w:after="0" w:line="146" w:lineRule="exact"/>
        <w:rPr>
          <w:rFonts w:ascii="Arial" w:cs="Arial" w:eastAsia="Arial" w:hAnsi="Arial"/>
          <w:sz w:val="17"/>
          <w:szCs w:val="17"/>
          <w:color w:val="auto"/>
        </w:rPr>
      </w:pPr>
    </w:p>
    <w:p>
      <w:pPr>
        <w:ind w:left="660" w:right="160" w:hanging="328"/>
        <w:spacing w:after="0" w:line="277"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the operation of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have set their hands hereto as of the 12</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August, 2014.</w:t>
      </w:r>
    </w:p>
    <w:p>
      <w:pPr>
        <w:spacing w:after="0" w:line="107"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4240" w:type="dxa"/>
            <w:vAlign w:val="bottom"/>
            <w:gridSpan w:val="2"/>
          </w:tcPr>
          <w:p>
            <w:pPr>
              <w:spacing w:after="0"/>
              <w:rPr>
                <w:sz w:val="20"/>
                <w:szCs w:val="20"/>
                <w:color w:val="auto"/>
              </w:rPr>
            </w:pPr>
            <w:r>
              <w:rPr>
                <w:rFonts w:ascii="Arial" w:cs="Arial" w:eastAsia="Arial" w:hAnsi="Arial"/>
                <w:sz w:val="18"/>
                <w:szCs w:val="18"/>
                <w:color w:val="auto"/>
              </w:rPr>
              <w:t>/s/ Chih-Hsiang (Thompson) Lin</w:t>
            </w:r>
          </w:p>
        </w:tc>
        <w:tc>
          <w:tcPr>
            <w:tcW w:w="5060" w:type="dxa"/>
            <w:vAlign w:val="bottom"/>
            <w:gridSpan w:val="3"/>
          </w:tcPr>
          <w:p>
            <w:pPr>
              <w:ind w:left="1480"/>
              <w:spacing w:after="0"/>
              <w:rPr>
                <w:sz w:val="20"/>
                <w:szCs w:val="20"/>
                <w:color w:val="auto"/>
              </w:rPr>
            </w:pPr>
            <w:r>
              <w:rPr>
                <w:rFonts w:ascii="Arial" w:cs="Arial" w:eastAsia="Arial" w:hAnsi="Arial"/>
                <w:sz w:val="18"/>
                <w:szCs w:val="18"/>
                <w:color w:val="auto"/>
              </w:rPr>
              <w:t>/s/ James L. Dunn, Jr.</w:t>
            </w:r>
          </w:p>
        </w:tc>
      </w:tr>
      <w:tr>
        <w:trPr>
          <w:trHeight w:val="20"/>
        </w:trPr>
        <w:tc>
          <w:tcPr>
            <w:tcW w:w="23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22"/>
        </w:trPr>
        <w:tc>
          <w:tcPr>
            <w:tcW w:w="2360" w:type="dxa"/>
            <w:vAlign w:val="bottom"/>
          </w:tcPr>
          <w:p>
            <w:pPr>
              <w:spacing w:after="0"/>
              <w:rPr>
                <w:sz w:val="20"/>
                <w:szCs w:val="20"/>
                <w:color w:val="auto"/>
              </w:rPr>
            </w:pPr>
            <w:r>
              <w:rPr>
                <w:rFonts w:ascii="Arial" w:cs="Arial" w:eastAsia="Arial" w:hAnsi="Arial"/>
                <w:sz w:val="18"/>
                <w:szCs w:val="18"/>
                <w:color w:val="auto"/>
              </w:rPr>
              <w:t>Chih-Hsiang (Thompson) Lin</w:t>
            </w:r>
          </w:p>
        </w:tc>
        <w:tc>
          <w:tcPr>
            <w:tcW w:w="1880" w:type="dxa"/>
            <w:vAlign w:val="bottom"/>
          </w:tcPr>
          <w:p>
            <w:pPr>
              <w:spacing w:after="0"/>
              <w:rPr>
                <w:sz w:val="19"/>
                <w:szCs w:val="19"/>
                <w:color w:val="auto"/>
              </w:rPr>
            </w:pPr>
          </w:p>
        </w:tc>
        <w:tc>
          <w:tcPr>
            <w:tcW w:w="5060" w:type="dxa"/>
            <w:vAlign w:val="bottom"/>
            <w:gridSpan w:val="3"/>
          </w:tcPr>
          <w:p>
            <w:pPr>
              <w:ind w:left="1480"/>
              <w:spacing w:after="0"/>
              <w:rPr>
                <w:sz w:val="20"/>
                <w:szCs w:val="20"/>
                <w:color w:val="auto"/>
              </w:rPr>
            </w:pPr>
            <w:r>
              <w:rPr>
                <w:rFonts w:ascii="Arial" w:cs="Arial" w:eastAsia="Arial" w:hAnsi="Arial"/>
                <w:sz w:val="18"/>
                <w:szCs w:val="18"/>
                <w:color w:val="auto"/>
              </w:rPr>
              <w:t>James L. Dunn, Jr.</w:t>
            </w: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c>
          <w:tcPr>
            <w:tcW w:w="5060" w:type="dxa"/>
            <w:vAlign w:val="bottom"/>
            <w:gridSpan w:val="3"/>
          </w:tcPr>
          <w:p>
            <w:pPr>
              <w:ind w:left="1480"/>
              <w:spacing w:after="0"/>
              <w:rPr>
                <w:sz w:val="20"/>
                <w:szCs w:val="20"/>
                <w:color w:val="auto"/>
              </w:rPr>
            </w:pPr>
            <w:r>
              <w:rPr>
                <w:rFonts w:ascii="Arial" w:cs="Arial" w:eastAsia="Arial" w:hAnsi="Arial"/>
                <w:sz w:val="18"/>
                <w:szCs w:val="18"/>
                <w:color w:val="auto"/>
                <w:w w:val="91"/>
              </w:rPr>
              <w:t>Chief Financial Officer and Senior Vice President</w:t>
            </w:r>
          </w:p>
        </w:tc>
      </w:tr>
    </w:tbl>
    <w:p>
      <w:pPr>
        <w:spacing w:after="0" w:line="377" w:lineRule="exact"/>
        <w:rPr>
          <w:sz w:val="20"/>
          <w:szCs w:val="20"/>
          <w:color w:val="auto"/>
        </w:rPr>
      </w:pPr>
    </w:p>
    <w:p>
      <w:pPr>
        <w:jc w:val="both"/>
        <w:ind w:right="320"/>
        <w:spacing w:after="0" w:line="312" w:lineRule="auto"/>
        <w:rPr>
          <w:sz w:val="20"/>
          <w:szCs w:val="20"/>
          <w:color w:val="auto"/>
        </w:rPr>
      </w:pPr>
      <w:r>
        <w:rPr>
          <w:rFonts w:ascii="Arial" w:cs="Arial" w:eastAsia="Arial" w:hAnsi="Arial"/>
          <w:sz w:val="16"/>
          <w:szCs w:val="16"/>
          <w:color w:val="auto"/>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Act of 1934, as amended (whether made before or after the date of the Quarterly Report), irrespective of any general incorporation language contained in such filing.</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x"/>
      <w:numFmt w:val="bullet"/>
      <w:start w:val="1"/>
    </w:lvl>
  </w:abstractNum>
  <w:abstractNum w:abstractNumId="1">
    <w:nsid w:val="741226BB"/>
    <w:multiLevelType w:val="hybridMultilevel"/>
    <w:lvl w:ilvl="0">
      <w:lvlJc w:val="left"/>
      <w:lvlText w:val="o"/>
      <w:numFmt w:val="bullet"/>
      <w:start w:val="1"/>
    </w:lvl>
  </w:abstractNum>
  <w:abstractNum w:abstractNumId="2">
    <w:nsid w:val="D34B6A8"/>
    <w:multiLevelType w:val="hybridMultilevel"/>
    <w:lvl w:ilvl="0">
      <w:lvlJc w:val="left"/>
      <w:lvlText w:val="(%1)"/>
      <w:numFmt w:val="decimal"/>
      <w:start w:val="281"/>
    </w:lvl>
  </w:abstractNum>
  <w:abstractNum w:abstractNumId="3">
    <w:nsid w:val="10233C99"/>
    <w:multiLevelType w:val="hybridMultilevel"/>
    <w:lvl w:ilvl="0">
      <w:lvlJc w:val="left"/>
      <w:lvlText w:val="%1."/>
      <w:numFmt w:val="decimal"/>
      <w:start w:val="1"/>
    </w:lvl>
  </w:abstractNum>
  <w:abstractNum w:abstractNumId="4">
    <w:nsid w:val="3F6AB60F"/>
    <w:multiLevelType w:val="hybridMultilevel"/>
    <w:lvl w:ilvl="0">
      <w:lvlJc w:val="left"/>
      <w:lvlText w:val="%1."/>
      <w:numFmt w:val="decimal"/>
      <w:start w:val="2"/>
    </w:lvl>
  </w:abstractNum>
  <w:abstractNum w:abstractNumId="5">
    <w:nsid w:val="61574095"/>
    <w:multiLevelType w:val="hybridMultilevel"/>
    <w:lvl w:ilvl="0">
      <w:lvlJc w:val="left"/>
      <w:lvlText w:val="%1."/>
      <w:numFmt w:val="decimal"/>
      <w:start w:val="3"/>
    </w:lvl>
  </w:abstractNum>
  <w:abstractNum w:abstractNumId="6">
    <w:nsid w:val="7E0C57B1"/>
    <w:multiLevelType w:val="hybridMultilevel"/>
    <w:lvl w:ilvl="0">
      <w:lvlJc w:val="left"/>
      <w:lvlText w:val="(%1)"/>
      <w:numFmt w:val="decimal"/>
      <w:start w:val="1"/>
    </w:lvl>
  </w:abstractNum>
  <w:abstractNum w:abstractNumId="7">
    <w:nsid w:val="77AE35EB"/>
    <w:multiLevelType w:val="hybridMultilevel"/>
    <w:lvl w:ilvl="0">
      <w:lvlJc w:val="left"/>
      <w:lvlText w:val="·"/>
      <w:numFmt w:val="bullet"/>
      <w:start w:val="1"/>
    </w:lvl>
  </w:abstractNum>
  <w:abstractNum w:abstractNumId="8">
    <w:nsid w:val="579BE4F1"/>
    <w:multiLevelType w:val="hybridMultilevel"/>
    <w:lvl w:ilvl="0">
      <w:lvlJc w:val="left"/>
      <w:lvlText w:val="·"/>
      <w:numFmt w:val="bullet"/>
      <w:start w:val="1"/>
    </w:lvl>
  </w:abstractNum>
  <w:abstractNum w:abstractNumId="9">
    <w:nsid w:val="310C50B3"/>
    <w:multiLevelType w:val="hybridMultilevel"/>
    <w:lvl w:ilvl="0">
      <w:lvlJc w:val="left"/>
      <w:lvlText w:val="·"/>
      <w:numFmt w:val="bullet"/>
      <w:start w:val="1"/>
    </w:lvl>
  </w:abstractNum>
  <w:abstractNum w:abstractNumId="10">
    <w:nsid w:val="5FF87E05"/>
    <w:multiLevelType w:val="hybridMultilevel"/>
    <w:lvl w:ilvl="0">
      <w:lvlJc w:val="left"/>
      <w:lvlText w:val="·"/>
      <w:numFmt w:val="bullet"/>
      <w:start w:val="1"/>
    </w:lvl>
  </w:abstractNum>
  <w:abstractNum w:abstractNumId="11">
    <w:nsid w:val="2F305DEF"/>
    <w:multiLevelType w:val="hybridMultilevel"/>
    <w:lvl w:ilvl="0">
      <w:lvlJc w:val="left"/>
      <w:lvlText w:val="·"/>
      <w:numFmt w:val="bullet"/>
      <w:start w:val="1"/>
    </w:lvl>
  </w:abstractNum>
  <w:abstractNum w:abstractNumId="12">
    <w:nsid w:val="25A70BF7"/>
    <w:multiLevelType w:val="hybridMultilevel"/>
    <w:lvl w:ilvl="0">
      <w:lvlJc w:val="left"/>
      <w:lvlText w:val="·"/>
      <w:numFmt w:val="bullet"/>
      <w:start w:val="1"/>
    </w:lvl>
  </w:abstractNum>
  <w:abstractNum w:abstractNumId="13">
    <w:nsid w:val="1DBABF00"/>
    <w:multiLevelType w:val="hybridMultilevel"/>
    <w:lvl w:ilvl="0">
      <w:lvlJc w:val="left"/>
      <w:lvlText w:val="·"/>
      <w:numFmt w:val="bullet"/>
      <w:start w:val="1"/>
    </w:lvl>
  </w:abstractNum>
  <w:abstractNum w:abstractNumId="14">
    <w:nsid w:val="4AD084E9"/>
    <w:multiLevelType w:val="hybridMultilevel"/>
    <w:lvl w:ilvl="0">
      <w:lvlJc w:val="left"/>
      <w:lvlText w:val="·"/>
      <w:numFmt w:val="bullet"/>
      <w:start w:val="1"/>
    </w:lvl>
  </w:abstractNum>
  <w:abstractNum w:abstractNumId="15">
    <w:nsid w:val="1F48EAA1"/>
    <w:multiLevelType w:val="hybridMultilevel"/>
    <w:lvl w:ilvl="0">
      <w:lvlJc w:val="left"/>
      <w:lvlText w:val="(%1)"/>
      <w:numFmt w:val="lowerLetter"/>
      <w:start w:val="1"/>
    </w:lvl>
  </w:abstractNum>
  <w:abstractNum w:abstractNumId="16">
    <w:nsid w:val="1381823A"/>
    <w:multiLevelType w:val="hybridMultilevel"/>
    <w:lvl w:ilvl="0">
      <w:lvlJc w:val="left"/>
      <w:lvlText w:val="*"/>
      <w:numFmt w:val="bullet"/>
      <w:start w:val="1"/>
    </w:lvl>
  </w:abstractNum>
  <w:abstractNum w:abstractNumId="17">
    <w:nsid w:val="5DB70AE5"/>
    <w:multiLevelType w:val="hybridMultilevel"/>
    <w:lvl w:ilvl="0">
      <w:lvlJc w:val="left"/>
      <w:lvlText w:val="(%1)"/>
      <w:numFmt w:val="decimal"/>
      <w:start w:val="1"/>
    </w:lvl>
  </w:abstractNum>
  <w:abstractNum w:abstractNumId="18">
    <w:nsid w:val="100F8FCA"/>
    <w:multiLevelType w:val="hybridMultilevel"/>
    <w:lvl w:ilvl="0">
      <w:lvlJc w:val="left"/>
      <w:lvlText w:val="%1."/>
      <w:numFmt w:val="decimal"/>
      <w:start w:val="1"/>
    </w:lvl>
  </w:abstractNum>
  <w:abstractNum w:abstractNumId="19">
    <w:nsid w:val="6590700B"/>
    <w:multiLevelType w:val="hybridMultilevel"/>
    <w:lvl w:ilvl="0">
      <w:lvlJc w:val="left"/>
      <w:lvlText w:val="(%1)"/>
      <w:numFmt w:val="decimal"/>
      <w:start w:val="2"/>
    </w:lvl>
  </w:abstractNum>
  <w:abstractNum w:abstractNumId="20">
    <w:nsid w:val="15014ACB"/>
    <w:multiLevelType w:val="hybridMultilevel"/>
    <w:lvl w:ilvl="0">
      <w:lvlJc w:val="left"/>
      <w:lvlText w:val="(%1)"/>
      <w:numFmt w:val="decimal"/>
      <w:start w:val="1"/>
    </w:lvl>
  </w:abstractNum>
  <w:abstractNum w:abstractNumId="21">
    <w:nsid w:val="5F5E7FD0"/>
    <w:multiLevelType w:val="hybridMultilevel"/>
    <w:lvl w:ilvl="0">
      <w:lvlJc w:val="left"/>
      <w:lvlText w:val="(%1)"/>
      <w:numFmt w:val="decimal"/>
      <w:start w:val="1"/>
    </w:lvl>
  </w:abstractNum>
  <w:abstractNum w:abstractNumId="22">
    <w:nsid w:val="98A3148"/>
    <w:multiLevelType w:val="hybridMultilevel"/>
    <w:lvl w:ilvl="0">
      <w:lvlJc w:val="left"/>
      <w:lvlText w:val="(%1)"/>
      <w:numFmt w:val="decimal"/>
      <w:start w:val="2"/>
    </w:lvl>
    <w:lvl w:ilvl="1">
      <w:lvlJc w:val="left"/>
      <w:lvlText w:val="(%2)"/>
      <w:numFmt w:val="lowerRoman"/>
      <w:start w:val="1"/>
    </w:lvl>
  </w:abstractNum>
  <w:abstractNum w:abstractNumId="23">
    <w:nsid w:val="799D0247"/>
    <w:multiLevelType w:val="hybridMultilevel"/>
    <w:lvl w:ilvl="0">
      <w:lvlJc w:val="left"/>
      <w:lvlText w:val="%1."/>
      <w:numFmt w:val="decimal"/>
      <w:start w:val="5"/>
    </w:lvl>
  </w:abstractNum>
  <w:abstractNum w:abstractNumId="24">
    <w:nsid w:val="6B94764"/>
    <w:multiLevelType w:val="hybridMultilevel"/>
    <w:lvl w:ilvl="0">
      <w:lvlJc w:val="left"/>
      <w:lvlText w:val="(%1)"/>
      <w:numFmt w:val="decimal"/>
      <w:start w:val="1"/>
    </w:lvl>
  </w:abstractNum>
  <w:abstractNum w:abstractNumId="25">
    <w:nsid w:val="42C296BD"/>
    <w:multiLevelType w:val="hybridMultilevel"/>
    <w:lvl w:ilvl="0">
      <w:lvlJc w:val="left"/>
      <w:lvlText w:val="(%1)"/>
      <w:numFmt w:val="decimal"/>
      <w:start w:val="3"/>
    </w:lvl>
  </w:abstractNum>
  <w:abstractNum w:abstractNumId="26">
    <w:nsid w:val="168E121F"/>
    <w:multiLevelType w:val="hybridMultilevel"/>
    <w:lvl w:ilvl="0">
      <w:lvlJc w:val="left"/>
      <w:lvlText w:val="(%1)"/>
      <w:numFmt w:val="decimal"/>
      <w:start w:val="1"/>
    </w:lvl>
  </w:abstractNum>
  <w:abstractNum w:abstractNumId="27">
    <w:nsid w:val="1EBA5D23"/>
    <w:multiLevelType w:val="hybridMultilevel"/>
    <w:lvl w:ilvl="0">
      <w:lvlJc w:val="left"/>
      <w:lvlText w:val="(%1)"/>
      <w:numFmt w:val="decimal"/>
      <w:start w:val="2"/>
    </w:lvl>
  </w:abstractNum>
  <w:abstractNum w:abstractNumId="28">
    <w:nsid w:val="661E3F1E"/>
    <w:multiLevelType w:val="hybridMultilevel"/>
    <w:lvl w:ilvl="0">
      <w:lvlJc w:val="left"/>
      <w:lvlText w:val="(%1)"/>
      <w:numFmt w:val="decimal"/>
      <w:start w:val="3"/>
    </w:lvl>
  </w:abstractNum>
  <w:abstractNum w:abstractNumId="29">
    <w:nsid w:val="5DC79EA8"/>
    <w:multiLevelType w:val="hybridMultilevel"/>
    <w:lvl w:ilvl="0">
      <w:lvlJc w:val="left"/>
      <w:lvlText w:val="(%1)"/>
      <w:numFmt w:val="decimal"/>
      <w:start w:val="1"/>
    </w:lvl>
  </w:abstractNum>
  <w:abstractNum w:abstractNumId="30">
    <w:nsid w:val="540A471C"/>
    <w:multiLevelType w:val="hybridMultilevel"/>
    <w:lvl w:ilvl="0">
      <w:lvlJc w:val="left"/>
      <w:lvlText w:val="(%1)"/>
      <w:numFmt w:val="decimal"/>
      <w:start w:val="1"/>
    </w:lvl>
  </w:abstractNum>
  <w:abstractNum w:abstractNumId="31">
    <w:nsid w:val="7BD3EE7B"/>
    <w:multiLevelType w:val="hybridMultilevel"/>
    <w:lvl w:ilvl="0">
      <w:lvlJc w:val="left"/>
      <w:lvlText w:val="(%1)"/>
      <w:numFmt w:val="decimal"/>
      <w:start w:val="1"/>
    </w:lvl>
  </w:abstractNum>
  <w:abstractNum w:abstractNumId="32">
    <w:nsid w:val="51D9C564"/>
    <w:multiLevelType w:val="hybridMultilevel"/>
    <w:lvl w:ilvl="0">
      <w:lvlJc w:val="left"/>
      <w:lvlText w:val="(%1)"/>
      <w:numFmt w:val="decimal"/>
      <w:start w:val="1"/>
    </w:lvl>
  </w:abstractNum>
  <w:abstractNum w:abstractNumId="33">
    <w:nsid w:val="613EFDC5"/>
    <w:multiLevelType w:val="hybridMultilevel"/>
    <w:lvl w:ilvl="0">
      <w:lvlJc w:val="left"/>
      <w:lvlText w:val="(%1)"/>
      <w:numFmt w:val="decimal"/>
      <w:start w:val="1"/>
    </w:lvl>
  </w:abstractNum>
  <w:abstractNum w:abstractNumId="34">
    <w:nsid w:val="BF72B14"/>
    <w:multiLevelType w:val="hybridMultilevel"/>
    <w:lvl w:ilvl="0">
      <w:lvlJc w:val="left"/>
      <w:lvlText w:val="(%1)"/>
      <w:numFmt w:val="lowerRoman"/>
      <w:start w:val="1"/>
    </w:lvl>
  </w:abstractNum>
  <w:abstractNum w:abstractNumId="35">
    <w:nsid w:val="11447B73"/>
    <w:multiLevelType w:val="hybridMultilevel"/>
    <w:lvl w:ilvl="0">
      <w:lvlJc w:val="left"/>
      <w:lvlText w:val="%1"/>
      <w:numFmt w:val="decimal"/>
      <w:start w:val="1"/>
    </w:lvl>
    <w:lvl w:ilvl="1">
      <w:lvlJc w:val="left"/>
      <w:lvlText w:val="(%2)"/>
      <w:numFmt w:val="lowerRoman"/>
      <w:start w:val="2"/>
    </w:lvl>
  </w:abstractNum>
  <w:abstractNum w:abstractNumId="36">
    <w:nsid w:val="42963E5A"/>
    <w:multiLevelType w:val="hybridMultilevel"/>
    <w:lvl w:ilvl="0">
      <w:lvlJc w:val="left"/>
      <w:lvlText w:val="(%1)"/>
      <w:numFmt w:val="decimal"/>
      <w:start w:val="2"/>
    </w:lvl>
    <w:lvl w:ilvl="1">
      <w:lvlJc w:val="left"/>
      <w:lvlText w:val="(%2)"/>
      <w:numFmt w:val="lowerRoman"/>
      <w:start w:val="1"/>
    </w:lvl>
  </w:abstractNum>
  <w:abstractNum w:abstractNumId="37">
    <w:nsid w:val="A0382C5"/>
    <w:multiLevelType w:val="hybridMultilevel"/>
    <w:lvl w:ilvl="0">
      <w:lvlJc w:val="left"/>
      <w:lvlText w:val="(%1)"/>
      <w:numFmt w:val="decimal"/>
      <w:start w:val="6"/>
    </w:lvl>
  </w:abstractNum>
  <w:abstractNum w:abstractNumId="38">
    <w:nsid w:val="8F2B15E"/>
    <w:multiLevelType w:val="hybridMultilevel"/>
    <w:lvl w:ilvl="0">
      <w:lvlJc w:val="left"/>
      <w:lvlText w:val="(%1)"/>
      <w:numFmt w:val="decimal"/>
      <w:start w:val="1"/>
    </w:lvl>
  </w:abstractNum>
  <w:abstractNum w:abstractNumId="39">
    <w:nsid w:val="1A32234B"/>
    <w:multiLevelType w:val="hybridMultilevel"/>
    <w:lvl w:ilvl="0">
      <w:lvlJc w:val="left"/>
      <w:lvlText w:val="%1."/>
      <w:numFmt w:val="decimal"/>
      <w:start w:val="6"/>
    </w:lvl>
  </w:abstractNum>
  <w:abstractNum w:abstractNumId="40">
    <w:nsid w:val="3B0FD379"/>
    <w:multiLevelType w:val="hybridMultilevel"/>
    <w:lvl w:ilvl="0">
      <w:lvlJc w:val="left"/>
      <w:lvlText w:val="(%1)"/>
      <w:numFmt w:val="decimal"/>
      <w:start w:val="2"/>
    </w:lvl>
    <w:lvl w:ilvl="1">
      <w:lvlJc w:val="left"/>
      <w:lvlText w:val="(%2)"/>
      <w:numFmt w:val="lowerRoman"/>
      <w:start w:val="1"/>
    </w:lvl>
  </w:abstractNum>
  <w:abstractNum w:abstractNumId="41">
    <w:nsid w:val="68EB2F63"/>
    <w:multiLevelType w:val="hybridMultilevel"/>
    <w:lvl w:ilvl="0">
      <w:lvlJc w:val="left"/>
      <w:lvlText w:val="(%1)"/>
      <w:numFmt w:val="lowerRoman"/>
      <w:start w:val="6"/>
    </w:lvl>
  </w:abstractNum>
  <w:abstractNum w:abstractNumId="42">
    <w:nsid w:val="4962813B"/>
    <w:multiLevelType w:val="hybridMultilevel"/>
    <w:lvl w:ilvl="0">
      <w:lvlJc w:val="left"/>
      <w:lvlText w:val="%1"/>
      <w:numFmt w:val="decimal"/>
      <w:start w:val="1"/>
    </w:lvl>
    <w:lvl w:ilvl="1">
      <w:lvlJc w:val="left"/>
      <w:lvlText w:val="(%2)"/>
      <w:numFmt w:val="lowerRoman"/>
      <w:start w:val="10"/>
    </w:lvl>
  </w:abstractNum>
  <w:abstractNum w:abstractNumId="43">
    <w:nsid w:val="60B6DF70"/>
    <w:multiLevelType w:val="hybridMultilevel"/>
    <w:lvl w:ilvl="0">
      <w:lvlJc w:val="left"/>
      <w:lvlText w:val="%1."/>
      <w:numFmt w:val="decimal"/>
      <w:start w:val="7"/>
    </w:lvl>
    <w:lvl w:ilvl="1">
      <w:lvlJc w:val="left"/>
      <w:lvlText w:val="%2"/>
      <w:numFmt w:val="lowerRoman"/>
      <w:start w:val="1"/>
    </w:lvl>
  </w:abstractNum>
  <w:abstractNum w:abstractNumId="44">
    <w:nsid w:val="6A5EE64"/>
    <w:multiLevelType w:val="hybridMultilevel"/>
    <w:lvl w:ilvl="0">
      <w:lvlJc w:val="left"/>
      <w:lvlText w:val="(%1)"/>
      <w:numFmt w:val="decimal"/>
      <w:start w:val="1"/>
    </w:lvl>
  </w:abstractNum>
  <w:abstractNum w:abstractNumId="45">
    <w:nsid w:val="14330624"/>
    <w:multiLevelType w:val="hybridMultilevel"/>
    <w:lvl w:ilvl="0">
      <w:lvlJc w:val="left"/>
      <w:lvlText w:val="(%1)"/>
      <w:numFmt w:val="decimal"/>
      <w:start w:val="1"/>
    </w:lvl>
  </w:abstractNum>
  <w:abstractNum w:abstractNumId="46">
    <w:nsid w:val="7FFFCA11"/>
    <w:multiLevelType w:val="hybridMultilevel"/>
    <w:lvl w:ilvl="0">
      <w:lvlJc w:val="left"/>
      <w:lvlText w:val="%1."/>
      <w:numFmt w:val="decimal"/>
      <w:start w:val="8"/>
    </w:lvl>
    <w:lvl w:ilvl="1">
      <w:lvlJc w:val="left"/>
      <w:lvlText w:val="(%2)"/>
      <w:numFmt w:val="decimal"/>
      <w:start w:val="1"/>
    </w:lvl>
  </w:abstractNum>
  <w:abstractNum w:abstractNumId="47">
    <w:nsid w:val="1A27709E"/>
    <w:multiLevelType w:val="hybridMultilevel"/>
    <w:lvl w:ilvl="0">
      <w:lvlJc w:val="left"/>
      <w:lvlText w:val="(%1)"/>
      <w:numFmt w:val="decimal"/>
      <w:start w:val="1"/>
    </w:lvl>
  </w:abstractNum>
  <w:abstractNum w:abstractNumId="48">
    <w:nsid w:val="71EA1109"/>
    <w:multiLevelType w:val="hybridMultilevel"/>
    <w:lvl w:ilvl="0">
      <w:lvlJc w:val="left"/>
      <w:lvlText w:val="(%1)"/>
      <w:numFmt w:val="decimal"/>
      <w:start w:val="5"/>
    </w:lvl>
  </w:abstractNum>
  <w:abstractNum w:abstractNumId="49">
    <w:nsid w:val="100F59DC"/>
    <w:multiLevelType w:val="hybridMultilevel"/>
    <w:lvl w:ilvl="0">
      <w:lvlJc w:val="left"/>
      <w:lvlText w:val="%1"/>
      <w:numFmt w:val="decimal"/>
      <w:start w:val="1"/>
    </w:lvl>
    <w:lvl w:ilvl="1">
      <w:lvlJc w:val="left"/>
      <w:lvlText w:val="(%2)"/>
      <w:numFmt w:val="decimal"/>
      <w:start w:val="8"/>
    </w:lvl>
  </w:abstractNum>
  <w:abstractNum w:abstractNumId="50">
    <w:nsid w:val="7FB7E0AA"/>
    <w:multiLevelType w:val="hybridMultilevel"/>
    <w:lvl w:ilvl="0">
      <w:lvlJc w:val="left"/>
      <w:lvlText w:val="%1."/>
      <w:numFmt w:val="decimal"/>
      <w:start w:val="9"/>
    </w:lvl>
    <w:lvl w:ilvl="1">
      <w:lvlJc w:val="left"/>
      <w:lvlText w:val="%2"/>
      <w:numFmt w:val="decimal"/>
      <w:start w:val="1"/>
    </w:lvl>
  </w:abstractNum>
  <w:abstractNum w:abstractNumId="51">
    <w:nsid w:val="6EB5BD4"/>
    <w:multiLevelType w:val="hybridMultilevel"/>
    <w:lvl w:ilvl="0">
      <w:lvlJc w:val="left"/>
      <w:lvlText w:val="(%1)"/>
      <w:numFmt w:val="decimal"/>
      <w:start w:val="1"/>
    </w:lvl>
  </w:abstractNum>
  <w:abstractNum w:abstractNumId="52">
    <w:nsid w:val="6F6DD9AC"/>
    <w:multiLevelType w:val="hybridMultilevel"/>
    <w:lvl w:ilvl="0">
      <w:lvlJc w:val="left"/>
      <w:lvlText w:val="%1."/>
      <w:numFmt w:val="decimal"/>
      <w:start w:val="10"/>
    </w:lvl>
  </w:abstractNum>
  <w:abstractNum w:abstractNumId="53">
    <w:nsid w:val="94211F2"/>
    <w:multiLevelType w:val="hybridMultilevel"/>
    <w:lvl w:ilvl="0">
      <w:lvlJc w:val="left"/>
      <w:lvlText w:val="(%1)"/>
      <w:numFmt w:val="decimal"/>
      <w:start w:val="1"/>
    </w:lvl>
  </w:abstractNum>
  <w:abstractNum w:abstractNumId="54">
    <w:nsid w:val="885E1B"/>
    <w:multiLevelType w:val="hybridMultilevel"/>
    <w:lvl w:ilvl="0">
      <w:lvlJc w:val="left"/>
      <w:lvlText w:val="(%1)"/>
      <w:numFmt w:val="decimal"/>
      <w:start w:val="1"/>
    </w:lvl>
  </w:abstractNum>
  <w:abstractNum w:abstractNumId="55">
    <w:nsid w:val="76272110"/>
    <w:multiLevelType w:val="hybridMultilevel"/>
    <w:lvl w:ilvl="0">
      <w:lvlJc w:val="left"/>
      <w:lvlText w:val="(%1)"/>
      <w:numFmt w:val="decimal"/>
      <w:start w:val="2"/>
    </w:lvl>
    <w:lvl w:ilvl="1">
      <w:lvlJc w:val="left"/>
      <w:lvlText w:val="(%2)"/>
      <w:numFmt w:val="lowerRoman"/>
      <w:start w:val="1"/>
    </w:lvl>
  </w:abstractNum>
  <w:abstractNum w:abstractNumId="56">
    <w:nsid w:val="4C04A8AF"/>
    <w:multiLevelType w:val="hybridMultilevel"/>
    <w:lvl w:ilvl="0">
      <w:lvlJc w:val="left"/>
      <w:lvlText w:val="(%1)"/>
      <w:numFmt w:val="decimal"/>
      <w:start w:val="6"/>
    </w:lvl>
    <w:lvl w:ilvl="1">
      <w:lvlJc w:val="left"/>
      <w:lvlText w:val="(%2)"/>
      <w:numFmt w:val="lowerRoman"/>
      <w:start w:val="1"/>
    </w:lvl>
  </w:abstractNum>
  <w:abstractNum w:abstractNumId="57">
    <w:nsid w:val="1716703B"/>
    <w:multiLevelType w:val="hybridMultilevel"/>
    <w:lvl w:ilvl="0">
      <w:lvlJc w:val="left"/>
      <w:lvlText w:val="(%1)"/>
      <w:numFmt w:val="decimal"/>
      <w:start w:val="1"/>
    </w:lvl>
  </w:abstractNum>
  <w:abstractNum w:abstractNumId="58">
    <w:nsid w:val="14E17E33"/>
    <w:multiLevelType w:val="hybridMultilevel"/>
    <w:lvl w:ilvl="0">
      <w:lvlJc w:val="left"/>
      <w:lvlText w:val="(%1)"/>
      <w:numFmt w:val="decimal"/>
      <w:start w:val="3"/>
    </w:lvl>
    <w:lvl w:ilvl="1">
      <w:lvlJc w:val="left"/>
      <w:lvlText w:val="%"/>
      <w:numFmt w:val="bullet"/>
      <w:start w:val="1"/>
    </w:lvl>
    <w:lvl w:ilvl="2">
      <w:lvlJc w:val="left"/>
      <w:lvlText w:val="(%3)"/>
      <w:numFmt w:val="lowerRoman"/>
      <w:start w:val="1"/>
    </w:lvl>
  </w:abstractNum>
  <w:abstractNum w:abstractNumId="59">
    <w:nsid w:val="3222E7CD"/>
    <w:multiLevelType w:val="hybridMultilevel"/>
    <w:lvl w:ilvl="0">
      <w:lvlJc w:val="left"/>
      <w:lvlText w:val="%1."/>
      <w:numFmt w:val="decimal"/>
      <w:start w:val="11"/>
    </w:lvl>
    <w:lvl w:ilvl="1">
      <w:lvlJc w:val="left"/>
      <w:lvlText w:val="(%2)"/>
      <w:numFmt w:val="decimal"/>
      <w:start w:val="1"/>
    </w:lvl>
  </w:abstractNum>
  <w:abstractNum w:abstractNumId="60">
    <w:nsid w:val="74DE0EE3"/>
    <w:multiLevelType w:val="hybridMultilevel"/>
    <w:lvl w:ilvl="0">
      <w:lvlJc w:val="left"/>
      <w:lvlText w:val="(%1)"/>
      <w:numFmt w:val="decimal"/>
      <w:start w:val="1"/>
    </w:lvl>
  </w:abstractNum>
  <w:abstractNum w:abstractNumId="61">
    <w:nsid w:val="68EBC550"/>
    <w:multiLevelType w:val="hybridMultilevel"/>
    <w:lvl w:ilvl="0">
      <w:lvlJc w:val="left"/>
      <w:lvlText w:val="(%1)"/>
      <w:numFmt w:val="decimal"/>
      <w:start w:val="1"/>
    </w:lvl>
  </w:abstractNum>
  <w:abstractNum w:abstractNumId="62">
    <w:nsid w:val="2DF6D648"/>
    <w:multiLevelType w:val="hybridMultilevel"/>
    <w:lvl w:ilvl="0">
      <w:lvlJc w:val="left"/>
      <w:lvlText w:val="%1."/>
      <w:numFmt w:val="decimal"/>
      <w:start w:val="12"/>
    </w:lvl>
  </w:abstractNum>
  <w:abstractNum w:abstractNumId="63">
    <w:nsid w:val="46B7D447"/>
    <w:multiLevelType w:val="hybridMultilevel"/>
    <w:lvl w:ilvl="0">
      <w:lvlJc w:val="left"/>
      <w:lvlText w:val="%1."/>
      <w:numFmt w:val="decimal"/>
      <w:start w:val="1"/>
    </w:lvl>
  </w:abstractNum>
  <w:abstractNum w:abstractNumId="64">
    <w:nsid w:val="4A2AC315"/>
    <w:multiLevelType w:val="hybridMultilevel"/>
    <w:lvl w:ilvl="0">
      <w:lvlJc w:val="left"/>
      <w:lvlText w:val="(%1)"/>
      <w:numFmt w:val="decimal"/>
      <w:start w:val="1"/>
    </w:lvl>
  </w:abstractNum>
  <w:abstractNum w:abstractNumId="65">
    <w:nsid w:val="39EE015C"/>
    <w:multiLevelType w:val="hybridMultilevel"/>
    <w:lvl w:ilvl="0">
      <w:lvlJc w:val="left"/>
      <w:lvlText w:val="%1."/>
      <w:numFmt w:val="decimal"/>
      <w:start w:val="1"/>
    </w:lvl>
    <w:lvl w:ilvl="1">
      <w:lvlJc w:val="left"/>
      <w:lvlText w:val="(%2)"/>
      <w:numFmt w:val="decimal"/>
      <w:start w:val="1"/>
    </w:lvl>
  </w:abstractNum>
  <w:abstractNum w:abstractNumId="66">
    <w:nsid w:val="57FC4FBB"/>
    <w:multiLevelType w:val="hybridMultilevel"/>
    <w:lvl w:ilvl="0">
      <w:lvlJc w:val="left"/>
      <w:lvlText w:val="(%1)"/>
      <w:numFmt w:val="decimal"/>
      <w:start w:val="3"/>
    </w:lvl>
  </w:abstractNum>
  <w:abstractNum w:abstractNumId="67">
    <w:nsid w:val="CC1016F"/>
    <w:multiLevelType w:val="hybridMultilevel"/>
    <w:lvl w:ilvl="0">
      <w:lvlJc w:val="left"/>
      <w:lvlText w:val="(%1)"/>
      <w:numFmt w:val="decimal"/>
      <w:start w:val="1"/>
    </w:lvl>
  </w:abstractNum>
  <w:abstractNum w:abstractNumId="68">
    <w:nsid w:val="43F18422"/>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Roman"/>
      <w:start w:val="2"/>
    </w:lvl>
  </w:abstractNum>
  <w:abstractNum w:abstractNumId="69">
    <w:nsid w:val="60EF0119"/>
    <w:multiLevelType w:val="hybridMultilevel"/>
    <w:lvl w:ilvl="0">
      <w:lvlJc w:val="left"/>
      <w:lvlText w:val="%1."/>
      <w:numFmt w:val="decimal"/>
      <w:start w:val="5"/>
    </w:lvl>
    <w:lvl w:ilvl="1">
      <w:lvlJc w:val="left"/>
      <w:lvlText w:val="%2"/>
      <w:numFmt w:val="decimal"/>
      <w:start w:val="1"/>
    </w:lvl>
    <w:lvl w:ilvl="2">
      <w:lvlJc w:val="left"/>
      <w:lvlText w:val="%3"/>
      <w:numFmt w:val="lowerRoman"/>
      <w:start w:val="1"/>
    </w:lvl>
    <w:lvl w:ilvl="3">
      <w:lvlJc w:val="left"/>
      <w:lvlText w:val="%4"/>
      <w:numFmt w:val="lowerRoman"/>
      <w:start w:val="1"/>
    </w:lvl>
  </w:abstractNum>
  <w:abstractNum w:abstractNumId="70">
    <w:nsid w:val="26F324BA"/>
    <w:multiLevelType w:val="hybridMultilevel"/>
    <w:lvl w:ilvl="0">
      <w:lvlJc w:val="left"/>
      <w:lvlText w:val="(%1)"/>
      <w:numFmt w:val="decimal"/>
      <w:start w:val="1"/>
    </w:lvl>
  </w:abstractNum>
  <w:abstractNum w:abstractNumId="71">
    <w:nsid w:val="7F01579B"/>
    <w:multiLevelType w:val="hybridMultilevel"/>
    <w:lvl w:ilvl="0">
      <w:lvlJc w:val="left"/>
      <w:lvlText w:val="(%1)"/>
      <w:numFmt w:val="decimal"/>
      <w:start w:val="1"/>
    </w:lvl>
  </w:abstractNum>
  <w:abstractNum w:abstractNumId="72">
    <w:nsid w:val="49DA307D"/>
    <w:multiLevelType w:val="hybridMultilevel"/>
    <w:lvl w:ilvl="0">
      <w:lvlJc w:val="left"/>
      <w:lvlText w:val="(%1)"/>
      <w:numFmt w:val="decimal"/>
      <w:start w:val="2"/>
    </w:lvl>
  </w:abstractNum>
  <w:abstractNum w:abstractNumId="73">
    <w:nsid w:val="7055A5F5"/>
    <w:multiLevelType w:val="hybridMultilevel"/>
    <w:lvl w:ilvl="0">
      <w:lvlJc w:val="left"/>
      <w:lvlText w:val="(%1)"/>
      <w:numFmt w:val="decimal"/>
      <w:start w:val="3"/>
    </w:lvl>
  </w:abstractNum>
  <w:abstractNum w:abstractNumId="74">
    <w:nsid w:val="5FB8370B"/>
    <w:multiLevelType w:val="hybridMultilevel"/>
    <w:lvl w:ilvl="0">
      <w:lvlJc w:val="left"/>
      <w:lvlText w:val="(%1)"/>
      <w:numFmt w:val="decimal"/>
      <w:start w:val="1"/>
    </w:lvl>
  </w:abstractNum>
  <w:abstractNum w:abstractNumId="75">
    <w:nsid w:val="50801EE1"/>
    <w:multiLevelType w:val="hybridMultilevel"/>
    <w:lvl w:ilvl="0">
      <w:lvlJc w:val="left"/>
      <w:lvlText w:val="(%1)"/>
      <w:numFmt w:val="decimal"/>
      <w:start w:val="1"/>
    </w:lvl>
  </w:abstractNum>
  <w:abstractNum w:abstractNumId="76">
    <w:nsid w:val="488AC1A"/>
    <w:multiLevelType w:val="hybridMultilevel"/>
    <w:lvl w:ilvl="0">
      <w:lvlJc w:val="left"/>
      <w:lvlText w:val="(%1)"/>
      <w:numFmt w:val="decimal"/>
      <w:start w:val="1"/>
    </w:lvl>
  </w:abstractNum>
  <w:abstractNum w:abstractNumId="77">
    <w:nsid w:val="5FB8011C"/>
    <w:multiLevelType w:val="hybridMultilevel"/>
    <w:lvl w:ilvl="0">
      <w:lvlJc w:val="left"/>
      <w:lvlText w:val="(%1)"/>
      <w:numFmt w:val="decimal"/>
      <w:start w:val="1"/>
    </w:lvl>
  </w:abstractNum>
  <w:abstractNum w:abstractNumId="78">
    <w:nsid w:val="6AA78F7F"/>
    <w:multiLevelType w:val="hybridMultilevel"/>
    <w:lvl w:ilvl="0">
      <w:lvlJc w:val="left"/>
      <w:lvlText w:val="(%1)"/>
      <w:numFmt w:val="decimal"/>
      <w:start w:val="1"/>
    </w:lvl>
  </w:abstractNum>
  <w:abstractNum w:abstractNumId="79">
    <w:nsid w:val="7672BD23"/>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lvl w:ilvl="3">
      <w:lvlJc w:val="left"/>
      <w:lvlText w:val="(%4)"/>
      <w:numFmt w:val="lowerRoman"/>
      <w:start w:val="2"/>
    </w:lvl>
  </w:abstractNum>
  <w:abstractNum w:abstractNumId="80">
    <w:nsid w:val="6FC75AF8"/>
    <w:multiLevelType w:val="hybridMultilevel"/>
    <w:lvl w:ilvl="0">
      <w:lvlJc w:val="left"/>
      <w:lvlText w:val="(%1)"/>
      <w:numFmt w:val="decimal"/>
      <w:start w:val="2"/>
    </w:lvl>
    <w:lvl w:ilvl="1">
      <w:lvlJc w:val="left"/>
      <w:lvlText w:val="(%2)"/>
      <w:numFmt w:val="decimal"/>
      <w:start w:val="4"/>
    </w:lvl>
    <w:lvl w:ilvl="2">
      <w:lvlJc w:val="left"/>
      <w:lvlText w:val="%3"/>
      <w:numFmt w:val="lowerRoman"/>
      <w:start w:val="1"/>
    </w:lvl>
    <w:lvl w:ilvl="3">
      <w:lvlJc w:val="left"/>
      <w:lvlText w:val="%4"/>
      <w:numFmt w:val="lowerRoman"/>
      <w:start w:val="1"/>
    </w:lvl>
  </w:abstractNum>
  <w:abstractNum w:abstractNumId="81">
    <w:nsid w:val="6A5F7029"/>
    <w:multiLevelType w:val="hybridMultilevel"/>
    <w:lvl w:ilvl="0">
      <w:lvlJc w:val="left"/>
      <w:lvlText w:val="(%1)"/>
      <w:numFmt w:val="decimal"/>
      <w:start w:val="5"/>
    </w:lvl>
    <w:lvl w:ilvl="1">
      <w:lvlJc w:val="left"/>
      <w:lvlText w:val="(%2)"/>
      <w:numFmt w:val="lowerRoman"/>
      <w:start w:val="1"/>
    </w:lvl>
  </w:abstractNum>
  <w:abstractNum w:abstractNumId="82">
    <w:nsid w:val="7D5E18F8"/>
    <w:multiLevelType w:val="hybridMultilevel"/>
    <w:lvl w:ilvl="0">
      <w:lvlJc w:val="left"/>
      <w:lvlText w:val="(%1)"/>
      <w:numFmt w:val="lowerRoman"/>
      <w:start w:val="2"/>
    </w:lvl>
  </w:abstractNum>
  <w:abstractNum w:abstractNumId="83">
    <w:nsid w:val="5F3534A4"/>
    <w:multiLevelType w:val="hybridMultilevel"/>
    <w:lvl w:ilvl="0">
      <w:lvlJc w:val="left"/>
      <w:lvlText w:val="(%1)"/>
      <w:numFmt w:val="lowerRoman"/>
      <w:start w:val="3"/>
    </w:lvl>
  </w:abstractNum>
  <w:abstractNum w:abstractNumId="84">
    <w:nsid w:val="73A1821B"/>
    <w:multiLevelType w:val="hybridMultilevel"/>
    <w:lvl w:ilvl="0">
      <w:lvlJc w:val="left"/>
      <w:lvlText w:val="(%1)"/>
      <w:numFmt w:val="decimal"/>
      <w:start w:val="1"/>
    </w:lvl>
  </w:abstractNum>
  <w:abstractNum w:abstractNumId="85">
    <w:nsid w:val="7DE67713"/>
    <w:multiLevelType w:val="hybridMultilevel"/>
    <w:lvl w:ilvl="0">
      <w:lvlJc w:val="left"/>
      <w:lvlText w:val="%1."/>
      <w:numFmt w:val="decimal"/>
      <w:start w:val="6"/>
    </w:lvl>
  </w:abstractNum>
  <w:abstractNum w:abstractNumId="86">
    <w:nsid w:val="555C55B5"/>
    <w:multiLevelType w:val="hybridMultilevel"/>
    <w:lvl w:ilvl="0">
      <w:lvlJc w:val="left"/>
      <w:lvlText w:val="(%1)"/>
      <w:numFmt w:val="decimal"/>
      <w:start w:val="1"/>
    </w:lvl>
  </w:abstractNum>
  <w:abstractNum w:abstractNumId="87">
    <w:nsid w:val="3FA62ACA"/>
    <w:multiLevelType w:val="hybridMultilevel"/>
    <w:lvl w:ilvl="0">
      <w:lvlJc w:val="left"/>
      <w:lvlText w:val="(%1)"/>
      <w:numFmt w:val="decimal"/>
      <w:start w:val="1"/>
    </w:lvl>
  </w:abstractNum>
  <w:abstractNum w:abstractNumId="88">
    <w:nsid w:val="14FCE74E"/>
    <w:multiLevelType w:val="hybridMultilevel"/>
    <w:lvl w:ilvl="0">
      <w:lvlJc w:val="left"/>
      <w:lvlText w:val="(%1)"/>
      <w:numFmt w:val="decimal"/>
      <w:start w:val="3"/>
    </w:lvl>
    <w:lvl w:ilvl="1">
      <w:lvlJc w:val="left"/>
      <w:lvlText w:val="(%2)"/>
      <w:numFmt w:val="lowerRoman"/>
      <w:start w:val="1"/>
    </w:lvl>
  </w:abstractNum>
  <w:abstractNum w:abstractNumId="89">
    <w:nsid w:val="6A3DD3E8"/>
    <w:multiLevelType w:val="hybridMultilevel"/>
    <w:lvl w:ilvl="0">
      <w:lvlJc w:val="left"/>
      <w:lvlText w:val="(%1)"/>
      <w:numFmt w:val="lowerRoman"/>
      <w:start w:val="5"/>
    </w:lvl>
    <w:lvl w:ilvl="1">
      <w:lvlJc w:val="left"/>
      <w:lvlText w:val="%2"/>
      <w:numFmt w:val="lowerRoman"/>
      <w:start w:val="1"/>
    </w:lvl>
    <w:lvl w:ilvl="2">
      <w:lvlJc w:val="left"/>
      <w:lvlText w:val="%3"/>
      <w:numFmt w:val="lowerRoman"/>
      <w:start w:val="1"/>
    </w:lvl>
  </w:abstractNum>
  <w:abstractNum w:abstractNumId="90">
    <w:nsid w:val="71C91298"/>
    <w:multiLevelType w:val="hybridMultilevel"/>
    <w:lvl w:ilvl="0">
      <w:lvlJc w:val="left"/>
      <w:lvlText w:val="(%1)"/>
      <w:numFmt w:val="lowerRoman"/>
      <w:start w:val="3"/>
    </w:lvl>
    <w:lvl w:ilvl="1">
      <w:lvlJc w:val="left"/>
      <w:lvlText w:val="%2"/>
      <w:numFmt w:val="lowerRoman"/>
      <w:start w:val="1"/>
    </w:lvl>
    <w:lvl w:ilvl="2">
      <w:lvlJc w:val="left"/>
      <w:lvlText w:val="(%3)"/>
      <w:numFmt w:val="lowerRoman"/>
      <w:start w:val="10"/>
    </w:lvl>
  </w:abstractNum>
  <w:abstractNum w:abstractNumId="91">
    <w:nsid w:val="9DAF632"/>
    <w:multiLevelType w:val="hybridMultilevel"/>
    <w:lvl w:ilvl="0">
      <w:lvlJc w:val="left"/>
      <w:lvlText w:val="%1."/>
      <w:numFmt w:val="decimal"/>
      <w:start w:val="7"/>
    </w:lvl>
  </w:abstractNum>
  <w:abstractNum w:abstractNumId="92">
    <w:nsid w:val="53299938"/>
    <w:multiLevelType w:val="hybridMultilevel"/>
    <w:lvl w:ilvl="0">
      <w:lvlJc w:val="left"/>
      <w:lvlText w:val="(%1)"/>
      <w:numFmt w:val="decimal"/>
      <w:start w:val="1"/>
    </w:lvl>
  </w:abstractNum>
  <w:abstractNum w:abstractNumId="93">
    <w:nsid w:val="1FBFE8E0"/>
    <w:multiLevelType w:val="hybridMultilevel"/>
    <w:lvl w:ilvl="0">
      <w:lvlJc w:val="left"/>
      <w:lvlText w:val="(%1)"/>
      <w:numFmt w:val="decimal"/>
      <w:start w:val="1"/>
    </w:lvl>
  </w:abstractNum>
  <w:abstractNum w:abstractNumId="94">
    <w:nsid w:val="5092CA79"/>
    <w:multiLevelType w:val="hybridMultilevel"/>
    <w:lvl w:ilvl="0">
      <w:lvlJc w:val="left"/>
      <w:lvlText w:val="%1."/>
      <w:numFmt w:val="decimal"/>
      <w:start w:val="8"/>
    </w:lvl>
  </w:abstractNum>
  <w:abstractNum w:abstractNumId="95">
    <w:nsid w:val="1D545C4D"/>
    <w:multiLevelType w:val="hybridMultilevel"/>
    <w:lvl w:ilvl="0">
      <w:lvlJc w:val="left"/>
      <w:lvlText w:val="(%1)"/>
      <w:numFmt w:val="decimal"/>
      <w:start w:val="1"/>
    </w:lvl>
  </w:abstractNum>
  <w:abstractNum w:abstractNumId="96">
    <w:nsid w:val="59ADEA3D"/>
    <w:multiLevelType w:val="hybridMultilevel"/>
    <w:lvl w:ilvl="0">
      <w:lvlJc w:val="left"/>
      <w:lvlText w:val="(%1)"/>
      <w:numFmt w:val="decimal"/>
      <w:start w:val="1"/>
    </w:lvl>
  </w:abstractNum>
  <w:abstractNum w:abstractNumId="97">
    <w:nsid w:val="288F1A34"/>
    <w:multiLevelType w:val="hybridMultilevel"/>
    <w:lvl w:ilvl="0">
      <w:lvlJc w:val="left"/>
      <w:lvlText w:val="(%1)"/>
      <w:numFmt w:val="decimal"/>
      <w:start w:val="3"/>
    </w:lvl>
  </w:abstractNum>
  <w:abstractNum w:abstractNumId="98">
    <w:nsid w:val="2A155DBC"/>
    <w:multiLevelType w:val="hybridMultilevel"/>
    <w:lvl w:ilvl="0">
      <w:lvlJc w:val="left"/>
      <w:lvlText w:val="%1."/>
      <w:numFmt w:val="decimal"/>
      <w:start w:val="9"/>
    </w:lvl>
  </w:abstractNum>
  <w:abstractNum w:abstractNumId="99">
    <w:nsid w:val="1D9F6E5F"/>
    <w:multiLevelType w:val="hybridMultilevel"/>
    <w:lvl w:ilvl="0">
      <w:lvlJc w:val="left"/>
      <w:lvlText w:val="(%1)"/>
      <w:numFmt w:val="decimal"/>
      <w:start w:val="1"/>
    </w:lvl>
  </w:abstractNum>
  <w:abstractNum w:abstractNumId="100">
    <w:nsid w:val="97E1B4E"/>
    <w:multiLevelType w:val="hybridMultilevel"/>
    <w:lvl w:ilvl="0">
      <w:lvlJc w:val="left"/>
      <w:lvlText w:val="(%1)"/>
      <w:numFmt w:val="decimal"/>
      <w:start w:val="1"/>
    </w:lvl>
  </w:abstractNum>
  <w:abstractNum w:abstractNumId="101">
    <w:nsid w:val="51088277"/>
    <w:multiLevelType w:val="hybridMultilevel"/>
    <w:lvl w:ilvl="0">
      <w:lvlJc w:val="left"/>
      <w:lvlText w:val="(%1)"/>
      <w:numFmt w:val="decimal"/>
      <w:start w:val="1"/>
    </w:lvl>
  </w:abstractNum>
  <w:abstractNum w:abstractNumId="102">
    <w:nsid w:val="1CA0C5FA"/>
    <w:multiLevelType w:val="hybridMultilevel"/>
    <w:lvl w:ilvl="0">
      <w:lvlJc w:val="left"/>
      <w:lvlText w:val="(%1)"/>
      <w:numFmt w:val="decimal"/>
      <w:start w:val="1"/>
    </w:lvl>
  </w:abstractNum>
  <w:abstractNum w:abstractNumId="103">
    <w:nsid w:val="53584BCB"/>
    <w:multiLevelType w:val="hybridMultilevel"/>
    <w:lvl w:ilvl="0">
      <w:lvlJc w:val="left"/>
      <w:lvlText w:val="%1"/>
      <w:numFmt w:val="decimal"/>
      <w:start w:val="1"/>
    </w:lvl>
    <w:lvl w:ilvl="1">
      <w:lvlJc w:val="left"/>
      <w:lvlText w:val="(%2)"/>
      <w:numFmt w:val="decimal"/>
      <w:start w:val="3"/>
    </w:lvl>
    <w:lvl w:ilvl="2">
      <w:lvlJc w:val="left"/>
      <w:lvlText w:val="(%3)"/>
      <w:numFmt w:val="lowerRoman"/>
      <w:start w:val="1"/>
    </w:lvl>
  </w:abstractNum>
  <w:abstractNum w:abstractNumId="104">
    <w:nsid w:val="415E286C"/>
    <w:multiLevelType w:val="hybridMultilevel"/>
    <w:lvl w:ilvl="0">
      <w:lvlJc w:val="left"/>
      <w:lvlText w:val="(%1)"/>
      <w:numFmt w:val="decimal"/>
      <w:start w:val="6"/>
    </w:lvl>
    <w:lvl w:ilvl="1">
      <w:lvlJc w:val="left"/>
      <w:lvlText w:val="%2"/>
      <w:numFmt w:val="decimal"/>
      <w:start w:val="1"/>
    </w:lvl>
    <w:lvl w:ilvl="2">
      <w:lvlJc w:val="left"/>
      <w:lvlText w:val="(%3)"/>
      <w:numFmt w:val="lowerRoman"/>
      <w:start w:val="1"/>
    </w:lvl>
  </w:abstractNum>
  <w:abstractNum w:abstractNumId="105">
    <w:nsid w:val="7C58FD05"/>
    <w:multiLevelType w:val="hybridMultilevel"/>
    <w:lvl w:ilvl="0">
      <w:lvlJc w:val="left"/>
      <w:lvlText w:val="%1"/>
      <w:numFmt w:val="decimal"/>
      <w:start w:val="1"/>
    </w:lvl>
    <w:lvl w:ilvl="1">
      <w:lvlJc w:val="left"/>
      <w:lvlText w:val="(%2)"/>
      <w:numFmt w:val="lowerRoman"/>
      <w:start w:val="4"/>
    </w:lvl>
  </w:abstractNum>
  <w:abstractNum w:abstractNumId="106">
    <w:nsid w:val="23D86AAC"/>
    <w:multiLevelType w:val="hybridMultilevel"/>
    <w:lvl w:ilvl="0">
      <w:lvlJc w:val="left"/>
      <w:lvlText w:val="(%1)"/>
      <w:numFmt w:val="decimal"/>
      <w:start w:val="7"/>
    </w:lvl>
    <w:lvl w:ilvl="1">
      <w:lvlJc w:val="left"/>
      <w:lvlText w:val="%2"/>
      <w:numFmt w:val="lowerRoman"/>
      <w:start w:val="1"/>
    </w:lvl>
  </w:abstractNum>
  <w:abstractNum w:abstractNumId="107">
    <w:nsid w:val="45E6D486"/>
    <w:multiLevelType w:val="hybridMultilevel"/>
    <w:lvl w:ilvl="0">
      <w:lvlJc w:val="left"/>
      <w:lvlText w:val="(%1)"/>
      <w:numFmt w:val="decimal"/>
      <w:start w:val="1"/>
    </w:lvl>
  </w:abstractNum>
  <w:abstractNum w:abstractNumId="108">
    <w:nsid w:val="5C10FE21"/>
    <w:multiLevelType w:val="hybridMultilevel"/>
    <w:lvl w:ilvl="0">
      <w:lvlJc w:val="left"/>
      <w:lvlText w:val="%1"/>
      <w:numFmt w:val="decimal"/>
      <w:start w:val="1"/>
    </w:lvl>
    <w:lvl w:ilvl="1">
      <w:lvlJc w:val="left"/>
      <w:lvlText w:val="(%2)"/>
      <w:numFmt w:val="decimal"/>
      <w:start w:val="8"/>
    </w:lvl>
    <w:lvl w:ilvl="2">
      <w:lvlJc w:val="left"/>
      <w:lvlText w:val="(%3)"/>
      <w:numFmt w:val="lowerRoman"/>
      <w:start w:val="1"/>
    </w:lvl>
  </w:abstractNum>
  <w:abstractNum w:abstractNumId="109">
    <w:nsid w:val="E7FFA2B"/>
    <w:multiLevelType w:val="hybridMultilevel"/>
    <w:lvl w:ilvl="0">
      <w:lvlJc w:val="left"/>
      <w:lvlText w:val="%1."/>
      <w:numFmt w:val="decimal"/>
      <w:start w:val="11"/>
    </w:lvl>
    <w:lvl w:ilvl="1">
      <w:lvlJc w:val="left"/>
      <w:lvlText w:val="%2"/>
      <w:numFmt w:val="decimal"/>
      <w:start w:val="1"/>
    </w:lvl>
    <w:lvl w:ilvl="2">
      <w:lvlJc w:val="left"/>
      <w:lvlText w:val="%3"/>
      <w:numFmt w:val="lowerRoman"/>
      <w:start w:val="1"/>
    </w:lvl>
  </w:abstractNum>
  <w:abstractNum w:abstractNumId="110">
    <w:nsid w:val="3C5991AA"/>
    <w:multiLevelType w:val="hybridMultilevel"/>
    <w:lvl w:ilvl="0">
      <w:lvlJc w:val="left"/>
      <w:lvlText w:val="(%1)"/>
      <w:numFmt w:val="decimal"/>
      <w:start w:val="1"/>
    </w:lvl>
  </w:abstractNum>
  <w:abstractNum w:abstractNumId="111">
    <w:nsid w:val="4BD8591A"/>
    <w:multiLevelType w:val="hybridMultilevel"/>
    <w:lvl w:ilvl="0">
      <w:lvlJc w:val="left"/>
      <w:lvlText w:val="(%1)"/>
      <w:numFmt w:val="decimal"/>
      <w:start w:val="1"/>
    </w:lvl>
  </w:abstractNum>
  <w:abstractNum w:abstractNumId="112">
    <w:nsid w:val="78DF6A55"/>
    <w:multiLevelType w:val="hybridMultilevel"/>
    <w:lvl w:ilvl="0">
      <w:lvlJc w:val="left"/>
      <w:lvlText w:val="(%1)"/>
      <w:numFmt w:val="decimal"/>
      <w:start w:val="1"/>
    </w:lvl>
  </w:abstractNum>
  <w:abstractNum w:abstractNumId="113">
    <w:nsid w:val="39B7AAA2"/>
    <w:multiLevelType w:val="hybridMultilevel"/>
    <w:lvl w:ilvl="0">
      <w:lvlJc w:val="left"/>
      <w:lvlText w:val="%1."/>
      <w:numFmt w:val="decimal"/>
      <w:start w:val="2"/>
    </w:lvl>
  </w:abstractNum>
  <w:abstractNum w:abstractNumId="114">
    <w:nsid w:val="2B0D8DBE"/>
    <w:multiLevelType w:val="hybridMultilevel"/>
    <w:lvl w:ilvl="0">
      <w:lvlJc w:val="left"/>
      <w:lvlText w:val="%1."/>
      <w:numFmt w:val="decimal"/>
      <w:start w:val="3"/>
    </w:lvl>
  </w:abstractNum>
  <w:abstractNum w:abstractNumId="115">
    <w:nsid w:val="6C80EC70"/>
    <w:multiLevelType w:val="hybridMultilevel"/>
    <w:lvl w:ilvl="0">
      <w:lvlJc w:val="left"/>
      <w:lvlText w:val="%1."/>
      <w:numFmt w:val="decimal"/>
      <w:start w:val="1"/>
    </w:lvl>
    <w:lvl w:ilvl="1">
      <w:lvlJc w:val="left"/>
      <w:lvlText w:val="%2)"/>
      <w:numFmt w:val="lowerLetter"/>
      <w:start w:val="1"/>
    </w:lvl>
  </w:abstractNum>
  <w:abstractNum w:abstractNumId="116">
    <w:nsid w:val="379E21B5"/>
    <w:multiLevelType w:val="hybridMultilevel"/>
    <w:lvl w:ilvl="0">
      <w:lvlJc w:val="left"/>
      <w:lvlText w:val="%1."/>
      <w:numFmt w:val="decimal"/>
      <w:start w:val="1"/>
    </w:lvl>
    <w:lvl w:ilvl="1">
      <w:lvlJc w:val="left"/>
      <w:lvlText w:val="%2)"/>
      <w:numFmt w:val="lowerLetter"/>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2019-12-07T02:04:23Z</dcterms:created>
  <dcterms:modified xsi:type="dcterms:W3CDTF">2019-12-07T02:04:23Z</dcterms:modified>
</cp:coreProperties>
</file>