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383540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9"/>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3469" w:right="1060" w:hanging="3469"/>
        <w:spacing w:after="0" w:line="493" w:lineRule="auto"/>
        <w:tabs>
          <w:tab w:leader="none" w:pos="21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1"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209" w:hanging="209"/>
        <w:spacing w:after="0"/>
        <w:tabs>
          <w:tab w:leader="none" w:pos="209"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2989"/>
        <w:spacing w:after="0"/>
        <w:rPr>
          <w:sz w:val="20"/>
          <w:szCs w:val="20"/>
          <w:color w:val="auto"/>
        </w:rPr>
      </w:pPr>
      <w:r>
        <w:rPr>
          <w:rFonts w:ascii="Arial" w:cs="Arial" w:eastAsia="Arial" w:hAnsi="Arial"/>
          <w:sz w:val="18"/>
          <w:szCs w:val="18"/>
          <w:b w:val="1"/>
          <w:bCs w:val="1"/>
          <w:color w:val="auto"/>
        </w:rPr>
        <w:t xml:space="preserve">For the transition period from __________ to </w:t>
      </w:r>
      <w:r>
        <w:rPr>
          <w:rFonts w:ascii="Arial" w:cs="Arial" w:eastAsia="Arial" w:hAnsi="Arial"/>
          <w:sz w:val="18"/>
          <w:szCs w:val="18"/>
          <w:color w:val="auto"/>
        </w:rPr>
        <w:t>__________</w:t>
      </w:r>
    </w:p>
    <w:p>
      <w:pPr>
        <w:spacing w:after="0" w:line="225"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Commission File Number: 001-36083</w:t>
      </w:r>
    </w:p>
    <w:p>
      <w:pPr>
        <w:spacing w:after="0" w:line="225"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409"/>
          </w:cols>
          <w:pgMar w:left="751" w:top="233" w:right="739" w:bottom="1440" w:gutter="0" w:footer="0" w:header="0"/>
        </w:sectPr>
      </w:pPr>
    </w:p>
    <w:p>
      <w:pPr>
        <w:spacing w:after="0" w:line="220" w:lineRule="exact"/>
        <w:rPr>
          <w:sz w:val="24"/>
          <w:szCs w:val="24"/>
          <w:color w:val="auto"/>
        </w:rPr>
      </w:pPr>
    </w:p>
    <w:p>
      <w:pPr>
        <w:jc w:val="center"/>
        <w:ind w:right="511"/>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511"/>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5709" w:space="720"/>
            <w:col w:w="3980"/>
          </w:cols>
          <w:pgMar w:left="751" w:top="233" w:right="739" w:bottom="1440" w:gutter="0" w:footer="0" w:header="0"/>
          <w:type w:val="continuous"/>
        </w:sectPr>
      </w:pPr>
    </w:p>
    <w:p>
      <w:pPr>
        <w:spacing w:after="0" w:line="16"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13139 Jess Pirtle Blvd.</w:t>
      </w:r>
    </w:p>
    <w:p>
      <w:pPr>
        <w:spacing w:after="0" w:line="27"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93" w:lineRule="exact"/>
        <w:rPr>
          <w:sz w:val="24"/>
          <w:szCs w:val="24"/>
          <w:color w:val="auto"/>
        </w:rPr>
      </w:pPr>
    </w:p>
    <w:p>
      <w:pPr>
        <w:ind w:left="5069" w:hanging="428"/>
        <w:spacing w:after="0"/>
        <w:tabs>
          <w:tab w:leader="none" w:pos="5069"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3949"/>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197" w:lineRule="exact"/>
        <w:rPr>
          <w:sz w:val="24"/>
          <w:szCs w:val="24"/>
          <w:color w:val="auto"/>
        </w:rPr>
      </w:pPr>
    </w:p>
    <w:p>
      <w:pPr>
        <w:jc w:val="both"/>
        <w:ind w:left="9"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170" w:lineRule="exact"/>
        <w:rPr>
          <w:sz w:val="24"/>
          <w:szCs w:val="24"/>
          <w:color w:val="auto"/>
        </w:rPr>
      </w:pPr>
    </w:p>
    <w:p>
      <w:pPr>
        <w:jc w:val="both"/>
        <w:ind w:left="9"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170" w:lineRule="exact"/>
        <w:rPr>
          <w:sz w:val="24"/>
          <w:szCs w:val="24"/>
          <w:color w:val="auto"/>
        </w:rPr>
      </w:pPr>
    </w:p>
    <w:p>
      <w:pPr>
        <w:jc w:val="both"/>
        <w:ind w:left="9" w:firstLine="41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9"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800" w:type="dxa"/>
            <w:vAlign w:val="bottom"/>
          </w:tcPr>
          <w:p>
            <w:pPr>
              <w:spacing w:after="0"/>
              <w:rPr>
                <w:sz w:val="24"/>
                <w:szCs w:val="24"/>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405"/>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9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800" w:type="dxa"/>
            <w:vAlign w:val="bottom"/>
          </w:tcPr>
          <w:p>
            <w:pPr>
              <w:ind w:left="100"/>
              <w:spacing w:after="0"/>
              <w:rPr>
                <w:sz w:val="20"/>
                <w:szCs w:val="20"/>
                <w:color w:val="auto"/>
              </w:rPr>
            </w:pPr>
            <w:r>
              <w:rPr>
                <w:rFonts w:ascii="Arial" w:cs="Arial" w:eastAsia="Arial" w:hAnsi="Arial"/>
                <w:sz w:val="18"/>
                <w:szCs w:val="18"/>
                <w:color w:val="auto"/>
              </w:rPr>
              <w:t>(Do not check if a smaller reporting company)</w:t>
            </w:r>
          </w:p>
        </w:tc>
        <w:tc>
          <w:tcPr>
            <w:tcW w:w="2720" w:type="dxa"/>
            <w:vAlign w:val="bottom"/>
          </w:tcPr>
          <w:p>
            <w:pPr>
              <w:ind w:left="3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78"/>
        </w:trPr>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155" w:lineRule="exact"/>
        <w:rPr>
          <w:sz w:val="24"/>
          <w:szCs w:val="24"/>
          <w:color w:val="auto"/>
        </w:rPr>
      </w:pPr>
    </w:p>
    <w:p>
      <w:pPr>
        <w:ind w:left="9" w:firstLine="41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6" w:lineRule="exact"/>
        <w:rPr>
          <w:sz w:val="24"/>
          <w:szCs w:val="24"/>
          <w:color w:val="auto"/>
        </w:rPr>
      </w:pPr>
    </w:p>
    <w:p>
      <w:pPr>
        <w:ind w:left="409"/>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56" w:lineRule="exact"/>
        <w:rPr>
          <w:sz w:val="24"/>
          <w:szCs w:val="24"/>
          <w:color w:val="auto"/>
        </w:rPr>
      </w:pPr>
    </w:p>
    <w:p>
      <w:pPr>
        <w:ind w:left="9" w:right="20" w:firstLine="416"/>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August 2, 2018 there were 19,697,996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648970</wp:posOffset>
            </wp:positionV>
            <wp:extent cx="6612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40" w:type="dxa"/>
            <w:vAlign w:val="bottom"/>
            <w:gridSpan w:val="26"/>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40" w:type="dxa"/>
            <w:vAlign w:val="bottom"/>
            <w:gridSpan w:val="11"/>
          </w:tcPr>
          <w:p>
            <w:pPr>
              <w:jc w:val="center"/>
              <w:ind w:right="2660"/>
              <w:spacing w:after="0"/>
              <w:rPr>
                <w:sz w:val="20"/>
                <w:szCs w:val="20"/>
                <w:color w:val="auto"/>
              </w:rPr>
            </w:pPr>
            <w:r>
              <w:rPr>
                <w:rFonts w:ascii="Arial" w:cs="Arial" w:eastAsia="Arial" w:hAnsi="Arial"/>
                <w:sz w:val="18"/>
                <w:szCs w:val="18"/>
                <w:b w:val="1"/>
                <w:bCs w:val="1"/>
                <w:color w:val="auto"/>
                <w:w w:val="89"/>
              </w:rPr>
              <w:t>Applied Optoelectronics, Inc.</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40" w:type="dxa"/>
            <w:vAlign w:val="bottom"/>
            <w:gridSpan w:val="11"/>
          </w:tcPr>
          <w:p>
            <w:pPr>
              <w:jc w:val="center"/>
              <w:ind w:right="2660"/>
              <w:spacing w:after="0"/>
              <w:rPr>
                <w:sz w:val="20"/>
                <w:szCs w:val="20"/>
                <w:color w:val="auto"/>
              </w:rPr>
            </w:pPr>
            <w:r>
              <w:rPr>
                <w:rFonts w:ascii="Arial" w:cs="Arial" w:eastAsia="Arial" w:hAnsi="Arial"/>
                <w:sz w:val="18"/>
                <w:szCs w:val="18"/>
                <w:b w:val="1"/>
                <w:bCs w:val="1"/>
                <w:color w:val="auto"/>
                <w:w w:val="89"/>
              </w:rPr>
              <w:t>Table of Contents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gridSpan w:val="12"/>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6380" w:type="dxa"/>
            <w:vAlign w:val="bottom"/>
            <w:gridSpan w:val="14"/>
            <w:vMerge w:val="restart"/>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12"/>
            <w:vMerge w:val="continue"/>
          </w:tcPr>
          <w:p>
            <w:pPr>
              <w:spacing w:after="0"/>
              <w:rPr>
                <w:sz w:val="13"/>
                <w:szCs w:val="13"/>
                <w:color w:val="auto"/>
              </w:rPr>
            </w:pPr>
          </w:p>
        </w:tc>
        <w:tc>
          <w:tcPr>
            <w:tcW w:w="6380" w:type="dxa"/>
            <w:vAlign w:val="bottom"/>
            <w:gridSpan w:val="14"/>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60" w:type="dxa"/>
            <w:vAlign w:val="bottom"/>
            <w:gridSpan w:val="2"/>
          </w:tcPr>
          <w:p>
            <w:pPr>
              <w:spacing w:after="0"/>
              <w:rPr>
                <w:sz w:val="24"/>
                <w:szCs w:val="24"/>
                <w:color w:val="auto"/>
              </w:rPr>
            </w:pPr>
          </w:p>
        </w:tc>
        <w:tc>
          <w:tcPr>
            <w:tcW w:w="42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360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3"/>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Condensed Consolidated Balance Sheets as of June 30, 2018 (Unaudited) and December 31, 2017</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6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2018 and</w:t>
              </w:r>
            </w:hyperlink>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6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2017 (Unaudited)</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and Six Months ended June</w:t>
              </w:r>
            </w:hyperlink>
          </w:p>
        </w:tc>
        <w:tc>
          <w:tcPr>
            <w:tcW w:w="26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60" w:type="dxa"/>
            <w:vAlign w:val="bottom"/>
            <w:gridSpan w:val="2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30, 2018 and 2017 (Unaudited)</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2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Stockholders’ Equity for the Six Months ended June 30, 2018</w:t>
              </w:r>
            </w:hyperlink>
          </w:p>
        </w:tc>
        <w:tc>
          <w:tcPr>
            <w:tcW w:w="54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60" w:type="dxa"/>
            <w:vAlign w:val="bottom"/>
            <w:gridSpan w:val="2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3"/>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Condensed Consolidated Statements of Cash Flows for the Six Months ended June 30, 2018 and 2017</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52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2.</w:t>
              </w:r>
            </w:hyperlink>
          </w:p>
        </w:tc>
        <w:tc>
          <w:tcPr>
            <w:tcW w:w="260" w:type="dxa"/>
            <w:vAlign w:val="bottom"/>
            <w:gridSpan w:val="2"/>
          </w:tcPr>
          <w:p>
            <w:pPr>
              <w:spacing w:after="0"/>
              <w:rPr>
                <w:sz w:val="24"/>
                <w:szCs w:val="24"/>
                <w:color w:val="auto"/>
              </w:rPr>
            </w:pP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140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3.</w:t>
              </w:r>
            </w:hyperlink>
          </w:p>
        </w:tc>
        <w:tc>
          <w:tcPr>
            <w:tcW w:w="260" w:type="dxa"/>
            <w:vAlign w:val="bottom"/>
            <w:gridSpan w:val="2"/>
          </w:tcPr>
          <w:p>
            <w:pPr>
              <w:spacing w:after="0"/>
              <w:rPr>
                <w:sz w:val="24"/>
                <w:szCs w:val="24"/>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350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4.</w:t>
              </w:r>
            </w:hyperlink>
          </w:p>
        </w:tc>
        <w:tc>
          <w:tcPr>
            <w:tcW w:w="260" w:type="dxa"/>
            <w:vAlign w:val="bottom"/>
            <w:gridSpan w:val="2"/>
          </w:tcPr>
          <w:p>
            <w:pPr>
              <w:spacing w:after="0"/>
              <w:rPr>
                <w:sz w:val="24"/>
                <w:szCs w:val="24"/>
                <w:color w:val="auto"/>
              </w:rPr>
            </w:pPr>
          </w:p>
        </w:tc>
        <w:tc>
          <w:tcPr>
            <w:tcW w:w="786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40" w:type="dxa"/>
            <w:vAlign w:val="bottom"/>
            <w:gridSpan w:val="26"/>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1.</w:t>
              </w:r>
            </w:hyperlink>
          </w:p>
        </w:tc>
        <w:tc>
          <w:tcPr>
            <w:tcW w:w="260" w:type="dxa"/>
            <w:vAlign w:val="bottom"/>
            <w:gridSpan w:val="2"/>
          </w:tcPr>
          <w:p>
            <w:pPr>
              <w:spacing w:after="0"/>
              <w:rPr>
                <w:sz w:val="24"/>
                <w:szCs w:val="24"/>
                <w:color w:val="auto"/>
              </w:rPr>
            </w:pPr>
          </w:p>
        </w:tc>
        <w:tc>
          <w:tcPr>
            <w:tcW w:w="786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786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3.</w:t>
              </w:r>
            </w:hyperlink>
          </w:p>
        </w:tc>
        <w:tc>
          <w:tcPr>
            <w:tcW w:w="260" w:type="dxa"/>
            <w:vAlign w:val="bottom"/>
            <w:gridSpan w:val="2"/>
          </w:tcPr>
          <w:p>
            <w:pPr>
              <w:spacing w:after="0"/>
              <w:rPr>
                <w:sz w:val="24"/>
                <w:szCs w:val="24"/>
                <w:color w:val="auto"/>
              </w:rPr>
            </w:pPr>
          </w:p>
        </w:tc>
        <w:tc>
          <w:tcPr>
            <w:tcW w:w="2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352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4.</w:t>
              </w:r>
            </w:hyperlink>
          </w:p>
        </w:tc>
        <w:tc>
          <w:tcPr>
            <w:tcW w:w="260" w:type="dxa"/>
            <w:vAlign w:val="bottom"/>
            <w:gridSpan w:val="2"/>
          </w:tcPr>
          <w:p>
            <w:pPr>
              <w:spacing w:after="0"/>
              <w:rPr>
                <w:sz w:val="24"/>
                <w:szCs w:val="24"/>
                <w:color w:val="auto"/>
              </w:rPr>
            </w:pPr>
          </w:p>
        </w:tc>
        <w:tc>
          <w:tcPr>
            <w:tcW w:w="7860" w:type="dxa"/>
            <w:vAlign w:val="bottom"/>
            <w:gridSpan w:val="2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5.</w:t>
              </w:r>
            </w:hyperlink>
          </w:p>
        </w:tc>
        <w:tc>
          <w:tcPr>
            <w:tcW w:w="260" w:type="dxa"/>
            <w:vAlign w:val="bottom"/>
            <w:gridSpan w:val="2"/>
          </w:tcPr>
          <w:p>
            <w:pPr>
              <w:spacing w:after="0"/>
              <w:rPr>
                <w:sz w:val="24"/>
                <w:szCs w:val="24"/>
                <w:color w:val="auto"/>
              </w:rPr>
            </w:pPr>
          </w:p>
        </w:tc>
        <w:tc>
          <w:tcPr>
            <w:tcW w:w="1760" w:type="dxa"/>
            <w:vAlign w:val="bottom"/>
            <w:tcBorders>
              <w:top w:val="single" w:sz="8" w:color="0000EE"/>
            </w:tcBorders>
            <w:gridSpan w:val="1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6100" w:type="dxa"/>
            <w:vAlign w:val="bottom"/>
            <w:gridSpan w:val="1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6.</w:t>
              </w:r>
            </w:hyperlink>
          </w:p>
        </w:tc>
        <w:tc>
          <w:tcPr>
            <w:tcW w:w="26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Exhibits</w:t>
              </w:r>
            </w:hyperlink>
          </w:p>
        </w:tc>
        <w:tc>
          <w:tcPr>
            <w:tcW w:w="720" w:type="dxa"/>
            <w:vAlign w:val="bottom"/>
            <w:tcBorders>
              <w:top w:val="single" w:sz="8" w:color="0000EE"/>
            </w:tcBorders>
            <w:gridSpan w:val="6"/>
          </w:tcPr>
          <w:p>
            <w:pPr>
              <w:spacing w:after="0"/>
              <w:rPr>
                <w:sz w:val="24"/>
                <w:szCs w:val="24"/>
                <w:color w:val="auto"/>
              </w:rPr>
            </w:pPr>
          </w:p>
        </w:tc>
        <w:tc>
          <w:tcPr>
            <w:tcW w:w="6540" w:type="dxa"/>
            <w:vAlign w:val="bottom"/>
            <w:gridSpan w:val="1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54">
              <w:r>
                <w:rPr>
                  <w:rFonts w:ascii="Arial" w:cs="Arial" w:eastAsia="Arial" w:hAnsi="Arial"/>
                  <w:sz w:val="18"/>
                  <w:szCs w:val="18"/>
                  <w:color w:val="0000EE"/>
                  <w:w w:val="85"/>
                </w:rPr>
                <w:t>Signatures</w:t>
              </w:r>
            </w:hyperlink>
          </w:p>
        </w:tc>
        <w:tc>
          <w:tcPr>
            <w:tcW w:w="7100" w:type="dxa"/>
            <w:vAlign w:val="bottom"/>
            <w:gridSpan w:val="20"/>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8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gridSpan w:val="13"/>
          </w:tcPr>
          <w:p>
            <w:pPr>
              <w:jc w:val="center"/>
              <w:ind w:left="315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82,936</w:t>
            </w:r>
          </w:p>
        </w:tc>
        <w:tc>
          <w:tcPr>
            <w:tcW w:w="520" w:type="dxa"/>
            <w:vAlign w:val="bottom"/>
            <w:shd w:val="clear" w:color="auto" w:fill="CCEEFF"/>
          </w:tcPr>
          <w:p>
            <w:pPr>
              <w:spacing w:after="0"/>
              <w:rPr>
                <w:sz w:val="18"/>
                <w:szCs w:val="18"/>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1,012</w:t>
            </w:r>
          </w:p>
        </w:tc>
        <w:tc>
          <w:tcPr>
            <w:tcW w:w="52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20" w:type="dxa"/>
            <w:vAlign w:val="bottom"/>
            <w:shd w:val="clear" w:color="auto" w:fill="CCEEFF"/>
          </w:tcPr>
          <w:p>
            <w:pPr>
              <w:spacing w:after="0"/>
              <w:rPr>
                <w:sz w:val="18"/>
                <w:szCs w:val="18"/>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Accounts receivable - trade, net of allowance of $32 and $33, respectively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48,668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59,850</w:t>
            </w:r>
          </w:p>
        </w:tc>
        <w:tc>
          <w:tcPr>
            <w:tcW w:w="52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75,768</w:t>
            </w:r>
          </w:p>
        </w:tc>
        <w:tc>
          <w:tcPr>
            <w:tcW w:w="520" w:type="dxa"/>
            <w:vAlign w:val="bottom"/>
            <w:shd w:val="clear" w:color="auto" w:fill="CCEEFF"/>
          </w:tcPr>
          <w:p>
            <w:pPr>
              <w:spacing w:after="0"/>
              <w:rPr>
                <w:sz w:val="18"/>
                <w:szCs w:val="18"/>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Prepaid income tax</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1,394</w:t>
            </w:r>
          </w:p>
        </w:tc>
        <w:tc>
          <w:tcPr>
            <w:tcW w:w="52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520" w:type="dxa"/>
            <w:vAlign w:val="bottom"/>
            <w:shd w:val="clear" w:color="auto" w:fill="CCEEFF"/>
          </w:tcPr>
          <w:p>
            <w:pPr>
              <w:spacing w:after="0"/>
              <w:rPr>
                <w:sz w:val="18"/>
                <w:szCs w:val="18"/>
                <w:color w:val="auto"/>
              </w:rPr>
            </w:pPr>
          </w:p>
        </w:tc>
      </w:tr>
      <w:tr>
        <w:trPr>
          <w:trHeight w:val="210"/>
        </w:trPr>
        <w:tc>
          <w:tcPr>
            <w:tcW w:w="63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230,588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229,697</w:t>
            </w:r>
          </w:p>
        </w:tc>
        <w:tc>
          <w:tcPr>
            <w:tcW w:w="52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197,943</w:t>
            </w:r>
          </w:p>
        </w:tc>
        <w:tc>
          <w:tcPr>
            <w:tcW w:w="520" w:type="dxa"/>
            <w:vAlign w:val="bottom"/>
            <w:shd w:val="clear" w:color="auto" w:fill="CCEEFF"/>
          </w:tcPr>
          <w:p>
            <w:pPr>
              <w:spacing w:after="0"/>
              <w:rPr>
                <w:sz w:val="18"/>
                <w:szCs w:val="18"/>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Land use rights,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804</w:t>
            </w:r>
          </w:p>
        </w:tc>
        <w:tc>
          <w:tcPr>
            <w:tcW w:w="52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520" w:type="dxa"/>
            <w:vAlign w:val="bottom"/>
            <w:shd w:val="clear" w:color="auto" w:fill="CCEEFF"/>
          </w:tcPr>
          <w:p>
            <w:pPr>
              <w:spacing w:after="0"/>
              <w:rPr>
                <w:sz w:val="18"/>
                <w:szCs w:val="18"/>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Deferred income tax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12,801</w:t>
            </w:r>
          </w:p>
        </w:tc>
        <w:tc>
          <w:tcPr>
            <w:tcW w:w="52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 net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520" w:type="dxa"/>
            <w:vAlign w:val="bottom"/>
            <w:shd w:val="clear" w:color="auto" w:fill="CCEEFF"/>
          </w:tcPr>
          <w:p>
            <w:pPr>
              <w:spacing w:after="0"/>
              <w:rPr>
                <w:sz w:val="18"/>
                <w:szCs w:val="18"/>
                <w:color w:val="auto"/>
              </w:rPr>
            </w:pPr>
          </w:p>
        </w:tc>
      </w:tr>
      <w:tr>
        <w:trPr>
          <w:trHeight w:val="217"/>
        </w:trPr>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472,204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452,984</w:t>
            </w:r>
          </w:p>
        </w:tc>
        <w:tc>
          <w:tcPr>
            <w:tcW w:w="520" w:type="dxa"/>
            <w:vAlign w:val="bottom"/>
            <w:tcBorders>
              <w:bottom w:val="single" w:sz="8" w:color="CCEEFF"/>
            </w:tcBorders>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notes payable and long-term debt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520" w:type="dxa"/>
            <w:vAlign w:val="bottom"/>
            <w:shd w:val="clear" w:color="auto" w:fill="CCEEFF"/>
          </w:tcPr>
          <w:p>
            <w:pPr>
              <w:spacing w:after="0"/>
              <w:rPr>
                <w:sz w:val="18"/>
                <w:szCs w:val="18"/>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51,429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43,624</w:t>
            </w:r>
          </w:p>
        </w:tc>
        <w:tc>
          <w:tcPr>
            <w:tcW w:w="52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income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52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19,103</w:t>
            </w:r>
          </w:p>
        </w:tc>
        <w:tc>
          <w:tcPr>
            <w:tcW w:w="520" w:type="dxa"/>
            <w:vAlign w:val="bottom"/>
            <w:tcBorders>
              <w:bottom w:val="single" w:sz="8" w:color="CCEEFF"/>
            </w:tcBorders>
          </w:tcPr>
          <w:p>
            <w:pPr>
              <w:spacing w:after="0"/>
              <w:rPr>
                <w:sz w:val="18"/>
                <w:szCs w:val="18"/>
                <w:color w:val="auto"/>
              </w:rPr>
            </w:pPr>
          </w:p>
        </w:tc>
      </w:tr>
      <w:tr>
        <w:trPr>
          <w:trHeight w:val="210"/>
        </w:trPr>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70,708</w:t>
            </w:r>
          </w:p>
        </w:tc>
        <w:tc>
          <w:tcPr>
            <w:tcW w:w="52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Notes payable and long-term debt, less current portion</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57,868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49,000</w:t>
            </w:r>
          </w:p>
        </w:tc>
        <w:tc>
          <w:tcPr>
            <w:tcW w:w="520" w:type="dxa"/>
            <w:vAlign w:val="bottom"/>
            <w:tcBorders>
              <w:bottom w:val="single" w:sz="8" w:color="CCEEFF"/>
            </w:tcBorders>
          </w:tcPr>
          <w:p>
            <w:pPr>
              <w:spacing w:after="0"/>
              <w:rPr>
                <w:sz w:val="18"/>
                <w:szCs w:val="18"/>
                <w:color w:val="auto"/>
              </w:rPr>
            </w:pPr>
          </w:p>
        </w:tc>
      </w:tr>
      <w:tr>
        <w:trPr>
          <w:trHeight w:val="210"/>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129,573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119,708</w:t>
            </w:r>
          </w:p>
        </w:tc>
        <w:tc>
          <w:tcPr>
            <w:tcW w:w="520" w:type="dxa"/>
            <w:vAlign w:val="bottom"/>
            <w:shd w:val="clear" w:color="auto" w:fill="CCEEFF"/>
          </w:tcPr>
          <w:p>
            <w:pPr>
              <w:spacing w:after="0"/>
              <w:rPr>
                <w:sz w:val="18"/>
                <w:szCs w:val="18"/>
                <w:color w:val="auto"/>
              </w:rPr>
            </w:pPr>
          </w:p>
        </w:tc>
      </w:tr>
      <w:tr>
        <w:trPr>
          <w:trHeight w:val="210"/>
        </w:trPr>
        <w:tc>
          <w:tcPr>
            <w:tcW w:w="638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2"/>
        </w:trPr>
        <w:tc>
          <w:tcPr>
            <w:tcW w:w="63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Preferred Stock; 5,000 shares authorized at $0.001 par value; no shares issued and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30"/>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 at June 30, 2018 and December 31, 2017, respectively</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r>
      <w:tr>
        <w:trPr>
          <w:trHeight w:val="202"/>
        </w:trPr>
        <w:tc>
          <w:tcPr>
            <w:tcW w:w="6380" w:type="dxa"/>
            <w:vAlign w:val="bottom"/>
          </w:tcPr>
          <w:p>
            <w:pPr>
              <w:ind w:left="120"/>
              <w:spacing w:after="0" w:line="201" w:lineRule="exact"/>
              <w:rPr>
                <w:sz w:val="20"/>
                <w:szCs w:val="20"/>
                <w:color w:val="auto"/>
              </w:rPr>
            </w:pPr>
            <w:r>
              <w:rPr>
                <w:rFonts w:ascii="Arial" w:cs="Arial" w:eastAsia="Arial" w:hAnsi="Arial"/>
                <w:sz w:val="18"/>
                <w:szCs w:val="18"/>
                <w:color w:val="auto"/>
                <w:w w:val="95"/>
              </w:rPr>
              <w:t>Common Stock; 45,000 shares authorized at $0.001 par value; 19,634 and 19,451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0"/>
        </w:trPr>
        <w:tc>
          <w:tcPr>
            <w:tcW w:w="6380" w:type="dxa"/>
            <w:vAlign w:val="bottom"/>
          </w:tcPr>
          <w:p>
            <w:pPr>
              <w:ind w:left="120"/>
              <w:spacing w:after="0"/>
              <w:rPr>
                <w:sz w:val="20"/>
                <w:szCs w:val="20"/>
                <w:color w:val="auto"/>
              </w:rPr>
            </w:pPr>
            <w:r>
              <w:rPr>
                <w:rFonts w:ascii="Arial" w:cs="Arial" w:eastAsia="Arial" w:hAnsi="Arial"/>
                <w:sz w:val="18"/>
                <w:szCs w:val="18"/>
                <w:color w:val="auto"/>
                <w:w w:val="90"/>
              </w:rPr>
              <w:t>shares issued and outstanding at June 30, 2018 and December 31, 2017, respectively</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20"/>
                <w:szCs w:val="20"/>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285,376</w:t>
            </w:r>
          </w:p>
        </w:tc>
        <w:tc>
          <w:tcPr>
            <w:tcW w:w="520" w:type="dxa"/>
            <w:vAlign w:val="bottom"/>
            <w:shd w:val="clear" w:color="auto" w:fill="CCEEFF"/>
          </w:tcPr>
          <w:p>
            <w:pPr>
              <w:spacing w:after="0"/>
              <w:rPr>
                <w:sz w:val="18"/>
                <w:szCs w:val="18"/>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9,743</w:t>
            </w:r>
          </w:p>
        </w:tc>
        <w:tc>
          <w:tcPr>
            <w:tcW w:w="52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38,138</w:t>
            </w:r>
          </w:p>
        </w:tc>
        <w:tc>
          <w:tcPr>
            <w:tcW w:w="520" w:type="dxa"/>
            <w:vAlign w:val="bottom"/>
            <w:shd w:val="clear" w:color="auto" w:fill="CCEEFF"/>
          </w:tcPr>
          <w:p>
            <w:pPr>
              <w:spacing w:after="0"/>
              <w:rPr>
                <w:sz w:val="18"/>
                <w:szCs w:val="18"/>
                <w:color w:val="auto"/>
              </w:rPr>
            </w:pPr>
          </w:p>
        </w:tc>
      </w:tr>
      <w:tr>
        <w:trPr>
          <w:trHeight w:val="210"/>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342,631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333,276</w:t>
            </w:r>
          </w:p>
        </w:tc>
        <w:tc>
          <w:tcPr>
            <w:tcW w:w="520" w:type="dxa"/>
            <w:vAlign w:val="bottom"/>
            <w:tcBorders>
              <w:bottom w:val="single" w:sz="8" w:color="CCEEFF"/>
            </w:tcBorders>
          </w:tcPr>
          <w:p>
            <w:pPr>
              <w:spacing w:after="0"/>
              <w:rPr>
                <w:sz w:val="18"/>
                <w:szCs w:val="18"/>
                <w:color w:val="auto"/>
              </w:rPr>
            </w:pPr>
          </w:p>
        </w:tc>
      </w:tr>
      <w:tr>
        <w:trPr>
          <w:trHeight w:val="217"/>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472,204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452,984</w:t>
            </w:r>
          </w:p>
        </w:tc>
        <w:tc>
          <w:tcPr>
            <w:tcW w:w="52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OPERATIONS (Unaudited,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42"/>
        </w:trPr>
        <w:tc>
          <w:tcPr>
            <w:tcW w:w="4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213,595</w:t>
            </w:r>
          </w:p>
        </w:tc>
        <w:tc>
          <w:tcPr>
            <w:tcW w:w="160" w:type="dxa"/>
            <w:vAlign w:val="bottom"/>
            <w:shd w:val="clear" w:color="auto" w:fill="CCEEFF"/>
          </w:tcPr>
          <w:p>
            <w:pPr>
              <w:spacing w:after="0"/>
              <w:rPr>
                <w:sz w:val="18"/>
                <w:szCs w:val="18"/>
                <w:color w:val="auto"/>
              </w:rPr>
            </w:pP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64,089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93,362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118,841</w:t>
            </w:r>
          </w:p>
        </w:tc>
        <w:tc>
          <w:tcPr>
            <w:tcW w:w="160" w:type="dxa"/>
            <w:vAlign w:val="bottom"/>
            <w:tcBorders>
              <w:bottom w:val="single" w:sz="8" w:color="CCEEFF"/>
            </w:tcBorders>
          </w:tcPr>
          <w:p>
            <w:pPr>
              <w:spacing w:after="0"/>
              <w:rPr>
                <w:sz w:val="18"/>
                <w:szCs w:val="18"/>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94,754</w:t>
            </w:r>
          </w:p>
        </w:tc>
        <w:tc>
          <w:tcPr>
            <w:tcW w:w="160" w:type="dxa"/>
            <w:vAlign w:val="bottom"/>
            <w:shd w:val="clear" w:color="auto" w:fill="CCEEFF"/>
          </w:tcPr>
          <w:p>
            <w:pPr>
              <w:spacing w:after="0"/>
              <w:rPr>
                <w:sz w:val="18"/>
                <w:szCs w:val="18"/>
                <w:color w:val="auto"/>
              </w:rPr>
            </w:pPr>
          </w:p>
        </w:tc>
      </w:tr>
      <w:tr>
        <w:trPr>
          <w:trHeight w:val="210"/>
        </w:trPr>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15,505</w:t>
            </w:r>
          </w:p>
        </w:tc>
        <w:tc>
          <w:tcPr>
            <w:tcW w:w="160" w:type="dxa"/>
            <w:vAlign w:val="bottom"/>
            <w:shd w:val="clear" w:color="auto" w:fill="CCEEFF"/>
          </w:tcPr>
          <w:p>
            <w:pPr>
              <w:spacing w:after="0"/>
              <w:rPr>
                <w:sz w:val="18"/>
                <w:szCs w:val="18"/>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4,061</w:t>
            </w: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16,608</w:t>
            </w:r>
          </w:p>
        </w:tc>
        <w:tc>
          <w:tcPr>
            <w:tcW w:w="160" w:type="dxa"/>
            <w:vAlign w:val="bottom"/>
            <w:shd w:val="clear" w:color="auto" w:fill="CCEEFF"/>
          </w:tcPr>
          <w:p>
            <w:pPr>
              <w:spacing w:after="0"/>
              <w:rPr>
                <w:sz w:val="18"/>
                <w:szCs w:val="18"/>
                <w:color w:val="auto"/>
              </w:rPr>
            </w:pPr>
          </w:p>
        </w:tc>
      </w:tr>
      <w:tr>
        <w:trPr>
          <w:trHeight w:val="210"/>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48,586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36,174</w:t>
            </w:r>
          </w:p>
        </w:tc>
        <w:tc>
          <w:tcPr>
            <w:tcW w:w="160" w:type="dxa"/>
            <w:vAlign w:val="bottom"/>
            <w:tcBorders>
              <w:bottom w:val="single" w:sz="8" w:color="CCEEFF"/>
            </w:tcBorders>
          </w:tcPr>
          <w:p>
            <w:pPr>
              <w:spacing w:after="0"/>
              <w:rPr>
                <w:sz w:val="18"/>
                <w:szCs w:val="18"/>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58,580</w:t>
            </w:r>
          </w:p>
        </w:tc>
        <w:tc>
          <w:tcPr>
            <w:tcW w:w="160" w:type="dxa"/>
            <w:vAlign w:val="bottom"/>
            <w:shd w:val="clear" w:color="auto" w:fill="CCEEFF"/>
          </w:tcPr>
          <w:p>
            <w:pPr>
              <w:spacing w:after="0"/>
              <w:rPr>
                <w:sz w:val="18"/>
                <w:szCs w:val="18"/>
                <w:color w:val="auto"/>
              </w:rPr>
            </w:pPr>
          </w:p>
        </w:tc>
      </w:tr>
      <w:tr>
        <w:trPr>
          <w:trHeight w:val="210"/>
        </w:trPr>
        <w:tc>
          <w:tcPr>
            <w:tcW w:w="43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(544)</w:t>
            </w: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w:t>
            </w:r>
          </w:p>
        </w:tc>
      </w:tr>
      <w:tr>
        <w:trPr>
          <w:trHeight w:val="210"/>
        </w:trPr>
        <w:tc>
          <w:tcPr>
            <w:tcW w:w="434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57,597</w:t>
            </w:r>
          </w:p>
        </w:tc>
        <w:tc>
          <w:tcPr>
            <w:tcW w:w="16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(5,083)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(8,737)</w:t>
            </w:r>
          </w:p>
        </w:tc>
      </w:tr>
      <w:tr>
        <w:trPr>
          <w:trHeight w:val="230"/>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4340" w:type="dxa"/>
            <w:vAlign w:val="bottom"/>
          </w:tcPr>
          <w:p>
            <w:pPr>
              <w:spacing w:after="0" w:line="203" w:lineRule="exact"/>
              <w:rPr>
                <w:sz w:val="20"/>
                <w:szCs w:val="20"/>
                <w:color w:val="auto"/>
              </w:rPr>
            </w:pPr>
            <w:r>
              <w:rPr>
                <w:rFonts w:ascii="Arial" w:cs="Arial" w:eastAsia="Arial" w:hAnsi="Arial"/>
                <w:sz w:val="18"/>
                <w:szCs w:val="18"/>
                <w:color w:val="auto"/>
              </w:rPr>
              <w:t>Net income per share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0.51</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w w:val="92"/>
              </w:rPr>
              <w:t>Weighted average shares used to compute net income per</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share:</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19,590,164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19,081,034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19,541,478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18,840,656</w:t>
            </w:r>
          </w:p>
        </w:tc>
        <w:tc>
          <w:tcPr>
            <w:tcW w:w="160" w:type="dxa"/>
            <w:vAlign w:val="bottom"/>
            <w:shd w:val="clear" w:color="auto" w:fill="CCEEFF"/>
          </w:tcPr>
          <w:p>
            <w:pPr>
              <w:spacing w:after="0"/>
              <w:rPr>
                <w:sz w:val="18"/>
                <w:szCs w:val="18"/>
                <w:color w:val="auto"/>
              </w:rPr>
            </w:pP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20,079,702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20,367,127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20,012,344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19,956,097</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6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6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5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$ 29,071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48,860</w:t>
            </w:r>
          </w:p>
        </w:tc>
        <w:tc>
          <w:tcPr>
            <w:tcW w:w="16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Gain (loss) on foreign currency translation adjustment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(10,445)</w:t>
            </w:r>
          </w:p>
        </w:tc>
        <w:tc>
          <w:tcPr>
            <w:tcW w:w="700" w:type="dxa"/>
            <w:vAlign w:val="bottom"/>
          </w:tcPr>
          <w:p>
            <w:pPr>
              <w:jc w:val="right"/>
              <w:spacing w:after="0"/>
              <w:rPr>
                <w:sz w:val="20"/>
                <w:szCs w:val="20"/>
                <w:color w:val="auto"/>
              </w:rPr>
            </w:pPr>
            <w:r>
              <w:rPr>
                <w:rFonts w:ascii="Arial" w:cs="Arial" w:eastAsia="Arial" w:hAnsi="Arial"/>
                <w:sz w:val="18"/>
                <w:szCs w:val="18"/>
                <w:color w:val="auto"/>
              </w:rPr>
              <w:t>797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(4,110)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5,254</w:t>
            </w:r>
          </w:p>
        </w:tc>
        <w:tc>
          <w:tcPr>
            <w:tcW w:w="160" w:type="dxa"/>
            <w:vAlign w:val="bottom"/>
          </w:tcPr>
          <w:p>
            <w:pPr>
              <w:spacing w:after="0"/>
              <w:rPr>
                <w:sz w:val="18"/>
                <w:szCs w:val="18"/>
                <w:color w:val="auto"/>
              </w:rPr>
            </w:pPr>
          </w:p>
        </w:tc>
      </w:tr>
      <w:tr>
        <w:trPr>
          <w:trHeight w:val="217"/>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$ 29,868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54,114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Six months ended June 30, 2018</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vMerge w:val="restart"/>
          </w:tcPr>
          <w:p>
            <w:pPr>
              <w:spacing w:after="0"/>
              <w:rPr>
                <w:sz w:val="14"/>
                <w:szCs w:val="14"/>
                <w:color w:val="auto"/>
              </w:rPr>
            </w:pPr>
          </w:p>
        </w:tc>
        <w:tc>
          <w:tcPr>
            <w:tcW w:w="122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0" w:type="dxa"/>
            <w:vAlign w:val="bottom"/>
            <w:tcBorders>
              <w:bottom w:val="single" w:sz="8" w:color="auto"/>
            </w:tcBorders>
            <w:gridSpan w:val="4"/>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2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5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Number</w:t>
            </w:r>
          </w:p>
        </w:tc>
        <w:tc>
          <w:tcPr>
            <w:tcW w:w="8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49"/>
              <w:spacing w:after="0" w:line="119" w:lineRule="exact"/>
              <w:rPr>
                <w:sz w:val="20"/>
                <w:szCs w:val="20"/>
                <w:color w:val="auto"/>
              </w:rPr>
            </w:pPr>
            <w:r>
              <w:rPr>
                <w:rFonts w:ascii="Arial" w:cs="Arial" w:eastAsia="Arial" w:hAnsi="Arial"/>
                <w:sz w:val="13"/>
                <w:szCs w:val="13"/>
                <w:b w:val="1"/>
                <w:bCs w:val="1"/>
                <w:color w:val="auto"/>
                <w:w w:val="98"/>
              </w:rPr>
              <w:t>paid-in</w:t>
            </w:r>
          </w:p>
        </w:tc>
        <w:tc>
          <w:tcPr>
            <w:tcW w:w="160" w:type="dxa"/>
            <w:vAlign w:val="bottom"/>
          </w:tcPr>
          <w:p>
            <w:pPr>
              <w:spacing w:after="0"/>
              <w:rPr>
                <w:sz w:val="10"/>
                <w:szCs w:val="10"/>
                <w:color w:val="auto"/>
              </w:rPr>
            </w:pPr>
          </w:p>
        </w:tc>
        <w:tc>
          <w:tcPr>
            <w:tcW w:w="9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4"/>
              </w:rPr>
              <w:t>comprehensive</w:t>
            </w:r>
          </w:p>
        </w:tc>
        <w:tc>
          <w:tcPr>
            <w:tcW w:w="16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0"/>
                <w:szCs w:val="10"/>
                <w:color w:val="auto"/>
              </w:rPr>
            </w:pPr>
          </w:p>
        </w:tc>
        <w:tc>
          <w:tcPr>
            <w:tcW w:w="960" w:type="dxa"/>
            <w:vAlign w:val="bottom"/>
            <w:gridSpan w:val="2"/>
          </w:tcPr>
          <w:p>
            <w:pPr>
              <w:jc w:val="right"/>
              <w:ind w:right="28"/>
              <w:spacing w:after="0" w:line="119" w:lineRule="exact"/>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86"/>
              </w:rPr>
              <w:t>of shares</w:t>
            </w:r>
          </w:p>
        </w:tc>
        <w:tc>
          <w:tcPr>
            <w:tcW w:w="800" w:type="dxa"/>
            <w:vAlign w:val="bottom"/>
            <w:gridSpan w:val="4"/>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3"/>
              </w:rPr>
              <w:t>of shares</w:t>
            </w:r>
          </w:p>
        </w:tc>
        <w:tc>
          <w:tcPr>
            <w:tcW w:w="1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gain (loss)</w:t>
            </w:r>
          </w:p>
        </w:tc>
        <w:tc>
          <w:tcPr>
            <w:tcW w:w="1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earnings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January 1, 2018</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19,451</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285,376</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9,743</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$ 38,138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333,276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line="130" w:lineRule="exact"/>
              <w:rPr>
                <w:sz w:val="20"/>
                <w:szCs w:val="20"/>
                <w:color w:val="auto"/>
              </w:rPr>
            </w:pPr>
            <w:r>
              <w:rPr>
                <w:rFonts w:ascii="Arial" w:cs="Arial" w:eastAsia="Arial" w:hAnsi="Arial"/>
                <w:sz w:val="14"/>
                <w:szCs w:val="14"/>
                <w:color w:val="auto"/>
              </w:rPr>
              <w:t>Stock options exercised, net of shares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gridSpan w:val="2"/>
          </w:tcPr>
          <w:p>
            <w:pPr>
              <w:spacing w:after="0"/>
              <w:rPr>
                <w:sz w:val="20"/>
                <w:szCs w:val="20"/>
                <w:color w:val="auto"/>
              </w:rPr>
            </w:pPr>
            <w:r>
              <w:rPr>
                <w:rFonts w:ascii="Arial" w:cs="Arial" w:eastAsia="Arial" w:hAnsi="Arial"/>
                <w:sz w:val="14"/>
                <w:szCs w:val="14"/>
                <w:color w:val="auto"/>
              </w:rPr>
              <w:t>withheld for employee tax</w:t>
            </w: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(1,228)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restricted stock, net of shares</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withheld for employee tax</w:t>
            </w: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5,468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income</w:t>
            </w:r>
          </w:p>
        </w:tc>
        <w:tc>
          <w:tcPr>
            <w:tcW w:w="56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10,154</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10,154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June 30, 2018</w:t>
            </w: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288,686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5,633</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$ 48,292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342,631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820"/>
        <w:spacing w:after="0" w:line="266"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CASH FLOWS (Unaudited,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20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42"/>
        </w:trPr>
        <w:tc>
          <w:tcPr>
            <w:tcW w:w="70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r>
      <w:tr>
        <w:trPr>
          <w:trHeight w:val="196"/>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0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10,154</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48,860</w:t>
            </w:r>
          </w:p>
        </w:tc>
        <w:tc>
          <w:tcPr>
            <w:tcW w:w="220" w:type="dxa"/>
            <w:vAlign w:val="bottom"/>
          </w:tcPr>
          <w:p>
            <w:pPr>
              <w:spacing w:after="0"/>
              <w:rPr>
                <w:sz w:val="17"/>
                <w:szCs w:val="17"/>
                <w:color w:val="auto"/>
              </w:rPr>
            </w:pPr>
          </w:p>
        </w:tc>
      </w:tr>
      <w:tr>
        <w:trPr>
          <w:trHeight w:val="203"/>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net cash provided by</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020" w:type="dxa"/>
            <w:vAlign w:val="bottom"/>
          </w:tcPr>
          <w:p>
            <w:pPr>
              <w:ind w:left="220"/>
              <w:spacing w:after="0"/>
              <w:rPr>
                <w:sz w:val="20"/>
                <w:szCs w:val="20"/>
                <w:color w:val="auto"/>
              </w:rPr>
            </w:pPr>
            <w:r>
              <w:rPr>
                <w:rFonts w:ascii="Arial" w:cs="Arial" w:eastAsia="Arial" w:hAnsi="Arial"/>
                <w:sz w:val="16"/>
                <w:szCs w:val="16"/>
                <w:color w:val="auto"/>
              </w:rPr>
              <w:t>operating activities: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Lower of cost or market reserve adjustment to inventory</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220" w:type="dxa"/>
            <w:vAlign w:val="bottom"/>
            <w:shd w:val="clear" w:color="auto" w:fill="CCEEFF"/>
          </w:tcPr>
          <w:p>
            <w:pPr>
              <w:spacing w:after="0"/>
              <w:rPr>
                <w:sz w:val="17"/>
                <w:szCs w:val="17"/>
                <w:color w:val="auto"/>
              </w:rPr>
            </w:pPr>
          </w:p>
        </w:tc>
      </w:tr>
      <w:tr>
        <w:trPr>
          <w:trHeight w:val="203"/>
        </w:trPr>
        <w:tc>
          <w:tcPr>
            <w:tcW w:w="70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14,291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8,929</w:t>
            </w:r>
          </w:p>
        </w:tc>
        <w:tc>
          <w:tcPr>
            <w:tcW w:w="220" w:type="dxa"/>
            <w:vAlign w:val="bottom"/>
          </w:tcPr>
          <w:p>
            <w:pPr>
              <w:spacing w:after="0"/>
              <w:rPr>
                <w:sz w:val="17"/>
                <w:szCs w:val="17"/>
                <w:color w:val="auto"/>
              </w:rPr>
            </w:pPr>
          </w:p>
        </w:tc>
      </w:tr>
      <w:tr>
        <w:trPr>
          <w:trHeight w:val="203"/>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 net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(381)</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220" w:type="dxa"/>
            <w:vAlign w:val="bottom"/>
            <w:shd w:val="clear" w:color="auto" w:fill="CCEEFF"/>
          </w:tcPr>
          <w:p>
            <w:pPr>
              <w:spacing w:after="0"/>
              <w:rPr>
                <w:sz w:val="17"/>
                <w:szCs w:val="17"/>
                <w:color w:val="auto"/>
              </w:rPr>
            </w:pPr>
          </w:p>
        </w:tc>
      </w:tr>
      <w:tr>
        <w:trPr>
          <w:trHeight w:val="203"/>
        </w:trPr>
        <w:tc>
          <w:tcPr>
            <w:tcW w:w="7020" w:type="dxa"/>
            <w:vAlign w:val="bottom"/>
          </w:tcPr>
          <w:p>
            <w:pPr>
              <w:ind w:left="220"/>
              <w:spacing w:after="0"/>
              <w:rPr>
                <w:sz w:val="20"/>
                <w:szCs w:val="20"/>
                <w:color w:val="auto"/>
              </w:rPr>
            </w:pPr>
            <w:r>
              <w:rPr>
                <w:rFonts w:ascii="Arial" w:cs="Arial" w:eastAsia="Arial" w:hAnsi="Arial"/>
                <w:sz w:val="16"/>
                <w:szCs w:val="16"/>
                <w:color w:val="auto"/>
              </w:rPr>
              <w:t>Loss (gain) on disposal of assets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7"/>
                <w:szCs w:val="17"/>
                <w:color w:val="auto"/>
              </w:rPr>
            </w:pPr>
          </w:p>
        </w:tc>
      </w:tr>
      <w:tr>
        <w:trPr>
          <w:trHeight w:val="203"/>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3,767</w:t>
            </w:r>
          </w:p>
        </w:tc>
        <w:tc>
          <w:tcPr>
            <w:tcW w:w="220" w:type="dxa"/>
            <w:vAlign w:val="bottom"/>
            <w:shd w:val="clear" w:color="auto" w:fill="CCEEFF"/>
          </w:tcPr>
          <w:p>
            <w:pPr>
              <w:spacing w:after="0"/>
              <w:rPr>
                <w:sz w:val="17"/>
                <w:szCs w:val="17"/>
                <w:color w:val="auto"/>
              </w:rPr>
            </w:pPr>
          </w:p>
        </w:tc>
      </w:tr>
      <w:tr>
        <w:trPr>
          <w:trHeight w:val="203"/>
        </w:trPr>
        <w:tc>
          <w:tcPr>
            <w:tcW w:w="7020" w:type="dxa"/>
            <w:vAlign w:val="bottom"/>
          </w:tcPr>
          <w:p>
            <w:pPr>
              <w:ind w:left="220"/>
              <w:spacing w:after="0"/>
              <w:rPr>
                <w:sz w:val="20"/>
                <w:szCs w:val="20"/>
                <w:color w:val="auto"/>
              </w:rPr>
            </w:pPr>
            <w:r>
              <w:rPr>
                <w:rFonts w:ascii="Arial" w:cs="Arial" w:eastAsia="Arial" w:hAnsi="Arial"/>
                <w:sz w:val="16"/>
                <w:szCs w:val="16"/>
                <w:color w:val="auto"/>
              </w:rPr>
              <w:t>Unrealized foreign exchange gain</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(1,254)</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(254)</w:t>
            </w:r>
          </w:p>
        </w:tc>
      </w:tr>
      <w:tr>
        <w:trPr>
          <w:trHeight w:val="203"/>
        </w:trPr>
        <w:tc>
          <w:tcPr>
            <w:tcW w:w="7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020" w:type="dxa"/>
            <w:vAlign w:val="bottom"/>
          </w:tcPr>
          <w:p>
            <w:pPr>
              <w:ind w:left="220"/>
              <w:spacing w:after="0"/>
              <w:rPr>
                <w:sz w:val="20"/>
                <w:szCs w:val="20"/>
                <w:color w:val="auto"/>
              </w:rPr>
            </w:pPr>
            <w:r>
              <w:rPr>
                <w:rFonts w:ascii="Arial" w:cs="Arial" w:eastAsia="Arial" w:hAnsi="Arial"/>
                <w:sz w:val="16"/>
                <w:szCs w:val="16"/>
                <w:color w:val="auto"/>
              </w:rPr>
              <w:t>Accounts receivable, trade</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11,182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(23,992)</w:t>
            </w:r>
          </w:p>
        </w:tc>
      </w:tr>
      <w:tr>
        <w:trPr>
          <w:trHeight w:val="203"/>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income tax</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702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(21,614)</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(6,357)</w:t>
            </w:r>
          </w:p>
        </w:tc>
      </w:tr>
      <w:tr>
        <w:trPr>
          <w:trHeight w:val="203"/>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(1,489)</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(4,845)</w:t>
            </w:r>
          </w:p>
        </w:tc>
      </w:tr>
      <w:tr>
        <w:trPr>
          <w:trHeight w:val="203"/>
        </w:trPr>
        <w:tc>
          <w:tcPr>
            <w:tcW w:w="70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7,805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17,481</w:t>
            </w:r>
          </w:p>
        </w:tc>
        <w:tc>
          <w:tcPr>
            <w:tcW w:w="220" w:type="dxa"/>
            <w:vAlign w:val="bottom"/>
          </w:tcPr>
          <w:p>
            <w:pPr>
              <w:spacing w:after="0"/>
              <w:rPr>
                <w:sz w:val="17"/>
                <w:szCs w:val="17"/>
                <w:color w:val="auto"/>
              </w:rPr>
            </w:pPr>
          </w:p>
        </w:tc>
      </w:tr>
      <w:tr>
        <w:trPr>
          <w:trHeight w:val="203"/>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income taxes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(6,926)</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w:t>
            </w:r>
          </w:p>
        </w:tc>
        <w:tc>
          <w:tcPr>
            <w:tcW w:w="220" w:type="dxa"/>
            <w:vAlign w:val="bottom"/>
            <w:shd w:val="clear" w:color="auto" w:fill="CCEEFF"/>
          </w:tcPr>
          <w:p>
            <w:pPr>
              <w:spacing w:after="0"/>
              <w:rPr>
                <w:sz w:val="17"/>
                <w:szCs w:val="17"/>
                <w:color w:val="auto"/>
              </w:rPr>
            </w:pPr>
          </w:p>
        </w:tc>
      </w:tr>
      <w:tr>
        <w:trPr>
          <w:trHeight w:val="203"/>
        </w:trPr>
        <w:tc>
          <w:tcPr>
            <w:tcW w:w="702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(2,289)</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(928)</w:t>
            </w:r>
          </w:p>
        </w:tc>
      </w:tr>
      <w:tr>
        <w:trPr>
          <w:trHeight w:val="196"/>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18,079</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49,884</w:t>
            </w:r>
          </w:p>
        </w:tc>
        <w:tc>
          <w:tcPr>
            <w:tcW w:w="220" w:type="dxa"/>
            <w:vAlign w:val="bottom"/>
            <w:tcBorders>
              <w:top w:val="single" w:sz="8" w:color="CCEEFF"/>
            </w:tcBorders>
            <w:shd w:val="clear" w:color="auto" w:fill="CCEEFF"/>
          </w:tcPr>
          <w:p>
            <w:pPr>
              <w:spacing w:after="0"/>
              <w:rPr>
                <w:sz w:val="17"/>
                <w:szCs w:val="17"/>
                <w:color w:val="auto"/>
              </w:rPr>
            </w:pPr>
          </w:p>
        </w:tc>
      </w:tr>
      <w:tr>
        <w:trPr>
          <w:trHeight w:val="193"/>
        </w:trPr>
        <w:tc>
          <w:tcPr>
            <w:tcW w:w="7020" w:type="dxa"/>
            <w:vAlign w:val="bottom"/>
          </w:tcPr>
          <w:p>
            <w:pPr>
              <w:spacing w:after="0"/>
              <w:rPr>
                <w:sz w:val="20"/>
                <w:szCs w:val="20"/>
                <w:color w:val="auto"/>
              </w:rPr>
            </w:pPr>
            <w:r>
              <w:rPr>
                <w:rFonts w:ascii="Arial" w:cs="Arial" w:eastAsia="Arial" w:hAnsi="Arial"/>
                <w:sz w:val="16"/>
                <w:szCs w:val="16"/>
                <w:color w:val="auto"/>
              </w:rPr>
              <w:t>Investing activities:</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6"/>
        </w:trPr>
        <w:tc>
          <w:tcPr>
            <w:tcW w:w="7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Maturities of short-term investments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7"/>
                <w:szCs w:val="17"/>
                <w:color w:val="auto"/>
              </w:rPr>
            </w:pPr>
          </w:p>
        </w:tc>
      </w:tr>
      <w:tr>
        <w:trPr>
          <w:trHeight w:val="203"/>
        </w:trPr>
        <w:tc>
          <w:tcPr>
            <w:tcW w:w="7020" w:type="dxa"/>
            <w:vAlign w:val="bottom"/>
          </w:tcPr>
          <w:p>
            <w:pPr>
              <w:ind w:left="120"/>
              <w:spacing w:after="0"/>
              <w:rPr>
                <w:sz w:val="20"/>
                <w:szCs w:val="20"/>
                <w:color w:val="auto"/>
              </w:rPr>
            </w:pPr>
            <w:r>
              <w:rPr>
                <w:rFonts w:ascii="Arial" w:cs="Arial" w:eastAsia="Arial" w:hAnsi="Arial"/>
                <w:sz w:val="16"/>
                <w:szCs w:val="16"/>
                <w:color w:val="auto"/>
              </w:rPr>
              <w:t>Purchase of property, plant and equipment</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(30,895)</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(26,687)</w:t>
            </w:r>
          </w:p>
        </w:tc>
      </w:tr>
      <w:tr>
        <w:trPr>
          <w:trHeight w:val="203"/>
        </w:trPr>
        <w:tc>
          <w:tcPr>
            <w:tcW w:w="7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land use rights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(5,591)</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7020" w:type="dxa"/>
            <w:vAlign w:val="bottom"/>
          </w:tcPr>
          <w:p>
            <w:pPr>
              <w:ind w:left="120"/>
              <w:spacing w:after="0"/>
              <w:rPr>
                <w:sz w:val="20"/>
                <w:szCs w:val="20"/>
                <w:color w:val="auto"/>
              </w:rPr>
            </w:pPr>
            <w:r>
              <w:rPr>
                <w:rFonts w:ascii="Arial" w:cs="Arial" w:eastAsia="Arial" w:hAnsi="Arial"/>
                <w:sz w:val="16"/>
                <w:szCs w:val="16"/>
                <w:color w:val="auto"/>
              </w:rPr>
              <w:t>Proceeds from disposal of equipment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170</w:t>
            </w:r>
          </w:p>
        </w:tc>
        <w:tc>
          <w:tcPr>
            <w:tcW w:w="220" w:type="dxa"/>
            <w:vAlign w:val="bottom"/>
          </w:tcPr>
          <w:p>
            <w:pPr>
              <w:spacing w:after="0"/>
              <w:rPr>
                <w:sz w:val="17"/>
                <w:szCs w:val="17"/>
                <w:color w:val="auto"/>
              </w:rPr>
            </w:pPr>
          </w:p>
        </w:tc>
      </w:tr>
      <w:tr>
        <w:trPr>
          <w:trHeight w:val="203"/>
        </w:trPr>
        <w:tc>
          <w:tcPr>
            <w:tcW w:w="7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Deposits and prepaid for equipment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(3,838)</w:t>
            </w:r>
          </w:p>
        </w:tc>
      </w:tr>
      <w:tr>
        <w:trPr>
          <w:trHeight w:val="203"/>
        </w:trPr>
        <w:tc>
          <w:tcPr>
            <w:tcW w:w="7020" w:type="dxa"/>
            <w:vAlign w:val="bottom"/>
          </w:tcPr>
          <w:p>
            <w:pPr>
              <w:ind w:left="120"/>
              <w:spacing w:after="0"/>
              <w:rPr>
                <w:sz w:val="20"/>
                <w:szCs w:val="20"/>
                <w:color w:val="auto"/>
              </w:rPr>
            </w:pPr>
            <w:r>
              <w:rPr>
                <w:rFonts w:ascii="Arial" w:cs="Arial" w:eastAsia="Arial" w:hAnsi="Arial"/>
                <w:sz w:val="16"/>
                <w:szCs w:val="16"/>
                <w:color w:val="auto"/>
              </w:rPr>
              <w:t>Purchase of intangible assets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(225)</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(251)</w:t>
            </w:r>
          </w:p>
        </w:tc>
      </w:tr>
      <w:tr>
        <w:trPr>
          <w:trHeight w:val="196"/>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(35,220)</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(30,604)</w:t>
            </w:r>
          </w:p>
        </w:tc>
        <w:tc>
          <w:tcPr>
            <w:tcW w:w="220" w:type="dxa"/>
            <w:vAlign w:val="bottom"/>
            <w:tcBorders>
              <w:top w:val="single" w:sz="8" w:color="CCEEFF"/>
            </w:tcBorders>
            <w:shd w:val="clear" w:color="auto" w:fill="CCEEFF"/>
          </w:tcPr>
          <w:p>
            <w:pPr>
              <w:spacing w:after="0"/>
              <w:rPr>
                <w:sz w:val="17"/>
                <w:szCs w:val="17"/>
                <w:color w:val="auto"/>
              </w:rPr>
            </w:pPr>
          </w:p>
        </w:tc>
      </w:tr>
      <w:tr>
        <w:trPr>
          <w:trHeight w:val="193"/>
        </w:trPr>
        <w:tc>
          <w:tcPr>
            <w:tcW w:w="7020" w:type="dxa"/>
            <w:vAlign w:val="bottom"/>
          </w:tcPr>
          <w:p>
            <w:pPr>
              <w:spacing w:after="0"/>
              <w:rPr>
                <w:sz w:val="20"/>
                <w:szCs w:val="20"/>
                <w:color w:val="auto"/>
              </w:rPr>
            </w:pPr>
            <w:r>
              <w:rPr>
                <w:rFonts w:ascii="Arial" w:cs="Arial" w:eastAsia="Arial" w:hAnsi="Arial"/>
                <w:sz w:val="16"/>
                <w:szCs w:val="16"/>
                <w:color w:val="auto"/>
              </w:rPr>
              <w:t>Financing activities:</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6"/>
        </w:trPr>
        <w:tc>
          <w:tcPr>
            <w:tcW w:w="7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notes payable and long-term debt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7020" w:type="dxa"/>
            <w:vAlign w:val="bottom"/>
          </w:tcPr>
          <w:p>
            <w:pPr>
              <w:ind w:left="120"/>
              <w:spacing w:after="0"/>
              <w:rPr>
                <w:sz w:val="20"/>
                <w:szCs w:val="20"/>
                <w:color w:val="auto"/>
              </w:rPr>
            </w:pPr>
            <w:r>
              <w:rPr>
                <w:rFonts w:ascii="Arial" w:cs="Arial" w:eastAsia="Arial" w:hAnsi="Arial"/>
                <w:sz w:val="16"/>
                <w:szCs w:val="16"/>
                <w:color w:val="auto"/>
              </w:rPr>
              <w:t>Principal payments of long-term debt and notes payable</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(1,093)</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(15,911)</w:t>
            </w:r>
          </w:p>
        </w:tc>
      </w:tr>
      <w:tr>
        <w:trPr>
          <w:trHeight w:val="203"/>
        </w:trPr>
        <w:tc>
          <w:tcPr>
            <w:tcW w:w="7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line of credit borrowings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79,953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7020" w:type="dxa"/>
            <w:vAlign w:val="bottom"/>
          </w:tcPr>
          <w:p>
            <w:pPr>
              <w:ind w:left="120"/>
              <w:spacing w:after="0"/>
              <w:rPr>
                <w:sz w:val="20"/>
                <w:szCs w:val="20"/>
                <w:color w:val="auto"/>
              </w:rPr>
            </w:pPr>
            <w:r>
              <w:rPr>
                <w:rFonts w:ascii="Arial" w:cs="Arial" w:eastAsia="Arial" w:hAnsi="Arial"/>
                <w:sz w:val="16"/>
                <w:szCs w:val="16"/>
                <w:color w:val="auto"/>
              </w:rPr>
              <w:t>Repayments of line of credit borrowings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(93,953)</w:t>
            </w:r>
          </w:p>
        </w:tc>
        <w:tc>
          <w:tcPr>
            <w:tcW w:w="16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7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bank acceptance payable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(307)</w:t>
            </w:r>
          </w:p>
        </w:tc>
      </w:tr>
      <w:tr>
        <w:trPr>
          <w:trHeight w:val="203"/>
        </w:trPr>
        <w:tc>
          <w:tcPr>
            <w:tcW w:w="7020" w:type="dxa"/>
            <w:vAlign w:val="bottom"/>
          </w:tcPr>
          <w:p>
            <w:pPr>
              <w:ind w:left="120"/>
              <w:spacing w:after="0"/>
              <w:rPr>
                <w:sz w:val="20"/>
                <w:szCs w:val="20"/>
                <w:color w:val="auto"/>
              </w:rPr>
            </w:pPr>
            <w:r>
              <w:rPr>
                <w:rFonts w:ascii="Arial" w:cs="Arial" w:eastAsia="Arial" w:hAnsi="Arial"/>
                <w:sz w:val="16"/>
                <w:szCs w:val="16"/>
                <w:color w:val="auto"/>
              </w:rPr>
              <w:t>Exercise of stock options</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1,301</w:t>
            </w:r>
          </w:p>
        </w:tc>
        <w:tc>
          <w:tcPr>
            <w:tcW w:w="220" w:type="dxa"/>
            <w:vAlign w:val="bottom"/>
          </w:tcPr>
          <w:p>
            <w:pPr>
              <w:spacing w:after="0"/>
              <w:rPr>
                <w:sz w:val="17"/>
                <w:szCs w:val="17"/>
                <w:color w:val="auto"/>
              </w:rPr>
            </w:pPr>
          </w:p>
        </w:tc>
      </w:tr>
      <w:tr>
        <w:trPr>
          <w:trHeight w:val="203"/>
        </w:trPr>
        <w:tc>
          <w:tcPr>
            <w:tcW w:w="7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tax withholding on behalf of employees related to share-based compensation</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(2,212)</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(1,843)</w:t>
            </w:r>
          </w:p>
        </w:tc>
      </w:tr>
      <w:tr>
        <w:trPr>
          <w:trHeight w:val="203"/>
        </w:trPr>
        <w:tc>
          <w:tcPr>
            <w:tcW w:w="7020" w:type="dxa"/>
            <w:vAlign w:val="bottom"/>
          </w:tcPr>
          <w:p>
            <w:pPr>
              <w:ind w:left="120"/>
              <w:spacing w:after="0"/>
              <w:rPr>
                <w:sz w:val="20"/>
                <w:szCs w:val="20"/>
                <w:color w:val="auto"/>
              </w:rPr>
            </w:pPr>
            <w:r>
              <w:rPr>
                <w:rFonts w:ascii="Arial" w:cs="Arial" w:eastAsia="Arial" w:hAnsi="Arial"/>
                <w:sz w:val="16"/>
                <w:szCs w:val="16"/>
                <w:color w:val="auto"/>
              </w:rPr>
              <w:t>Proceeds from common stock offering, net</w:t>
            </w:r>
          </w:p>
        </w:tc>
        <w:tc>
          <w:tcPr>
            <w:tcW w:w="16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21,572</w:t>
            </w:r>
          </w:p>
        </w:tc>
        <w:tc>
          <w:tcPr>
            <w:tcW w:w="220" w:type="dxa"/>
            <w:vAlign w:val="bottom"/>
          </w:tcPr>
          <w:p>
            <w:pPr>
              <w:spacing w:after="0"/>
              <w:rPr>
                <w:sz w:val="17"/>
                <w:szCs w:val="17"/>
                <w:color w:val="auto"/>
              </w:rPr>
            </w:pPr>
          </w:p>
        </w:tc>
      </w:tr>
      <w:tr>
        <w:trPr>
          <w:trHeight w:val="196"/>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9,304</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4,812</w:t>
            </w:r>
          </w:p>
        </w:tc>
        <w:tc>
          <w:tcPr>
            <w:tcW w:w="220" w:type="dxa"/>
            <w:vAlign w:val="bottom"/>
            <w:tcBorders>
              <w:top w:val="single" w:sz="8" w:color="CCEEFF"/>
            </w:tcBorders>
            <w:shd w:val="clear" w:color="auto" w:fill="CCEEFF"/>
          </w:tcPr>
          <w:p>
            <w:pPr>
              <w:spacing w:after="0"/>
              <w:rPr>
                <w:sz w:val="17"/>
                <w:szCs w:val="17"/>
                <w:color w:val="auto"/>
              </w:rPr>
            </w:pPr>
          </w:p>
        </w:tc>
      </w:tr>
      <w:tr>
        <w:trPr>
          <w:trHeight w:val="196"/>
        </w:trPr>
        <w:tc>
          <w:tcPr>
            <w:tcW w:w="7020" w:type="dxa"/>
            <w:vAlign w:val="bottom"/>
          </w:tcPr>
          <w:p>
            <w:pPr>
              <w:ind w:left="120"/>
              <w:spacing w:after="0"/>
              <w:rPr>
                <w:sz w:val="20"/>
                <w:szCs w:val="20"/>
                <w:color w:val="auto"/>
              </w:rPr>
            </w:pPr>
            <w:r>
              <w:rPr>
                <w:rFonts w:ascii="Arial" w:cs="Arial" w:eastAsia="Arial" w:hAnsi="Arial"/>
                <w:sz w:val="16"/>
                <w:szCs w:val="16"/>
                <w:color w:val="auto"/>
              </w:rPr>
              <w:t>Effect of exchange rate changes on cash</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1,832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(177)</w:t>
            </w:r>
          </w:p>
        </w:tc>
        <w:tc>
          <w:tcPr>
            <w:tcW w:w="220" w:type="dxa"/>
            <w:vAlign w:val="bottom"/>
          </w:tcPr>
          <w:p>
            <w:pPr>
              <w:spacing w:after="0"/>
              <w:rPr>
                <w:sz w:val="17"/>
                <w:szCs w:val="17"/>
                <w:color w:val="auto"/>
              </w:rPr>
            </w:pPr>
          </w:p>
        </w:tc>
      </w:tr>
      <w:tr>
        <w:trPr>
          <w:trHeight w:val="203"/>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(6,005)</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23,915</w:t>
            </w:r>
          </w:p>
        </w:tc>
        <w:tc>
          <w:tcPr>
            <w:tcW w:w="220" w:type="dxa"/>
            <w:vAlign w:val="bottom"/>
            <w:shd w:val="clear" w:color="auto" w:fill="CCEEFF"/>
          </w:tcPr>
          <w:p>
            <w:pPr>
              <w:spacing w:after="0"/>
              <w:rPr>
                <w:sz w:val="17"/>
                <w:szCs w:val="17"/>
                <w:color w:val="auto"/>
              </w:rPr>
            </w:pPr>
          </w:p>
        </w:tc>
      </w:tr>
      <w:tr>
        <w:trPr>
          <w:trHeight w:val="203"/>
        </w:trPr>
        <w:tc>
          <w:tcPr>
            <w:tcW w:w="7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83,948</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51,964</w:t>
            </w:r>
          </w:p>
        </w:tc>
        <w:tc>
          <w:tcPr>
            <w:tcW w:w="220" w:type="dxa"/>
            <w:vAlign w:val="bottom"/>
            <w:tcBorders>
              <w:bottom w:val="single" w:sz="8" w:color="CCEEFF"/>
            </w:tcBorders>
          </w:tcPr>
          <w:p>
            <w:pPr>
              <w:spacing w:after="0"/>
              <w:rPr>
                <w:sz w:val="17"/>
                <w:szCs w:val="17"/>
                <w:color w:val="auto"/>
              </w:rPr>
            </w:pPr>
          </w:p>
        </w:tc>
      </w:tr>
      <w:tr>
        <w:trPr>
          <w:trHeight w:val="216"/>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77,943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75,879</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187"/>
        </w:trPr>
        <w:tc>
          <w:tcPr>
            <w:tcW w:w="702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6"/>
        </w:trPr>
        <w:tc>
          <w:tcPr>
            <w:tcW w:w="7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paid for:</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020" w:type="dxa"/>
            <w:vAlign w:val="bottom"/>
          </w:tcPr>
          <w:p>
            <w:pPr>
              <w:ind w:left="220"/>
              <w:spacing w:after="0"/>
              <w:rPr>
                <w:sz w:val="20"/>
                <w:szCs w:val="20"/>
                <w:color w:val="auto"/>
              </w:rPr>
            </w:pPr>
            <w:r>
              <w:rPr>
                <w:rFonts w:ascii="Arial" w:cs="Arial" w:eastAsia="Arial" w:hAnsi="Arial"/>
                <w:sz w:val="16"/>
                <w:szCs w:val="16"/>
                <w:color w:val="auto"/>
              </w:rPr>
              <w:t>Interest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255</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539</w:t>
            </w:r>
          </w:p>
        </w:tc>
        <w:tc>
          <w:tcPr>
            <w:tcW w:w="220" w:type="dxa"/>
            <w:vAlign w:val="bottom"/>
          </w:tcPr>
          <w:p>
            <w:pPr>
              <w:spacing w:after="0"/>
              <w:rPr>
                <w:sz w:val="17"/>
                <w:szCs w:val="17"/>
                <w:color w:val="auto"/>
              </w:rPr>
            </w:pPr>
          </w:p>
        </w:tc>
      </w:tr>
      <w:tr>
        <w:trPr>
          <w:trHeight w:val="203"/>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w:t>
            </w:r>
          </w:p>
        </w:tc>
        <w:tc>
          <w:tcPr>
            <w:tcW w:w="220" w:type="dxa"/>
            <w:vAlign w:val="bottom"/>
            <w:shd w:val="clear" w:color="auto" w:fill="CCEEFF"/>
          </w:tcPr>
          <w:p>
            <w:pPr>
              <w:spacing w:after="0"/>
              <w:rPr>
                <w:sz w:val="17"/>
                <w:szCs w:val="17"/>
                <w:color w:val="auto"/>
              </w:rPr>
            </w:pPr>
          </w:p>
        </w:tc>
      </w:tr>
      <w:tr>
        <w:trPr>
          <w:trHeight w:val="203"/>
        </w:trPr>
        <w:tc>
          <w:tcPr>
            <w:tcW w:w="7020" w:type="dxa"/>
            <w:vAlign w:val="bottom"/>
          </w:tcPr>
          <w:p>
            <w:pPr>
              <w:ind w:left="120"/>
              <w:spacing w:after="0"/>
              <w:rPr>
                <w:sz w:val="20"/>
                <w:szCs w:val="20"/>
                <w:color w:val="auto"/>
              </w:rPr>
            </w:pPr>
            <w:r>
              <w:rPr>
                <w:rFonts w:ascii="Arial" w:cs="Arial" w:eastAsia="Arial" w:hAnsi="Arial"/>
                <w:sz w:val="16"/>
                <w:szCs w:val="16"/>
                <w:color w:val="auto"/>
              </w:rPr>
              <w:t>Non-cash investing and financing activities: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change in accounts payable related to property and equipment additions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220" w:type="dxa"/>
            <w:vAlign w:val="bottom"/>
            <w:shd w:val="clear" w:color="auto" w:fill="CCEEFF"/>
          </w:tcPr>
          <w:p>
            <w:pPr>
              <w:spacing w:after="0"/>
              <w:rPr>
                <w:sz w:val="17"/>
                <w:szCs w:val="17"/>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560"/>
        <w:spacing w:after="0" w:line="266" w:lineRule="auto"/>
        <w:rPr>
          <w:sz w:val="20"/>
          <w:szCs w:val="20"/>
          <w:color w:val="auto"/>
        </w:rPr>
      </w:pPr>
      <w:r>
        <w:rPr>
          <w:rFonts w:ascii="Arial" w:cs="Arial" w:eastAsia="Arial" w:hAnsi="Arial"/>
          <w:sz w:val="18"/>
          <w:szCs w:val="18"/>
          <w:b w:val="1"/>
          <w:bCs w:val="1"/>
          <w:color w:val="auto"/>
        </w:rPr>
        <w:t>Applied Optoelectronics, Inc.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Applied Optoelectronics, Inc. (“AOI” or the “Company”) is a Delaware corporation. The Company is a leading, vertically integrated provider of fiber-optic networking products, primarily for four networking end-markets: internet data center, cable television, telecommunications and fiber-to-the-home. The Company designs and manufactures a wide range of optical communications products at varying levels of integration, from components, subassemblies and modules to complete turn-key equipment.</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also has a research and development facility in Duluth, Georgia. The Company operates in Taipei, Taiwan and Ningbo, China through its wholly-owned subsidiary Prime World International Holdings, Ltd. (“Prime World”, incorporated in the British Virgin Islands). Prime World is the parent of Global Technology, Inc. (“Global”, incorporated in the People’s Republic of China). Through Global, the Company primarily manufactures certain of our data center transceiver products, including subassemblies, as well as Cable TV Broadband (“CATV”) systems and equipment, and performs research and development activities for the CATV products. Prime World also operates a branch in Taiwan, which primarily manufactures transceivers.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unaudited condensed consolidated financial statements of the Company as of June 30, 2018 and December 31, 2017 and for the three and six months ended June 30, 2018 and June 30, 2017,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2017. The results of operations for the three and six months ended June 30, 2018 are not necessarily indicative of the results expected for the entire fiscal year. All significant intercompany accounts and transactions have been eliminated.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inventory reserve, product warranty costs, share-based compensation expense, estimated useful lives of property and equipment, and taxes.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There have been no changes in the Company’s significant accounting policies for the three and six months ended June 30, 2018, as compared to the significant accounting policies described in its 2017 Annual Report, except as described below.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 in 2018</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May 2014, the FASB issued Accounting Standards Update (ASU) 2014-09, Revenue from Contracts with Customers (Topic 606). The new revenue recognition guidance establishes a new control-based revenue recognition model, changes the basis for deciding when revenue is recognized over time or at a point in time, provides new and more detailed guidance on specific topics and expands and improves disclosures about revenue. The Company evaluated its revenues and the new guidance had immaterial impacts to recognition practices upon adoption on January 1, 2018. As part of the adoption, the Company elected to apply the new guidance on a modified retrospective basis. The Company did not record a cumulative effect adjustment to retained earnings for initially applying the new guidance as no revenue recognition differences were identified in the timing or amount of revenue. See Note 3, "Revenue Recognition" for additional information on the required disclosures related to the impact of adopting this standard.</w:t>
      </w:r>
    </w:p>
    <w:p>
      <w:pPr>
        <w:spacing w:after="0" w:line="18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FASB issued ASU No. 2016-01, Financial Instruments – Overall (Subtopic 825-10): Recognition and Measurement of Financial Assets and Financial Liabilities with further clarifications made in February 2018 with the issuance of ASU 2018-03. The amended guidance requires certain equity investments that are not consolidated and not accounted for under the equity method to be measured at fair value with changes in fair value recognized in net income rather than as a component of accumulated other comprehensive income (loss). It further states that an entity may choose to measure equity investments that do not have readily determinable fair values using a quantitative approach, or measurement alternative, which is equal to its cost minus impairment, if any, plus or minus changes resulting from observable price changes in orderly transactions for the identical or a similar investment of the same issuer. The Company adopted this amended guidance on January 1, 2018, with no impact on the financial statements.</w:t>
      </w:r>
    </w:p>
    <w:p>
      <w:pPr>
        <w:spacing w:after="0" w:line="18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March 2018, the FASB issued ASU 2018-05, "Income Taxes (Topic 740): Amendments to SEC Paragraphs Pursuant to SEC Staff Accounting Bulletin No. 118." ASU 2018-05, effective 2018, expands income tax accounting and disclosure guidance to include SAB 118 issued by the SEC in December 2017. SAB 118 provides guidance on accounting for the income tax effects of the U.S. Tax Cuts and Jobs Act of 2017 (the “Tax Act”) and among other things allows for a measurement period not to exceed one year for companies to finalize the provisional amounts recorded as of December 31, 2017. See Note 13, “Income Taxes” for additional information on the Company’s accounting for the Tax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Yet to be Adopted</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February 25, 2016, the FASB released ASU No. 2016-02, Leases, to complete its project to overhaul lease accounting. The ASU codifies ASC 842, Leases, which will replace the guidance in ASC 840. The guidance will require lessees to recognize most leases on the balance sheet for capital and operating leases. The guidance is effective for public business entities in fiscal years beginning after December 15, 2018. The Company is evaluating the impact of the accounting standard on its financial statements by reviewing the standard itself, as well as reviewing literature about the new standard produced by nationally-recognized accounting firms and other third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On January 1, 2018, the Company adopted Topic 606 using the modified retrospective method. Under the modified retrospective method, the Company did not record a cumulative effect adjustment to retained earnings for initially applying the new guidance as no revenue recognition differences were identified in the timing or amount of revenue. Results for reporting periods beginning after January 1, 2018 are presented under Topic 606, while prior period amounts are not adjusted and continue to be reported in accordance with our historic accounting under Revenue Recognition ("Topic 605").</w:t>
      </w:r>
    </w:p>
    <w:p>
      <w:pPr>
        <w:spacing w:after="0" w:line="15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adoption of Topic 606 represents a change in accounting principle that will provide financial statement readers with enhanced revenue recognition disclosures. In accordance with Topic 606, revenue is recognized when obligations under the terms of a contract with our customer are satisfied; generally this occurs with the transfer of control of products or services. Revenue is measured as the amount of consideration the Company expects to receive in exchange for transferring products or providing services. Certain customers may receive cash and/or non-cash incentives,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which are accounted for as variable consideration. To achieve this core principle, the Company applies the following five steps: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 Identify the contract with a customer</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 contract with a customer exists when (i) the Company enters into an agreement with a customer that defines each party's rights regarding the products or services to be transferred and identifies the payment terms related to these products or services, (ii) both parties to the contract are committed to perform their respective obligations, (iii) the contract has commercial substance, and (iv) the Company determines that collection of substantially all consideration for products or services that are transferred is probable based on the customer's intent and ability to pay the promised consideration. The Company applies judgment in determining the customer's ability and intention to pay, which is based on a variety of factors including the customer's payment history or, in the case of a new customer, published credit and financial information pertaining to the customer.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 Identify the performance obligations in the contract</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products or services is separately identifiable from other promises in the contract. To the extent a contract includes multiple promised products or services, the Company must apply judgment to determine whether promised products or services are capable of being distinct and distinct in the context of the contract. If these criteria are not met, the promised products or services are accounted for as a combined performance obligation. The Company has elected to account for shipping and handling activities as a fulfillment cost as permitted by the standard.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 Determine the transaction price</w:t>
      </w:r>
    </w:p>
    <w:p>
      <w:pPr>
        <w:spacing w:after="0" w:line="22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products or services to the customer. To the extent the transaction price is variable, revenue is recognized at an amount equal the consideration to which the Company expects to be entitled. This estimate includes customer sales incentives which are accounted for as a reduction to revenue and estimated using either the expected value method or the most likely amount method, depending on the nature of the program. The Company will adjust its consideration for any rebates and commissions if it is more likely than not that these conditions will be met.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 Allocate the transaction price to performance obligations in the contract</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basis unless a portion of the variable consideration related to the contract is allocated entirely to a performance obligation. The Company determines standalone selling price based on the price at which the performance obligation is sold separately.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 Recognize revenue when or as the Company satisfies a performance obligation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generally satisfies performance obligations at a point in time. Revenue is recognized based on the transaction price at the time the related performance obligation is satisfied by transferring a promised product or service to a customer.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is classified based on the location of where the product is manufactured. For additional information on the disaggregated revenues by geographical region, see Note 14, "Geographic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also classified by major product category and is presented below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1"/>
              </w:rPr>
              <w:t>Three months ended June 30,</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30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CATV</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14,184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14,404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FTTH</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7"/>
        </w:trPr>
        <w:tc>
          <w:tcPr>
            <w:tcW w:w="302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87,822</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117,371</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378"/>
        </w:trPr>
        <w:tc>
          <w:tcPr>
            <w:tcW w:w="3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0"/>
              </w:rPr>
              <w:t>Six months ended June 30,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30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119,623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178,892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CATV</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24,752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27,498</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FTTH</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7"/>
        </w:trPr>
        <w:tc>
          <w:tcPr>
            <w:tcW w:w="302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153,061</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213,595</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Cash, Cash Equivalents and Restricted Cash</w:t>
      </w:r>
    </w:p>
    <w:p>
      <w:pPr>
        <w:spacing w:after="0" w:line="229" w:lineRule="exact"/>
        <w:rPr>
          <w:sz w:val="20"/>
          <w:szCs w:val="20"/>
          <w:color w:val="auto"/>
        </w:rPr>
      </w:pPr>
    </w:p>
    <w:p>
      <w:pPr>
        <w:ind w:right="180" w:firstLine="648"/>
        <w:spacing w:after="0" w:line="338"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statement of financial position that sum to the total of the same such amounts in the statement of cash flows (in thousands):</w:t>
      </w:r>
    </w:p>
    <w:tbl>
      <w:tblPr>
        <w:tblLayout w:type="fixed"/>
        <w:tblInd w:w="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237"/>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6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8"/>
                <w:szCs w:val="18"/>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82,936</w:t>
            </w:r>
          </w:p>
        </w:tc>
        <w:tc>
          <w:tcPr>
            <w:tcW w:w="180" w:type="dxa"/>
            <w:vAlign w:val="bottom"/>
            <w:shd w:val="clear" w:color="auto" w:fill="CCEEFF"/>
          </w:tcPr>
          <w:p>
            <w:pPr>
              <w:spacing w:after="0"/>
              <w:rPr>
                <w:sz w:val="18"/>
                <w:szCs w:val="18"/>
                <w:color w:val="auto"/>
              </w:rPr>
            </w:pPr>
          </w:p>
        </w:tc>
      </w:tr>
      <w:tr>
        <w:trPr>
          <w:trHeight w:val="230"/>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80" w:type="dxa"/>
            <w:vAlign w:val="bottom"/>
            <w:tcBorders>
              <w:bottom w:val="single" w:sz="8" w:color="CCEEFF"/>
            </w:tcBorders>
          </w:tcPr>
          <w:p>
            <w:pPr>
              <w:spacing w:after="0"/>
              <w:rPr>
                <w:sz w:val="19"/>
                <w:szCs w:val="19"/>
                <w:color w:val="auto"/>
              </w:rPr>
            </w:pPr>
          </w:p>
        </w:tc>
      </w:tr>
      <w:tr>
        <w:trPr>
          <w:trHeight w:val="217"/>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Total cash, cash equivalents and restricted cash shown in the statement of cash flows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77,943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83,948</w:t>
            </w:r>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Restricted cash includes guarantee deposits for customs duties and compensating balances required for certain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Basic net income per share has been computed using the weighted-average number of shares of common stock outstanding during the period. Diluted net income per share has been computed using the weighted-average number of shares of common stock and dilutive potential common shares from stock options and restricted stock units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income per share for the periods indicated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92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Pr>
          <w:p>
            <w:pPr>
              <w:spacing w:after="0"/>
              <w:rPr>
                <w:sz w:val="14"/>
                <w:szCs w:val="14"/>
                <w:color w:val="auto"/>
              </w:rPr>
            </w:pPr>
          </w:p>
        </w:tc>
        <w:tc>
          <w:tcPr>
            <w:tcW w:w="186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r>
      <w:tr>
        <w:trPr>
          <w:trHeight w:val="210"/>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8,034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29,071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10,154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48,860</w:t>
            </w:r>
          </w:p>
        </w:tc>
        <w:tc>
          <w:tcPr>
            <w:tcW w:w="140" w:type="dxa"/>
            <w:vAlign w:val="bottom"/>
          </w:tcPr>
          <w:p>
            <w:pPr>
              <w:spacing w:after="0"/>
              <w:rPr>
                <w:sz w:val="18"/>
                <w:szCs w:val="18"/>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w w:val="98"/>
              </w:rPr>
              <w:t>Weighted average shares used to compute net income per share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18,841</w:t>
            </w:r>
          </w:p>
        </w:tc>
        <w:tc>
          <w:tcPr>
            <w:tcW w:w="140" w:type="dxa"/>
            <w:vAlign w:val="bottom"/>
            <w:shd w:val="clear" w:color="auto" w:fill="CCEEFF"/>
          </w:tcPr>
          <w:p>
            <w:pPr>
              <w:spacing w:after="0"/>
              <w:rPr>
                <w:sz w:val="18"/>
                <w:szCs w:val="18"/>
                <w:color w:val="auto"/>
              </w:rPr>
            </w:pPr>
          </w:p>
        </w:tc>
      </w:tr>
      <w:tr>
        <w:trPr>
          <w:trHeight w:val="216"/>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dilutive options and restricted stock units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40" w:type="dxa"/>
            <w:vAlign w:val="bottom"/>
            <w:tcBorders>
              <w:bottom w:val="single" w:sz="8" w:color="CCEEFF"/>
            </w:tcBorders>
          </w:tcPr>
          <w:p>
            <w:pPr>
              <w:spacing w:after="0"/>
              <w:rPr>
                <w:sz w:val="18"/>
                <w:szCs w:val="18"/>
                <w:color w:val="auto"/>
              </w:rPr>
            </w:pPr>
          </w:p>
        </w:tc>
      </w:tr>
      <w:tr>
        <w:trPr>
          <w:trHeight w:val="210"/>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19,956</w:t>
            </w:r>
          </w:p>
        </w:tc>
        <w:tc>
          <w:tcPr>
            <w:tcW w:w="14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income per share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18"/>
                <w:szCs w:val="18"/>
                <w:color w:val="auto"/>
              </w:rPr>
            </w:pPr>
          </w:p>
        </w:tc>
      </w:tr>
      <w:tr>
        <w:trPr>
          <w:trHeight w:val="230"/>
        </w:trPr>
        <w:tc>
          <w:tcPr>
            <w:tcW w:w="51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20"/>
                <w:szCs w:val="20"/>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securities that were excluded from the computation of diluted net income per share.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net of inventory writedowns, consist of the following for the periods indicated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60" w:type="dxa"/>
            <w:vAlign w:val="bottom"/>
            <w:gridSpan w:val="7"/>
          </w:tcPr>
          <w:p>
            <w:pPr>
              <w:spacing w:after="0"/>
              <w:rPr>
                <w:sz w:val="20"/>
                <w:szCs w:val="20"/>
                <w:color w:val="auto"/>
              </w:rPr>
            </w:pPr>
            <w:r>
              <w:rPr>
                <w:rFonts w:ascii="Arial" w:cs="Arial" w:eastAsia="Arial" w:hAnsi="Arial"/>
                <w:sz w:val="14"/>
                <w:szCs w:val="14"/>
                <w:b w:val="1"/>
                <w:bCs w:val="1"/>
                <w:color w:val="auto"/>
                <w:w w:val="99"/>
              </w:rPr>
              <w:t>June 30, 2018  December 31, 2017</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Work in process and sub-assemblies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48,068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31,060</w:t>
            </w:r>
          </w:p>
        </w:tc>
        <w:tc>
          <w:tcPr>
            <w:tcW w:w="6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18,060</w:t>
            </w:r>
          </w:p>
        </w:tc>
        <w:tc>
          <w:tcPr>
            <w:tcW w:w="60" w:type="dxa"/>
            <w:vAlign w:val="bottom"/>
            <w:shd w:val="clear" w:color="auto" w:fill="CCEEFF"/>
          </w:tcPr>
          <w:p>
            <w:pPr>
              <w:spacing w:after="0"/>
              <w:rPr>
                <w:sz w:val="18"/>
                <w:szCs w:val="18"/>
                <w:color w:val="auto"/>
              </w:rPr>
            </w:pPr>
          </w:p>
        </w:tc>
      </w:tr>
      <w:tr>
        <w:trPr>
          <w:trHeight w:val="217"/>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93,269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75,768</w:t>
            </w:r>
          </w:p>
        </w:tc>
        <w:tc>
          <w:tcPr>
            <w:tcW w:w="60" w:type="dxa"/>
            <w:vAlign w:val="bottom"/>
          </w:tcPr>
          <w:p>
            <w:pPr>
              <w:spacing w:after="0"/>
              <w:rPr>
                <w:sz w:val="18"/>
                <w:szCs w:val="18"/>
                <w:color w:val="auto"/>
              </w:rPr>
            </w:pPr>
          </w:p>
        </w:tc>
      </w:tr>
    </w:tbl>
    <w:p>
      <w:pPr>
        <w:spacing w:after="0" w:line="199" w:lineRule="exact"/>
        <w:rPr>
          <w:sz w:val="20"/>
          <w:szCs w:val="20"/>
          <w:color w:val="auto"/>
        </w:rPr>
      </w:pPr>
    </w:p>
    <w:p>
      <w:pPr>
        <w:ind w:right="80" w:firstLine="648"/>
        <w:spacing w:after="0" w:line="291" w:lineRule="auto"/>
        <w:rPr>
          <w:sz w:val="20"/>
          <w:szCs w:val="20"/>
          <w:color w:val="auto"/>
        </w:rPr>
      </w:pPr>
      <w:r>
        <w:rPr>
          <w:rFonts w:ascii="Arial" w:cs="Arial" w:eastAsia="Arial" w:hAnsi="Arial"/>
          <w:sz w:val="18"/>
          <w:szCs w:val="18"/>
          <w:color w:val="auto"/>
        </w:rPr>
        <w:t>The lower of cost or market adjustment expensed for inventory for the three months ended June 30, 2018 and 2017 was $1.5 million and $0.2 million, respectively. The lower of cost or market adjustment expensed for inventory for the six months ended June 30, 2018 and 2017 was $2.4 million and $0.7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Plant &amp;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260" w:type="dxa"/>
            <w:vAlign w:val="bottom"/>
            <w:gridSpan w:val="7"/>
          </w:tcPr>
          <w:p>
            <w:pPr>
              <w:spacing w:after="0"/>
              <w:rPr>
                <w:sz w:val="20"/>
                <w:szCs w:val="20"/>
                <w:color w:val="auto"/>
              </w:rPr>
            </w:pPr>
            <w:r>
              <w:rPr>
                <w:rFonts w:ascii="Arial" w:cs="Arial" w:eastAsia="Arial" w:hAnsi="Arial"/>
                <w:sz w:val="14"/>
                <w:szCs w:val="14"/>
                <w:b w:val="1"/>
                <w:bCs w:val="1"/>
                <w:color w:val="auto"/>
                <w:w w:val="99"/>
              </w:rPr>
              <w:t>June 30, 2018  December 31, 2017</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80,193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78,785</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184,557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168,993</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4,663</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Transportation equipment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60" w:type="dxa"/>
            <w:vAlign w:val="bottom"/>
            <w:tcBorders>
              <w:bottom w:val="single" w:sz="8" w:color="CCEEFF"/>
            </w:tcBorders>
          </w:tcPr>
          <w:p>
            <w:pPr>
              <w:spacing w:after="0"/>
              <w:rPr>
                <w:sz w:val="18"/>
                <w:szCs w:val="18"/>
                <w:color w:val="auto"/>
              </w:rPr>
            </w:pPr>
          </w:p>
        </w:tc>
      </w:tr>
      <w:tr>
        <w:trPr>
          <w:trHeight w:val="210"/>
        </w:trPr>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279,767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262,213</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(81,839)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(70,194)</w:t>
            </w:r>
          </w:p>
        </w:tc>
        <w:tc>
          <w:tcPr>
            <w:tcW w:w="60" w:type="dxa"/>
            <w:vAlign w:val="bottom"/>
            <w:tcBorders>
              <w:bottom w:val="single" w:sz="8" w:color="CCEEFF"/>
            </w:tcBorders>
          </w:tcPr>
          <w:p>
            <w:pPr>
              <w:spacing w:after="0"/>
              <w:rPr>
                <w:sz w:val="18"/>
                <w:szCs w:val="18"/>
                <w:color w:val="auto"/>
              </w:rPr>
            </w:pPr>
          </w:p>
        </w:tc>
      </w:tr>
      <w:tr>
        <w:trPr>
          <w:trHeight w:val="210"/>
        </w:trPr>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197,928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192,019</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4,823</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60" w:type="dxa"/>
            <w:vAlign w:val="bottom"/>
            <w:shd w:val="clear" w:color="auto" w:fill="CCEEFF"/>
          </w:tcPr>
          <w:p>
            <w:pPr>
              <w:spacing w:after="0"/>
              <w:rPr>
                <w:sz w:val="18"/>
                <w:szCs w:val="18"/>
                <w:color w:val="auto"/>
              </w:rPr>
            </w:pPr>
          </w:p>
        </w:tc>
      </w:tr>
      <w:tr>
        <w:trPr>
          <w:trHeight w:val="217"/>
        </w:trPr>
        <w:tc>
          <w:tcPr>
            <w:tcW w:w="49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212,105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197,943</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For the three months ended June 30, 2018 and 2017, depreciation expense of property, plant and equipment was $7.2 million and $4.5 million, respectively. For the six months ended June 30, 2018 and 2017, depreciation expense of property, plant and equipment was $14.0 million and $8.7 million, respectively.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Included in depreciation expense was $3.8 million and $2.8 million recorded as cost of sales for the three months ended June 30, 2018 and 2017, respectively. Included in depreciation expense was $7.6 million and $5.4 million recorded as cost of sales for the six months ended June 30, 2018 and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6"/>
              </w:rPr>
              <w:t>June 30, 2018</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40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0"/>
              </w:rPr>
              <w:t>Gross</w:t>
            </w:r>
          </w:p>
        </w:tc>
        <w:tc>
          <w:tcPr>
            <w:tcW w:w="16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Intangible</w:t>
            </w:r>
          </w:p>
        </w:tc>
        <w:tc>
          <w:tcPr>
            <w:tcW w:w="80" w:type="dxa"/>
            <w:vAlign w:val="bottom"/>
          </w:tcPr>
          <w:p>
            <w:pPr>
              <w:spacing w:after="0"/>
              <w:rPr>
                <w:sz w:val="10"/>
                <w:szCs w:val="10"/>
                <w:color w:val="auto"/>
              </w:rPr>
            </w:pPr>
          </w:p>
        </w:tc>
      </w:tr>
      <w:tr>
        <w:trPr>
          <w:trHeight w:val="171"/>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assets, net</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2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$ 6,736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Trademarks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r>
      <w:tr>
        <w:trPr>
          <w:trHeight w:val="217"/>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$ 6,750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78"/>
        </w:trPr>
        <w:tc>
          <w:tcPr>
            <w:tcW w:w="4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9"/>
              </w:rPr>
              <w:t>December 31, 2017</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19"/>
        </w:trPr>
        <w:tc>
          <w:tcPr>
            <w:tcW w:w="40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0"/>
              </w:rPr>
              <w:t>Gross</w:t>
            </w:r>
          </w:p>
        </w:tc>
        <w:tc>
          <w:tcPr>
            <w:tcW w:w="16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Intangible</w:t>
            </w:r>
          </w:p>
        </w:tc>
        <w:tc>
          <w:tcPr>
            <w:tcW w:w="80" w:type="dxa"/>
            <w:vAlign w:val="bottom"/>
          </w:tcPr>
          <w:p>
            <w:pPr>
              <w:spacing w:after="0"/>
              <w:rPr>
                <w:sz w:val="10"/>
                <w:szCs w:val="10"/>
                <w:color w:val="auto"/>
              </w:rPr>
            </w:pPr>
          </w:p>
        </w:tc>
      </w:tr>
      <w:tr>
        <w:trPr>
          <w:trHeight w:val="171"/>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assets, net</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2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$ 6,524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Trademarks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r>
      <w:tr>
        <w:trPr>
          <w:trHeight w:val="217"/>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$ 6,538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9" w:lineRule="exact"/>
        <w:rPr>
          <w:sz w:val="20"/>
          <w:szCs w:val="20"/>
          <w:color w:val="auto"/>
        </w:rPr>
      </w:pPr>
    </w:p>
    <w:p>
      <w:pPr>
        <w:ind w:right="80" w:firstLine="648"/>
        <w:spacing w:after="0" w:line="263" w:lineRule="auto"/>
        <w:rPr>
          <w:sz w:val="20"/>
          <w:szCs w:val="20"/>
          <w:color w:val="auto"/>
        </w:rPr>
      </w:pPr>
      <w:r>
        <w:rPr>
          <w:rFonts w:ascii="Arial" w:cs="Arial" w:eastAsia="Arial" w:hAnsi="Arial"/>
          <w:sz w:val="19"/>
          <w:szCs w:val="19"/>
          <w:color w:val="auto"/>
        </w:rPr>
        <w:t>For the three months ended June 30, 2018 and 2017, amortization expense for intangible assets, included in general and administrative expenses on the income statement, was each $0.1 million. For the six months ended June 30, 2018 and 2017, amortization expense for intangible assets, included in general and administrative expenses on the income statement, was each $0.3 million.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weighted average amortization period for intangible assets is approximately 8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Notes Payable and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7"/>
              </w:rPr>
              <w:t>June 30, 2018    December 31, 2017</w:t>
            </w:r>
          </w:p>
        </w:tc>
      </w:tr>
      <w:tr>
        <w:trPr>
          <w:trHeight w:val="210"/>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Revolving line of credit with a U.S. bank up to $60,000 with interest at LIBOR plus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1.4%, maturing September 28, 2020</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80" w:type="dxa"/>
            <w:vAlign w:val="bottom"/>
            <w:shd w:val="clear" w:color="auto" w:fill="CCEEFF"/>
          </w:tcPr>
          <w:p>
            <w:pPr>
              <w:spacing w:after="0"/>
              <w:rPr>
                <w:sz w:val="20"/>
                <w:szCs w:val="20"/>
                <w:color w:val="auto"/>
              </w:rPr>
            </w:pP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4"/>
              </w:rPr>
              <w:t>Term loan with a U.S. bank with monthly payments of principal and interest at LIBOR</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plus 1.15%, maturing April 1, 2024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21,142</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Term loan with a U.S. bank with monthly payments of principal and interest at LIBOR</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plus 1.3%, maturing April 1, 2023</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5"/>
              </w:rPr>
              <w:t>Notes payable to a finance company due in monthly installments with 4.5% interest,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maturing May 27, 2018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559</w:t>
            </w:r>
          </w:p>
        </w:tc>
        <w:tc>
          <w:tcPr>
            <w:tcW w:w="180" w:type="dxa"/>
            <w:vAlign w:val="bottom"/>
          </w:tcPr>
          <w:p>
            <w:pPr>
              <w:spacing w:after="0"/>
              <w:rPr>
                <w:sz w:val="20"/>
                <w:szCs w:val="20"/>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61,029</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49,559</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(559)</w:t>
            </w:r>
          </w:p>
        </w:tc>
      </w:tr>
      <w:tr>
        <w:trPr>
          <w:trHeight w:val="217"/>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1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current portion of long-term debt is the amount payable within one year of the balance sheet date of June 30, 2018. The one-month London Interbank Offered Rate (LIBOR) was 2.09% on June 30,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long-term debt are as follows for the future one-year periods ending June 30, (in thousands):</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shd w:val="clear" w:color="auto" w:fill="CCEEFF"/>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2020</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38,161</w:t>
            </w:r>
          </w:p>
        </w:tc>
        <w:tc>
          <w:tcPr>
            <w:tcW w:w="100" w:type="dxa"/>
            <w:vAlign w:val="bottom"/>
          </w:tcPr>
          <w:p>
            <w:pPr>
              <w:spacing w:after="0"/>
              <w:rPr>
                <w:sz w:val="19"/>
                <w:szCs w:val="19"/>
                <w:color w:val="auto"/>
              </w:rPr>
            </w:pPr>
          </w:p>
        </w:tc>
      </w:tr>
      <w:tr>
        <w:trPr>
          <w:trHeight w:val="23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shd w:val="clear" w:color="auto" w:fill="CCEEFF"/>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2022</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Pr>
          <w:p>
            <w:pPr>
              <w:spacing w:after="0"/>
              <w:rPr>
                <w:sz w:val="19"/>
                <w:szCs w:val="19"/>
                <w:color w:val="auto"/>
              </w:rPr>
            </w:pPr>
          </w:p>
        </w:tc>
      </w:tr>
      <w:tr>
        <w:trPr>
          <w:trHeight w:val="23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00" w:type="dxa"/>
            <w:vAlign w:val="bottom"/>
            <w:shd w:val="clear" w:color="auto" w:fill="CCEEFF"/>
          </w:tcPr>
          <w:p>
            <w:pPr>
              <w:spacing w:after="0"/>
              <w:rPr>
                <w:sz w:val="19"/>
                <w:szCs w:val="19"/>
                <w:color w:val="auto"/>
              </w:rPr>
            </w:pPr>
          </w:p>
        </w:tc>
      </w:tr>
      <w:tr>
        <w:trPr>
          <w:trHeight w:val="230"/>
        </w:trPr>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 and thereafter</w:t>
            </w:r>
          </w:p>
        </w:tc>
        <w:tc>
          <w:tcPr>
            <w:tcW w:w="2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10,392</w:t>
            </w:r>
          </w:p>
        </w:tc>
        <w:tc>
          <w:tcPr>
            <w:tcW w:w="100" w:type="dxa"/>
            <w:vAlign w:val="bottom"/>
            <w:tcBorders>
              <w:bottom w:val="single" w:sz="8" w:color="CCEEFF"/>
            </w:tcBorders>
          </w:tcPr>
          <w:p>
            <w:pPr>
              <w:spacing w:after="0"/>
              <w:rPr>
                <w:sz w:val="19"/>
                <w:szCs w:val="19"/>
                <w:color w:val="auto"/>
              </w:rPr>
            </w:pPr>
          </w:p>
        </w:tc>
      </w:tr>
      <w:tr>
        <w:trPr>
          <w:trHeight w:val="217"/>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outstanding</w:t>
            </w:r>
          </w:p>
        </w:tc>
        <w:tc>
          <w:tcPr>
            <w:tcW w:w="2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61,029</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June 14, 2016, the Company executed a Change in Terms Agreement, Notice of Final Agreement and Modification of the Construction Loan Agreement (the “Modification Agreement”) in connection with the Construction Loan Agreement with East West Bank for up to $22.0 million dollars to finance the construction of the Company’s campus expansion plan in Sugar Land, Texas, originally dated January 26, 2015 (the “Construction Loan Agreement”). Under the Construction Loan Agreement, the loan bore interest at an annual rate based on the one-month LIBOR Borrowing Rate plus 2.75%, and the interest rate was adjusted to LIBOR Borrowing Rate plus 2.0% under the Modification Agreement.</w:t>
      </w:r>
    </w:p>
    <w:p>
      <w:pPr>
        <w:spacing w:after="0" w:line="16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October 5, 2016, the Company executed a Change in Terms Agreement, Notice of Final Agreement and Second Modification to the Construction Loan Agreement (the “Second Modifications”) to the Construction Loan Agreement with East West Bank. The Second Modifications amended and restated in part the Company’s Promissory Note and Construction Loan Agreement, which was originally executed on January 26, 2015, and the Modification Agreement. The draw down period end date, under the Second Modifications, was amended from July 31, 2016 to September 30, 2016. On September 28, 2017, the Company repaid the outstanding balance of $11.2 million and terminated the loan.</w:t>
      </w:r>
    </w:p>
    <w:p>
      <w:pPr>
        <w:spacing w:after="0" w:line="16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On June 24, 2016, the Company entered into a First Amendment to the Credit Agreement with East West Bank and Comerica Bank (“First Amendment”), a second lien deed of trust, multiple security agreements and promissory notes evidencing two credit facilities and a term loan originally entered into on June 30, 2015. The First Amendment increased the Company’s revolving lines of credit from $25 million to $40 million, which would have matured on June 30, 2018, and retained a $10.0 million term loan which would have matured on June 30, 2020. The First Amendment also provided for an additional $10.0 million equipment term loan with a one year drawdown period commencing on April 1, 2016 and maturing five years from the closing date of the First Amendment. The interest rate on these loans was adjusted by the First Amendment from the LIBOR Borrowing Rate plus 2.75% or 3.0% to LIBOR Borrowing Rate plus 2.0%. On September 28, 2017, the Company terminated the Credit Agreement and all outstanding balances of the loans had been repaid.</w:t>
      </w:r>
    </w:p>
    <w:p>
      <w:pPr>
        <w:spacing w:after="0" w:line="16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September 28, 2017, the Company entered into a Loan Agreement, a Promissory Note, an Addendum to the Promissory Note, a BB&amp;T Security Agreement, a Trademark Security Agreement, and a Patent Security Agreement (together the “Credit Facility”) with Branch Banking and Trust Company (“BB&amp;T”). The Credit Facility provides the Company with a three year, $50 million, revolving line of credit. Borrowings under the Credit Facility will be used for general corporate purposes. The Company will make monthly payments of accrued interest with the final monthly payment being for all principal and all accrued interest not yet paid. The Company’s obligations under the Credit Facility will be secured by the Company’s accounts receivable, inventory, intellectual property, all business assets with the exception of real estate and equipment. Borrowings under the Credit Facility will bear interest at a rate equal to the one-month LIBOR plus 1.50%. The Credit Facility requires the Company to maintain certain financial covenants and also contains representations and warranties, and events of default applicable to the Company that are customary for agreements of this type.</w:t>
      </w:r>
    </w:p>
    <w:p>
      <w:pPr>
        <w:spacing w:after="0" w:line="16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March 30, 2018, the Company executed a First Amendment to Loan Agreement, a Note Modification Agreement and Addendum to Promissory Note for $60 million, a Promissory Note and Addendum to Promissory Note for $26 million, a Promissory Note and Addendum to Promissory Note for $21.5 million, a Texas Deed of Trust and Security Agreement, an Assignment of Lease and Rent, and an Environmental Certification and Indemnity Agreement, (collectively, the “Amended Credit Facility”), with BB&amp;T. The Amended Credit Facility amends the Company’s three-year $50 million line of credit with BB&amp;T, originally executed on September 28, 2017 (the “Existing Loan”). The Amended Credit Facility (1) increases the principal amount of the three-year line of credit from $50 million to $60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million (the “Line of Credit”); (2) allows the Company to borrow an additional $26 million from BB&amp;T in the form of a five-year capital expenditure loan (the “CapEx Loan”) and (3) allows the Company to borrow an additional $21.5 million in the form of a seventy-month real estate term loan (the “Term Loan”) to refinance the Company’s plant and facilities in Sugar Land, Texas. Borrowings under the Line of Credit will bear interest at a rate equal to the one-month LIBOR plus a Line of Credit margin ranging between 1.40% and 2.0%. Borrowings under the CapEx Loan will bear interest at a rate equal to the one-month LIBOR plus a CapEx Loan margin ranging between 1.30% and 2.0%. Borrowings under the Term Loan will bear interest at a rate equal to the one-month LIBOR plus a Term Loan margin ranging between 1.15% and 2.0%. The Company will make monthly payments of principal and accrued interest with the final monthly payments being for all principal and accrued interest not yet paid. The Company’s obligations under the Amended Credit Facility will be secured by the Company’s accounts receivable, inventory, equipment, intellectual property, real property, and virtually all business assets. As of June 30, 2018, the Company was in compliance with all covenants under the Amended Credit Facility. As of June 30, 2018, $35.0 million was outstanding under the Line of Credit, $21.1 million was outstanding under the Term Loan and $4.9 million was outstanding under the CapEx Loan.</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On May 27, 2015, the Company’s Taiwan branch entered into a Purchase and Sale Contract and a Finance Lease Agreement with Chailease Finance Co, Ltd. (“Chailease”) in connection with certain equipment, structured as a sale lease-back transaction. Pursuant to the Purchase and Sale contract, the Company’s Taiwan branch sold certain equipment to Chailease for a purchase price of 180,148,532 New Taiwan dollars, and simultaneously leased the equipment back from Chailease pursuant to the Finance Lease Agreement. The monthly lease payments range from 3,784,000 New Taiwan dollars, to 3,322,413 New Taiwan dollars, during the term of the Finance Lease Agreement, including an initial payment in an amount of 60,148,532 New Taiwan dollars. The Finance Lease Agreement had a three-year term, which matured on May 27, 2018. The title to the equipment was transferred to the Company’s Taiwan branch upon the expiration of the Finance Lease Agreement. As of June 30, 2018, the outstanding balance under this Finance Lease Agreement had been fully repaid.</w:t>
      </w:r>
    </w:p>
    <w:p>
      <w:pPr>
        <w:spacing w:after="0" w:line="16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On March 31, 2016, the Company’s Taiwan branch entered into a Purchase and Sale Contract and a Finance Lease Agreement with Chailease in connection with certain equipment, structured as a sale lease-back transaction. Pursuant to the Purchase and Sale Contract, the Company’s Taiwan branch sold certain equipment to Chailease for a purchase price of 312,927,180 New Taiwan dollars, and simultaneously leased the equipment back from Chailease pursuant to the Finance Lease Agreement. The Finance Lease Agreement had a three-year term with monthly lease payments ranging from 6,772,500 New Taiwan dollars, to 7,788,333 New Taiwan dollars, during the term of the Finance Lease Agreement, including an initial payment in an amount of 62,927,180 New Taiwan dollars. Based on the payments made under the Finance Lease Agreement, the annual interest rate was calculated to be 4.0%. On October 6, 2017, the Company repaid the outstanding balance and terminated the loan, and title to the equipment was transferred to its Taiwan branch.</w:t>
      </w:r>
    </w:p>
    <w:p>
      <w:pPr>
        <w:spacing w:after="0" w:line="16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June 19, 2018, Prime World’s Taiwan branch entered into a one year revolving credit facility totaling 300 million New Taiwan dollars (the “Taiwan Credit Facility”) with Taishin International Bank in Taiwan (the “Bank”). Borrowing under the Taiwan Credit Facility will be used for short-term working capital. Prime World may draw upon the Taiwan Credit Facility from June 19, 2018 until May 31, 2019. The term of each draw shall be either 90 or 120 days. Borrowings under the Taiwan Credit Facility will bear interest at a rate of 2.00% for 90 day draws and 1.95% for 120 day draws. At the end of the draw term, Prime World will make payment for all principal and accrued interest. The agreements for the Taiwan Credit Facility contain representations and warranties, and events of default applicable to Prime World that are customary for agreements of this type. As of June 30, 2018, there was no outstanding balance under this credit facility.</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June 30, 2018 and December 31, 2017, the Company had $56.1 million and $1.0 million of unused borrowing capacity, respectively.</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As of June 30, 2018 and December 31, 2017, there were no restricted cash, investments or security deposit associated with the loan facilities,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60" w:type="dxa"/>
            <w:vAlign w:val="bottom"/>
            <w:gridSpan w:val="7"/>
          </w:tcPr>
          <w:p>
            <w:pPr>
              <w:spacing w:after="0"/>
              <w:rPr>
                <w:sz w:val="20"/>
                <w:szCs w:val="20"/>
                <w:color w:val="auto"/>
              </w:rPr>
            </w:pPr>
            <w:r>
              <w:rPr>
                <w:rFonts w:ascii="Arial" w:cs="Arial" w:eastAsia="Arial" w:hAnsi="Arial"/>
                <w:sz w:val="14"/>
                <w:szCs w:val="14"/>
                <w:b w:val="1"/>
                <w:bCs w:val="1"/>
                <w:color w:val="auto"/>
                <w:w w:val="99"/>
              </w:rPr>
              <w:t>June 30, 2018  December 31, 2017</w:t>
            </w: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Accrued rent</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1,180</w:t>
            </w:r>
          </w:p>
        </w:tc>
        <w:tc>
          <w:tcPr>
            <w:tcW w:w="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6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Accrued state and local taxes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951</w:t>
            </w:r>
          </w:p>
        </w:tc>
        <w:tc>
          <w:tcPr>
            <w:tcW w:w="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6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Accrued product warranty</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1,118</w:t>
            </w:r>
          </w:p>
        </w:tc>
        <w:tc>
          <w:tcPr>
            <w:tcW w:w="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 expenses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60" w:type="dxa"/>
            <w:vAlign w:val="bottom"/>
            <w:shd w:val="clear" w:color="auto" w:fill="CCEEFF"/>
          </w:tcPr>
          <w:p>
            <w:pPr>
              <w:spacing w:after="0"/>
              <w:rPr>
                <w:sz w:val="18"/>
                <w:szCs w:val="18"/>
                <w:color w:val="auto"/>
              </w:rPr>
            </w:pPr>
          </w:p>
        </w:tc>
      </w:tr>
      <w:tr>
        <w:trPr>
          <w:trHeight w:val="217"/>
        </w:trPr>
        <w:tc>
          <w:tcPr>
            <w:tcW w:w="3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19,103</w:t>
            </w:r>
          </w:p>
        </w:tc>
        <w:tc>
          <w:tcPr>
            <w:tcW w:w="6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940" w:type="dxa"/>
            <w:vAlign w:val="bottom"/>
            <w:gridSpan w:val="5"/>
          </w:tcPr>
          <w:p>
            <w:pPr>
              <w:jc w:val="right"/>
              <w:ind w:right="13"/>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Pr>
          <w:p>
            <w:pPr>
              <w:spacing w:after="0"/>
              <w:rPr>
                <w:sz w:val="14"/>
                <w:szCs w:val="14"/>
                <w:color w:val="auto"/>
              </w:rPr>
            </w:pPr>
          </w:p>
        </w:tc>
        <w:tc>
          <w:tcPr>
            <w:tcW w:w="1840" w:type="dxa"/>
            <w:vAlign w:val="bottom"/>
            <w:gridSpan w:val="6"/>
          </w:tcPr>
          <w:p>
            <w:pPr>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3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transaction gain (loss)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Government subsidy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gain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Gain (loss) on disposal of assets</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r>
      <w:tr>
        <w:trPr>
          <w:trHeight w:val="217"/>
        </w:trPr>
        <w:tc>
          <w:tcPr>
            <w:tcW w:w="3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1998 Share Incentive Plan</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2000 Share Incentive Plan</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2004 Share Incentive Plan</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2013 Equity Incentive Plan (“2013 Plan”)</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issued stock options, restricted stock awards (“RSAs”) and restricted stock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 party valuation specialists.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Options have been granted to the Company’s employees under the five incentive plans and generally become exercisable as to 25% of the shares on the first anniversary date following the date of grant and 12.5% on a semi-annual basis thereafter. All options expire ten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restart"/>
          </w:tcPr>
          <w:p>
            <w:pPr>
              <w:jc w:val="center"/>
              <w:ind w:left="57"/>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0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jc w:val="center"/>
              <w:ind w:left="57"/>
              <w:spacing w:after="0"/>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8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Weighted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82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tcPr>
          <w:p>
            <w:pPr>
              <w:jc w:val="center"/>
              <w:ind w:left="57"/>
              <w:spacing w:after="0" w:line="149" w:lineRule="exact"/>
              <w:rPr>
                <w:sz w:val="20"/>
                <w:szCs w:val="20"/>
                <w:color w:val="auto"/>
              </w:rPr>
            </w:pPr>
            <w:r>
              <w:rPr>
                <w:rFonts w:ascii="Arial" w:cs="Arial" w:eastAsia="Arial" w:hAnsi="Arial"/>
                <w:sz w:val="14"/>
                <w:szCs w:val="14"/>
                <w:b w:val="1"/>
                <w:bCs w:val="1"/>
                <w:color w:val="auto"/>
                <w:w w:val="86"/>
              </w:rPr>
              <w:t>Exercise</w:t>
            </w:r>
          </w:p>
        </w:tc>
        <w:tc>
          <w:tcPr>
            <w:tcW w:w="90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93"/>
              </w:rPr>
              <w:t>on Date of</w:t>
            </w:r>
          </w:p>
        </w:tc>
        <w:tc>
          <w:tcPr>
            <w:tcW w:w="820" w:type="dxa"/>
            <w:vAlign w:val="bottom"/>
            <w:gridSpan w:val="2"/>
          </w:tcPr>
          <w:p>
            <w:pPr>
              <w:jc w:val="right"/>
              <w:ind w:right="70"/>
              <w:spacing w:after="0" w:line="149" w:lineRule="exact"/>
              <w:rPr>
                <w:sz w:val="20"/>
                <w:szCs w:val="20"/>
                <w:color w:val="auto"/>
              </w:rPr>
            </w:pPr>
            <w:r>
              <w:rPr>
                <w:rFonts w:ascii="Arial" w:cs="Arial" w:eastAsia="Arial" w:hAnsi="Arial"/>
                <w:sz w:val="14"/>
                <w:szCs w:val="14"/>
                <w:b w:val="1"/>
                <w:bCs w:val="1"/>
                <w:color w:val="auto"/>
              </w:rPr>
              <w:t>Average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6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shares</w:t>
            </w:r>
          </w:p>
        </w:tc>
        <w:tc>
          <w:tcPr>
            <w:tcW w:w="760" w:type="dxa"/>
            <w:vAlign w:val="bottom"/>
            <w:tcBorders>
              <w:bottom w:val="single" w:sz="8" w:color="auto"/>
            </w:tcBorders>
          </w:tcPr>
          <w:p>
            <w:pPr>
              <w:jc w:val="center"/>
              <w:ind w:left="77"/>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40" w:type="dxa"/>
            <w:vAlign w:val="bottom"/>
            <w:gridSpan w:val="4"/>
          </w:tcPr>
          <w:p>
            <w:pPr>
              <w:jc w:val="right"/>
              <w:ind w:right="561"/>
              <w:spacing w:after="0" w:line="142" w:lineRule="exact"/>
              <w:rPr>
                <w:sz w:val="20"/>
                <w:szCs w:val="20"/>
                <w:color w:val="auto"/>
              </w:rPr>
            </w:pPr>
            <w:r>
              <w:rPr>
                <w:rFonts w:ascii="Arial" w:cs="Arial" w:eastAsia="Arial" w:hAnsi="Arial"/>
                <w:sz w:val="14"/>
                <w:szCs w:val="14"/>
                <w:b w:val="1"/>
                <w:bCs w:val="1"/>
                <w:color w:val="auto"/>
                <w:w w:val="90"/>
              </w:rPr>
              <w:t>(in thousands, except price data)</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$ 10.04</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5.19</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Exercised</w:t>
            </w: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760" w:type="dxa"/>
            <w:vAlign w:val="bottom"/>
          </w:tcPr>
          <w:p>
            <w:pPr>
              <w:jc w:val="right"/>
              <w:spacing w:after="0"/>
              <w:rPr>
                <w:sz w:val="20"/>
                <w:szCs w:val="20"/>
                <w:color w:val="auto"/>
              </w:rPr>
            </w:pPr>
            <w:r>
              <w:rPr>
                <w:rFonts w:ascii="Arial" w:cs="Arial" w:eastAsia="Arial" w:hAnsi="Arial"/>
                <w:sz w:val="18"/>
                <w:szCs w:val="18"/>
                <w:color w:val="auto"/>
              </w:rPr>
              <w:t>9.74</w:t>
            </w:r>
          </w:p>
        </w:tc>
        <w:tc>
          <w:tcPr>
            <w:tcW w:w="900" w:type="dxa"/>
            <w:vAlign w:val="bottom"/>
          </w:tcPr>
          <w:p>
            <w:pPr>
              <w:jc w:val="right"/>
              <w:ind w:right="66"/>
              <w:spacing w:after="0"/>
              <w:rPr>
                <w:sz w:val="20"/>
                <w:szCs w:val="20"/>
                <w:color w:val="auto"/>
              </w:rPr>
            </w:pPr>
            <w:r>
              <w:rPr>
                <w:rFonts w:ascii="Arial" w:cs="Arial" w:eastAsia="Arial" w:hAnsi="Arial"/>
                <w:sz w:val="18"/>
                <w:szCs w:val="18"/>
                <w:color w:val="auto"/>
              </w:rPr>
              <w:t>$  32.95</w:t>
            </w:r>
          </w:p>
        </w:tc>
        <w:tc>
          <w:tcPr>
            <w:tcW w:w="26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4.90</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5.10</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17"/>
        </w:trPr>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June 30, 2018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$ 10.13</w:t>
            </w:r>
          </w:p>
        </w:tc>
        <w:tc>
          <w:tcPr>
            <w:tcW w:w="9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5.27</w:t>
            </w:r>
          </w:p>
        </w:tc>
        <w:tc>
          <w:tcPr>
            <w:tcW w:w="920" w:type="dxa"/>
            <w:vAlign w:val="bottom"/>
            <w:tcBorders>
              <w:bottom w:val="single" w:sz="8" w:color="CCEEFF"/>
            </w:tcBorders>
          </w:tcPr>
          <w:p>
            <w:pPr>
              <w:jc w:val="right"/>
              <w:ind w:right="41"/>
              <w:spacing w:after="0"/>
              <w:rPr>
                <w:sz w:val="20"/>
                <w:szCs w:val="20"/>
                <w:color w:val="auto"/>
              </w:rPr>
            </w:pPr>
            <w:r>
              <w:rPr>
                <w:rFonts w:ascii="Arial" w:cs="Arial" w:eastAsia="Arial" w:hAnsi="Arial"/>
                <w:sz w:val="18"/>
                <w:szCs w:val="18"/>
                <w:color w:val="auto"/>
              </w:rPr>
              <w:t>5.12</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12,802</w:t>
            </w:r>
          </w:p>
        </w:tc>
        <w:tc>
          <w:tcPr>
            <w:tcW w:w="0" w:type="dxa"/>
            <w:vAlign w:val="bottom"/>
          </w:tcPr>
          <w:p>
            <w:pPr>
              <w:spacing w:after="0"/>
              <w:rPr>
                <w:sz w:val="1"/>
                <w:szCs w:val="1"/>
                <w:color w:val="auto"/>
              </w:rPr>
            </w:pPr>
          </w:p>
        </w:tc>
      </w:tr>
      <w:tr>
        <w:trPr>
          <w:trHeight w:val="236"/>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June 30, 2018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$ 10.13</w:t>
            </w:r>
          </w:p>
        </w:tc>
        <w:tc>
          <w:tcPr>
            <w:tcW w:w="9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12,802</w:t>
            </w:r>
          </w:p>
        </w:tc>
        <w:tc>
          <w:tcPr>
            <w:tcW w:w="0" w:type="dxa"/>
            <w:vAlign w:val="bottom"/>
          </w:tcPr>
          <w:p>
            <w:pPr>
              <w:spacing w:after="0"/>
              <w:rPr>
                <w:sz w:val="1"/>
                <w:szCs w:val="1"/>
                <w:color w:val="auto"/>
              </w:rPr>
            </w:pPr>
          </w:p>
        </w:tc>
      </w:tr>
      <w:tr>
        <w:trPr>
          <w:trHeight w:val="210"/>
        </w:trPr>
        <w:tc>
          <w:tcPr>
            <w:tcW w:w="4140" w:type="dxa"/>
            <w:vAlign w:val="bottom"/>
          </w:tcPr>
          <w:p>
            <w:pPr>
              <w:spacing w:after="0" w:line="203" w:lineRule="exact"/>
              <w:rPr>
                <w:sz w:val="20"/>
                <w:szCs w:val="20"/>
                <w:color w:val="auto"/>
              </w:rPr>
            </w:pPr>
            <w:r>
              <w:rPr>
                <w:rFonts w:ascii="Arial" w:cs="Arial" w:eastAsia="Arial" w:hAnsi="Arial"/>
                <w:sz w:val="18"/>
                <w:szCs w:val="18"/>
                <w:color w:val="auto"/>
              </w:rPr>
              <w:t>Vested and expected to vest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$ 10.13</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41"/>
              <w:spacing w:after="0" w:line="203" w:lineRule="exact"/>
              <w:rPr>
                <w:sz w:val="20"/>
                <w:szCs w:val="20"/>
                <w:color w:val="auto"/>
              </w:rPr>
            </w:pPr>
            <w:r>
              <w:rPr>
                <w:rFonts w:ascii="Arial" w:cs="Arial" w:eastAsia="Arial" w:hAnsi="Arial"/>
                <w:sz w:val="18"/>
                <w:szCs w:val="18"/>
                <w:color w:val="auto"/>
              </w:rPr>
              <w:t>5.12</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12,802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there was no unrecognized stock option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RSU/RSA activity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22"/>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8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Average Share</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Price on Date</w:t>
            </w:r>
          </w:p>
        </w:tc>
        <w:tc>
          <w:tcPr>
            <w:tcW w:w="10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Average Fair</w:t>
            </w:r>
          </w:p>
        </w:tc>
        <w:tc>
          <w:tcPr>
            <w:tcW w:w="140" w:type="dxa"/>
            <w:vAlign w:val="bottom"/>
          </w:tcPr>
          <w:p>
            <w:pPr>
              <w:spacing w:after="0"/>
              <w:rPr>
                <w:sz w:val="12"/>
                <w:szCs w:val="12"/>
                <w:color w:val="auto"/>
              </w:rPr>
            </w:pPr>
          </w:p>
        </w:tc>
        <w:tc>
          <w:tcPr>
            <w:tcW w:w="6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8"/>
              </w:rPr>
              <w:t>of Release</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Value</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3"/>
              </w:rPr>
              <w:t>(in thousands, except price data)</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29.23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26,732</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517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33.77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17,444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35.69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28.78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Cancelled/Forfeited</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32.15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30"/>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June 30, 2018</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31.50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46,384</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Exercisable, June 30, 2018</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June 30, 2018, there was $30.0 million of unrecognized compensation expense related to these RSUs and RSAs. This expense is expected to be recognized over 2.9 years.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periods indicated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520" w:type="dxa"/>
            <w:vAlign w:val="bottom"/>
            <w:gridSpan w:val="10"/>
          </w:tcPr>
          <w:p>
            <w:pPr>
              <w:jc w:val="center"/>
              <w:ind w:right="14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460" w:type="dxa"/>
            <w:vAlign w:val="bottom"/>
            <w:gridSpan w:val="9"/>
          </w:tcPr>
          <w:p>
            <w:pPr>
              <w:ind w:left="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5"/>
          </w:tcPr>
          <w:p>
            <w:pPr>
              <w:jc w:val="center"/>
              <w:ind w:left="17"/>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3"/>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3"/>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3"/>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 by expense type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211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676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260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7"/>
        </w:trPr>
        <w:tc>
          <w:tcPr>
            <w:tcW w:w="59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$ 2,899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$ 2,260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$ 5,468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$ 3,767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55"/>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59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 by award type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Employee stock options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2,887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1,992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5,456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3,220</w:t>
            </w:r>
          </w:p>
        </w:tc>
        <w:tc>
          <w:tcPr>
            <w:tcW w:w="80" w:type="dxa"/>
            <w:vAlign w:val="bottom"/>
            <w:shd w:val="clear" w:color="auto" w:fill="CCEEFF"/>
          </w:tcPr>
          <w:p>
            <w:pPr>
              <w:spacing w:after="0"/>
              <w:rPr>
                <w:sz w:val="18"/>
                <w:szCs w:val="18"/>
                <w:color w:val="auto"/>
              </w:rPr>
            </w:pPr>
          </w:p>
        </w:tc>
      </w:tr>
      <w:tr>
        <w:trPr>
          <w:trHeight w:val="217"/>
        </w:trPr>
        <w:tc>
          <w:tcPr>
            <w:tcW w:w="59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120" w:type="dxa"/>
            <w:vAlign w:val="bottom"/>
          </w:tcPr>
          <w:p>
            <w:pPr>
              <w:spacing w:after="0"/>
              <w:rPr>
                <w:sz w:val="18"/>
                <w:szCs w:val="18"/>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6"/>
              </w:rPr>
              <w:t>$ 2,899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6"/>
              </w:rPr>
              <w:t>$ 2,260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9"/>
              </w:rPr>
              <w:t>$ 5,468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7"/>
              </w:rPr>
              <w:t>3,767</w:t>
            </w:r>
          </w:p>
        </w:tc>
        <w:tc>
          <w:tcPr>
            <w:tcW w:w="8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Company’s tax provision or benefit from income taxes for interim periods is determined using an estimate of its annual effective tax rate, adjusted for discrete items, if any, that are taken into account in the relevant period. The Company’s quarterly tax provision, and its quarterly estimate of its annual effective tax rate, is subject to significant variation due to several factors, including variability in accurately predicting its pre-tax income and loss and the mix of jurisdictions to which they relate, tax law developments, and relative changes in permanent tax benefits or expenses.</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Company’s effective tax rate for the three months ended June 30, 2018 and 2017 was 22.2% and 14.9%, respectively. For the three months ended June 30, 2018, the effective tax rate varied from the federal statutory rate of 21% primarily due to the level and mix of earnings among tax jurisdictions, share-based compensation, tax benefits related to research and development, and recognition of the U.S. global intangible low-taxed income ("GILTI"). For the three months ended June 30, 2017, the effective tax rate varied from the federal statutory rate of 35% primarily due to the level and mix of earnings among tax jurisdictions, the release of the valuation allowances recorded on the deferred tax assets in China, and the recognition of employee share-based compensation in accordance with ASU 2016-09.</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Company’s effective tax rate for the six months ended June 30, 2018 and 2017 was 11.4% and 15.2%, respectively. For the six months ended June 30, 2018, the effective tax rate varied from the federal statutory rate of 21% primarily due to the level and mix of earnings among tax jurisdictions, share-based compensation, tax benefits related to research and development, and recognition of the U.S. global intangible low-taxed income ("GILTI"). For the six months ended June 30, 2017, the effective tax rate varied from the federal statutory rate of 35% primarily due to the level and mix of earnings among tax jurisdictions, the release of the valuation allowances recorded on the deferred tax assets in China, and the recognition of employee share-based compensation in accordance with ASU 2016-09.</w:t>
      </w:r>
    </w:p>
    <w:p>
      <w:pPr>
        <w:spacing w:after="0" w:line="178"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On December 22, 2017, the President of the United Stated signed Public Law No. 115-97, commonly referred to as the Tax Cut and Jobs Act of 2017 (the “Tax Act”). The Tax Act makes significant changes to the U.S. tax code, which include, but are not limited to: a U.S federal corporate tax rate decrease from 35% to 21%, effective January 1, 2018; a shift to a modified territorial tax regime, which requires companies to pay a one-time transition tax on the mandatory deemed repatriation of the cumulative earnings of certain foreign subsidiaries as of December 31, 2017; a new provision designed to tax GILTI of foreign subsidiaries; a limitation of the deduction for net operating losses; elimination of net operating loss carrybacks; immediate deductions for depreciation expense for certain qualified property; additional limitations on the deductibility of executive compensation; and limitations on the deductibility of interest.</w:t>
      </w:r>
    </w:p>
    <w:p>
      <w:pPr>
        <w:spacing w:after="0" w:line="166"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Company was able to reasonably estimate the transition tax and recorded an initial provisional transition tax obligation of $5.0 million, with a corresponding adjustment of $5.0 million to income tax expense for the year ended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December 31, 2017. As a result of new interpretive guidance issued by the Treasury and the IRS, the Company recognized an additional measurement-period adjustment of ($0.8 million), with a corresponding adjustment of $0.8 million to income tax benefit during the six months ended June 30, 2018. The effect of the measurement-period adjustment on the second quarter 2018 effective tax rate was approximately (7) %. However, the Company is continuing to gather additional information to more precisely compute the amount of the transition tax, and its accounting for this item is not yet complete because the final foreign earnings and profits calculations have not been completed. The Company expects to complete its accounting within the prescribed measurement period.</w:t>
      </w:r>
    </w:p>
    <w:p>
      <w:pPr>
        <w:spacing w:after="0" w:line="178"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The Company will continue to refine its estimates related to the impact of the Tax Act during the one year measurement period from December 22, 2017 allowed under Staff Accounting Bulletin 118 (“SAB 118”).</w:t>
      </w:r>
    </w:p>
    <w:p>
      <w:pPr>
        <w:spacing w:after="0" w:line="1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Additionally, the Company previously considered the earnings in its non-U.S. subsidiaries to be indefinitely reinvested and, accordingly, recorded no deferred income taxes. The Company is currently analyzing its global working capital and cash requirements and the potential tax liabilities attributable to a repatriation, but the Company has yet to determine whether it plans to change its prior assertion and repatriate earnings. While the transition tax resulted in the reduction of the excess of the amount for financial reporting over the tax basis in our foreign subsidiaries, an actual repatriation from its non-U.S. subsidiaries could be subject to additional foreign and U.S. state income taxes. Accordingly, the Company has not recorded any deferred taxes attributable to our investments in its foreign subsidiaries. The Company will record the tax effects of any change in its prior assertion in the period that it completes its analysis and are able to make a reasonable estimate, and disclose any unrecognized deferred tax liability for temporary differences related to our foreign investments, if practicable.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Geographic Information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4"/>
              </w:rPr>
              <w:t>Three months ended</w:t>
            </w:r>
          </w:p>
        </w:tc>
        <w:tc>
          <w:tcPr>
            <w:tcW w:w="140" w:type="dxa"/>
            <w:vAlign w:val="bottom"/>
          </w:tcPr>
          <w:p>
            <w:pPr>
              <w:spacing w:after="0"/>
              <w:rPr>
                <w:sz w:val="14"/>
                <w:szCs w:val="14"/>
                <w:color w:val="auto"/>
              </w:rPr>
            </w:pPr>
          </w:p>
        </w:tc>
        <w:tc>
          <w:tcPr>
            <w:tcW w:w="19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9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Taiwan</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28,970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119,321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China</w:t>
            </w:r>
          </w:p>
        </w:tc>
        <w:tc>
          <w:tcPr>
            <w:tcW w:w="2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55,084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45,563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83,557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85,643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2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87,822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117,371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153,061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213,595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ind w:left="160"/>
              <w:spacing w:after="0"/>
              <w:rPr>
                <w:sz w:val="20"/>
                <w:szCs w:val="20"/>
                <w:color w:val="auto"/>
              </w:rPr>
            </w:pPr>
            <w:r>
              <w:rPr>
                <w:rFonts w:ascii="Arial" w:cs="Arial" w:eastAsia="Arial" w:hAnsi="Arial"/>
                <w:sz w:val="14"/>
                <w:szCs w:val="14"/>
                <w:b w:val="1"/>
                <w:bCs w:val="1"/>
                <w:color w:val="auto"/>
              </w:rPr>
              <w:t>As of the period ended</w:t>
            </w:r>
          </w:p>
        </w:tc>
      </w:tr>
      <w:tr>
        <w:trPr>
          <w:trHeight w:val="142"/>
        </w:trPr>
        <w:tc>
          <w:tcPr>
            <w:tcW w:w="6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June 30,</w:t>
            </w: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December 31,</w:t>
            </w:r>
          </w:p>
        </w:tc>
        <w:tc>
          <w:tcPr>
            <w:tcW w:w="220" w:type="dxa"/>
            <w:vAlign w:val="bottom"/>
          </w:tcPr>
          <w:p>
            <w:pPr>
              <w:spacing w:after="0"/>
              <w:rPr>
                <w:sz w:val="12"/>
                <w:szCs w:val="12"/>
                <w:color w:val="auto"/>
              </w:rPr>
            </w:pPr>
          </w:p>
        </w:tc>
      </w:tr>
      <w:tr>
        <w:trPr>
          <w:trHeight w:val="142"/>
        </w:trPr>
        <w:tc>
          <w:tcPr>
            <w:tcW w:w="69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79,181</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75,446</w:t>
            </w: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Taiwan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67,379</w:t>
            </w: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China</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59,929</w:t>
            </w:r>
          </w:p>
        </w:tc>
        <w:tc>
          <w:tcPr>
            <w:tcW w:w="220" w:type="dxa"/>
            <w:vAlign w:val="bottom"/>
            <w:tcBorders>
              <w:bottom w:val="single" w:sz="8" w:color="CCEEFF"/>
            </w:tcBorders>
          </w:tcPr>
          <w:p>
            <w:pPr>
              <w:spacing w:after="0"/>
              <w:rPr>
                <w:sz w:val="18"/>
                <w:szCs w:val="18"/>
                <w:color w:val="auto"/>
              </w:rPr>
            </w:pPr>
          </w:p>
        </w:tc>
      </w:tr>
      <w:tr>
        <w:trPr>
          <w:trHeight w:val="217"/>
        </w:trPr>
        <w:tc>
          <w:tcPr>
            <w:tcW w:w="6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222,179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202,754</w:t>
            </w:r>
          </w:p>
        </w:tc>
        <w:tc>
          <w:tcPr>
            <w:tcW w:w="220" w:type="dxa"/>
            <w:vAlign w:val="bottom"/>
            <w:tcBorders>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51"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Except for the lawsuit described below, the Company believes that there are no claims or actions pending or threatened against it, the ultimate disposition of which would have a material adverse effect on it.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10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On August 5, 2017, a lawsuit was filed in the U.S. District Court for the Southern District of Texas against the Company and two of its officers in </w:t>
      </w:r>
      <w:r>
        <w:rPr>
          <w:rFonts w:ascii="Arial" w:cs="Arial" w:eastAsia="Arial" w:hAnsi="Arial"/>
          <w:sz w:val="17"/>
          <w:szCs w:val="17"/>
          <w:i w:val="1"/>
          <w:iCs w:val="1"/>
          <w:color w:val="auto"/>
        </w:rPr>
        <w:t>Mona Abouzied v. Applied Optoelectronics, Inc., Chih-Hsiang (Thompson) Lin, and</w:t>
      </w:r>
      <w:r>
        <w:rPr>
          <w:rFonts w:ascii="Arial" w:cs="Arial" w:eastAsia="Arial" w:hAnsi="Arial"/>
          <w:sz w:val="17"/>
          <w:szCs w:val="17"/>
          <w:color w:val="auto"/>
        </w:rPr>
        <w:t xml:space="preserve"> </w:t>
      </w:r>
      <w:r>
        <w:rPr>
          <w:rFonts w:ascii="Arial" w:cs="Arial" w:eastAsia="Arial" w:hAnsi="Arial"/>
          <w:sz w:val="17"/>
          <w:szCs w:val="17"/>
          <w:i w:val="1"/>
          <w:iCs w:val="1"/>
          <w:color w:val="auto"/>
        </w:rPr>
        <w:t>Stefan J. Murry, et al.</w:t>
      </w:r>
      <w:r>
        <w:rPr>
          <w:rFonts w:ascii="Arial" w:cs="Arial" w:eastAsia="Arial" w:hAnsi="Arial"/>
          <w:sz w:val="17"/>
          <w:szCs w:val="17"/>
          <w:color w:val="auto"/>
        </w:rPr>
        <w:t>, Case No. 4:17-cv-02399. The complaint in this matter seeks class action status on behalf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shareholders, alleging violations of Sections 10(b) and 20(a) of the Exchange Act against the Company, its chief executive officer, and its chief financial officer, arising out of its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Korinsky LLP as Lead Counsel. Lead Plaintiff filed an amended consolidated class action complaint on March 6, 2018. The amended complaint requests unspecified damages and other relief. The Company disputes the allegations and intends to vigorously contest the matter. We filed a motion to dismiss on April 4, 2018. Lead Plaintiff filed a response in opposition to the motion to dismiss on May 4, 2018, and briefing was completed on May 21, 2018. Further deadlines in this matter have been stayed until the court issues a decision on the pending motion to dismiss.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Company has evaluated subsequent events through the date the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June 30, 2018 and the audited consolidated financial statements and notes thereto and management’s discussion and analysis of financial condition and results of operations for the fiscal year ended December 31, 2017 included in our Annual Report on Form 10-K. References to “Applied Optoelectronics” “we,” “our” and “us” are to Applied Optoelectronics, Inc. and its subsidiaries unless otherwise specified or the context otherwise requires.</w:t>
      </w:r>
    </w:p>
    <w:p>
      <w:pPr>
        <w:spacing w:after="0" w:line="18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9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 leading, vertically integrated provider of fiber-optic networking products, primarily for four networking end-markets: internet data center, cable television, or CATV, telecommunication, or telecom and fiber-to-the-home, or FTTH. We design and manufacture a range of optical communications products at varying levels of integration, from components, subassemblies and modules to complete turn-key equipment.</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p>
    <w:p>
      <w:pPr>
        <w:spacing w:after="0" w:line="18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four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four of our target markets, as it is often the only economic way to deliver the desired bandwidth.</w:t>
      </w:r>
    </w:p>
    <w:p>
      <w:pPr>
        <w:spacing w:after="0" w:line="16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manufacture are proven to be reliable over time and highly tolerant of changes in temperature and humidity, making them well-suited to the CATV and FTTH markets where networking equipment is often installed outdoors.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internet data center market, CATV transmitters (at the headend) and CATV outdoor equipment (at the node).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7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sales model focuses on direct engagement and close coordination with our customers to determine product design, qualifications, and performance through coordination of our sales, product engineering and manufacturing teams. Our strategy is to use our direct sales force to sell to key accounts within our markets, increasing product penetration within those customers while also growing our overall customer base in certain international and domestic markets. We have direct sales personnel in each of our U.S., Taiwan and China locations focusing on a direct and local interaction with our internet data center, CATV, telecom and FTTH customers. Throughout our sales cycle, we work closely with our customers to achieve design wins that we believe provide long-lasting relationships and promote higher customer retention.</w:t>
      </w:r>
    </w:p>
    <w:p>
      <w:pPr>
        <w:spacing w:after="0" w:line="16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principal executive offices are located at 13139 Jess Pirtle Blvd., Sugar Land, TX 77478, and our telephone number is (281) 295-1800.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 forth our consolidated results of operations for the periods presented and as a percentage of our revenue for those periods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2"/>
              </w:rPr>
              <w:t>Three months</w:t>
            </w:r>
          </w:p>
        </w:tc>
        <w:tc>
          <w:tcPr>
            <w:tcW w:w="100" w:type="dxa"/>
            <w:vAlign w:val="bottom"/>
          </w:tcPr>
          <w:p>
            <w:pPr>
              <w:spacing w:after="0"/>
              <w:rPr>
                <w:sz w:val="14"/>
                <w:szCs w:val="14"/>
                <w:color w:val="auto"/>
              </w:rPr>
            </w:pPr>
          </w:p>
        </w:tc>
        <w:tc>
          <w:tcPr>
            <w:tcW w:w="15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center"/>
              <w:ind w:right="230"/>
              <w:spacing w:after="0"/>
              <w:rPr>
                <w:sz w:val="20"/>
                <w:szCs w:val="20"/>
                <w:color w:val="auto"/>
              </w:rPr>
            </w:pPr>
            <w:r>
              <w:rPr>
                <w:rFonts w:ascii="Arial" w:cs="Arial" w:eastAsia="Arial" w:hAnsi="Arial"/>
                <w:sz w:val="14"/>
                <w:szCs w:val="14"/>
                <w:b w:val="1"/>
                <w:bCs w:val="1"/>
                <w:color w:val="auto"/>
                <w:w w:val="89"/>
              </w:rPr>
              <w:t>Six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390"/>
              <w:spacing w:after="0"/>
              <w:rPr>
                <w:sz w:val="20"/>
                <w:szCs w:val="20"/>
                <w:color w:val="auto"/>
              </w:rPr>
            </w:pPr>
            <w:r>
              <w:rPr>
                <w:rFonts w:ascii="Arial" w:cs="Arial" w:eastAsia="Arial" w:hAnsi="Arial"/>
                <w:sz w:val="14"/>
                <w:szCs w:val="14"/>
                <w:b w:val="1"/>
                <w:bCs w:val="1"/>
                <w:color w:val="auto"/>
                <w:w w:val="89"/>
              </w:rPr>
              <w:t>Six months ended</w:t>
            </w:r>
          </w:p>
        </w:tc>
        <w:tc>
          <w:tcPr>
            <w:tcW w:w="40" w:type="dxa"/>
            <w:vAlign w:val="bottom"/>
          </w:tcPr>
          <w:p>
            <w:pPr>
              <w:spacing w:after="0"/>
              <w:rPr>
                <w:sz w:val="14"/>
                <w:szCs w:val="14"/>
                <w:color w:val="auto"/>
              </w:rPr>
            </w:pPr>
          </w:p>
        </w:tc>
      </w:tr>
      <w:tr>
        <w:trPr>
          <w:trHeight w:val="171"/>
        </w:trPr>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270"/>
              <w:spacing w:after="0"/>
              <w:rPr>
                <w:sz w:val="20"/>
                <w:szCs w:val="20"/>
                <w:color w:val="auto"/>
              </w:rPr>
            </w:pPr>
            <w:r>
              <w:rPr>
                <w:rFonts w:ascii="Arial" w:cs="Arial" w:eastAsia="Arial" w:hAnsi="Arial"/>
                <w:sz w:val="14"/>
                <w:szCs w:val="14"/>
                <w:b w:val="1"/>
                <w:bCs w:val="1"/>
                <w:color w:val="auto"/>
                <w:w w:val="90"/>
              </w:rPr>
              <w:t>ended June 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center"/>
              <w:ind w:left="172"/>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left="173"/>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left="173"/>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80" w:type="dxa"/>
            <w:vAlign w:val="bottom"/>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center"/>
              <w:ind w:left="273"/>
              <w:spacing w:after="0" w:line="142" w:lineRule="exact"/>
              <w:rPr>
                <w:sz w:val="20"/>
                <w:szCs w:val="20"/>
                <w:color w:val="auto"/>
              </w:rPr>
            </w:pPr>
            <w:r>
              <w:rPr>
                <w:rFonts w:ascii="Arial" w:cs="Arial" w:eastAsia="Arial" w:hAnsi="Arial"/>
                <w:sz w:val="14"/>
                <w:szCs w:val="14"/>
                <w:b w:val="1"/>
                <w:bCs w:val="1"/>
                <w:color w:val="auto"/>
                <w:w w:val="96"/>
              </w:rPr>
              <w:t>2018</w:t>
            </w:r>
          </w:p>
        </w:tc>
        <w:tc>
          <w:tcPr>
            <w:tcW w:w="46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left="253"/>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left="253"/>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87,822  100.0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117,371  100.0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153,061  100.0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213,595  100.0</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53,959</w:t>
            </w:r>
          </w:p>
        </w:tc>
        <w:tc>
          <w:tcPr>
            <w:tcW w:w="1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61.4 %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64,089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54.6 %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93,362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gridSpan w:val="9"/>
          </w:tcPr>
          <w:p>
            <w:pPr>
              <w:jc w:val="right"/>
              <w:ind w:right="130"/>
              <w:spacing w:after="0"/>
              <w:rPr>
                <w:sz w:val="20"/>
                <w:szCs w:val="20"/>
                <w:color w:val="auto"/>
              </w:rPr>
            </w:pPr>
            <w:r>
              <w:rPr>
                <w:rFonts w:ascii="Arial" w:cs="Arial" w:eastAsia="Arial" w:hAnsi="Arial"/>
                <w:sz w:val="18"/>
                <w:szCs w:val="18"/>
                <w:color w:val="auto"/>
              </w:rPr>
              <w:t>61.0 %  118,841   55.6 %</w:t>
            </w:r>
          </w:p>
        </w:tc>
        <w:tc>
          <w:tcPr>
            <w:tcW w:w="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33,863</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53,282</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45.4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59,699</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39.0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44.4</w:t>
            </w: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12,645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14.4 %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6.9 %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15.9 %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7.3 %</w:t>
            </w:r>
          </w:p>
        </w:tc>
        <w:tc>
          <w:tcPr>
            <w:tcW w:w="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1.9 %</w:t>
            </w:r>
          </w:p>
        </w:tc>
        <w:tc>
          <w:tcPr>
            <w:tcW w:w="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11.3 %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12.6 %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7.8 %</w:t>
            </w:r>
          </w:p>
        </w:tc>
        <w:tc>
          <w:tcPr>
            <w:tcW w:w="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2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24,920</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19,017</w:t>
            </w: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16.2</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48,586</w:t>
            </w: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31.7</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36,174</w:t>
            </w: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17.0</w:t>
            </w:r>
          </w:p>
        </w:tc>
        <w:tc>
          <w:tcPr>
            <w:tcW w:w="3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34,265</w:t>
            </w: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11,113</w:t>
            </w: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58,580</w:t>
            </w: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27.2</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0.0 %</w:t>
            </w:r>
          </w:p>
        </w:tc>
        <w:tc>
          <w:tcPr>
            <w:tcW w:w="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w w:val="98"/>
              </w:rPr>
              <w:t>(0.2)%</w:t>
            </w:r>
          </w:p>
        </w:tc>
        <w:tc>
          <w:tcPr>
            <w:tcW w:w="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8"/>
              </w:rPr>
              <w:t>(0.2)%</w:t>
            </w:r>
          </w:p>
        </w:tc>
        <w:tc>
          <w:tcPr>
            <w:tcW w:w="40" w:type="dxa"/>
            <w:vAlign w:val="bottom"/>
          </w:tcPr>
          <w:p>
            <w:pPr>
              <w:spacing w:after="0"/>
              <w:rPr>
                <w:sz w:val="18"/>
                <w:szCs w:val="18"/>
                <w:color w:val="auto"/>
              </w:rPr>
            </w:pPr>
          </w:p>
        </w:tc>
      </w:tr>
      <w:tr>
        <w:trPr>
          <w:trHeight w:val="182"/>
        </w:trPr>
        <w:tc>
          <w:tcPr>
            <w:tcW w:w="80" w:type="dxa"/>
            <w:vAlign w:val="bottom"/>
          </w:tcPr>
          <w:p>
            <w:pPr>
              <w:spacing w:after="0"/>
              <w:rPr>
                <w:sz w:val="15"/>
                <w:szCs w:val="15"/>
                <w:color w:val="auto"/>
              </w:rPr>
            </w:pPr>
          </w:p>
        </w:tc>
        <w:tc>
          <w:tcPr>
            <w:tcW w:w="2340" w:type="dxa"/>
            <w:vAlign w:val="bottom"/>
          </w:tcPr>
          <w:p>
            <w:pPr>
              <w:spacing w:after="0" w:line="182" w:lineRule="exact"/>
              <w:rPr>
                <w:sz w:val="20"/>
                <w:szCs w:val="20"/>
                <w:color w:val="auto"/>
              </w:rPr>
            </w:pPr>
            <w:r>
              <w:rPr>
                <w:rFonts w:ascii="Arial" w:cs="Arial" w:eastAsia="Arial" w:hAnsi="Arial"/>
                <w:sz w:val="18"/>
                <w:szCs w:val="18"/>
                <w:color w:val="auto"/>
                <w:w w:val="97"/>
              </w:rPr>
              <w:t>Total other income (expense),</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2420" w:type="dxa"/>
            <w:vAlign w:val="bottom"/>
            <w:gridSpan w:val="2"/>
          </w:tcPr>
          <w:p>
            <w:pPr>
              <w:ind w:left="6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0"/>
                <w:szCs w:val="20"/>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w w:val="98"/>
              </w:rPr>
              <w:t>(0.4)%</w:t>
            </w:r>
          </w:p>
        </w:tc>
        <w:tc>
          <w:tcPr>
            <w:tcW w:w="40" w:type="dxa"/>
            <w:vAlign w:val="bottom"/>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11.8 %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2"/>
              </w:rPr>
              <w:t>29.1 %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2"/>
              </w:rPr>
              <w:t>26.8 %</w:t>
            </w:r>
          </w:p>
        </w:tc>
        <w:tc>
          <w:tcPr>
            <w:tcW w:w="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(2,296)</w:t>
            </w:r>
          </w:p>
        </w:tc>
        <w:tc>
          <w:tcPr>
            <w:tcW w:w="1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w w:val="98"/>
              </w:rPr>
              <w:t>(4.1)%</w:t>
            </w:r>
          </w:p>
        </w:tc>
        <w:tc>
          <w:tcPr>
            <w:tcW w:w="40" w:type="dxa"/>
            <w:vAlign w:val="bottom"/>
          </w:tcPr>
          <w:p>
            <w:pPr>
              <w:spacing w:after="0"/>
              <w:rPr>
                <w:sz w:val="18"/>
                <w:szCs w:val="18"/>
                <w:color w:val="auto"/>
              </w:rPr>
            </w:pPr>
          </w:p>
        </w:tc>
      </w:tr>
      <w:tr>
        <w:trPr>
          <w:trHeight w:val="217"/>
        </w:trPr>
        <w:tc>
          <w:tcPr>
            <w:tcW w:w="80" w:type="dxa"/>
            <w:vAlign w:val="bottom"/>
          </w:tcPr>
          <w:p>
            <w:pPr>
              <w:spacing w:after="0"/>
              <w:rPr>
                <w:sz w:val="18"/>
                <w:szCs w:val="18"/>
                <w:color w:val="auto"/>
              </w:rPr>
            </w:pPr>
          </w:p>
        </w:tc>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24.8</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22.7</w:t>
            </w:r>
          </w:p>
        </w:tc>
        <w:tc>
          <w:tcPr>
            <w:tcW w:w="36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r>
      <w:tr>
        <w:trPr>
          <w:trHeight w:val="864"/>
        </w:trPr>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8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telecom and FTTH markets. We derive a significant portion of our revenue from our top ten customers, and we anticipate that we will continue to do so for the foreseeable future. The following charts provide the revenue contribution from each of the markets we served for the three and six months ended June 30, 2018 and 2017 (in thousands, except percentages):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Borders>
              <w:bottom w:val="single" w:sz="8" w:color="auto"/>
            </w:tcBorders>
            <w:gridSpan w:val="12"/>
          </w:tcPr>
          <w:p>
            <w:pPr>
              <w:jc w:val="center"/>
              <w:ind w:left="499"/>
              <w:spacing w:after="0"/>
              <w:rPr>
                <w:sz w:val="20"/>
                <w:szCs w:val="20"/>
                <w:color w:val="auto"/>
              </w:rPr>
            </w:pPr>
            <w:r>
              <w:rPr>
                <w:rFonts w:ascii="Arial" w:cs="Arial" w:eastAsia="Arial" w:hAnsi="Arial"/>
                <w:sz w:val="14"/>
                <w:szCs w:val="14"/>
                <w:b w:val="1"/>
                <w:bCs w:val="1"/>
                <w:color w:val="auto"/>
                <w:w w:val="92"/>
              </w:rPr>
              <w:t>Three months ended June 30,</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ind w:right="336"/>
              <w:spacing w:after="0"/>
              <w:rPr>
                <w:sz w:val="20"/>
                <w:szCs w:val="20"/>
                <w:color w:val="auto"/>
              </w:rPr>
            </w:pPr>
            <w:r>
              <w:rPr>
                <w:rFonts w:ascii="Arial" w:cs="Arial" w:eastAsia="Arial" w:hAnsi="Arial"/>
                <w:sz w:val="14"/>
                <w:szCs w:val="14"/>
                <w:b w:val="1"/>
                <w:bCs w:val="1"/>
                <w:color w:val="auto"/>
              </w:rPr>
              <w:t>Change</w:t>
            </w:r>
          </w:p>
        </w:tc>
        <w:tc>
          <w:tcPr>
            <w:tcW w:w="3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80" w:type="dxa"/>
            <w:vAlign w:val="bottom"/>
          </w:tcPr>
          <w:p>
            <w:pPr>
              <w:spacing w:after="0"/>
              <w:rPr>
                <w:sz w:val="10"/>
                <w:szCs w:val="10"/>
                <w:color w:val="auto"/>
              </w:rPr>
            </w:pPr>
          </w:p>
        </w:tc>
        <w:tc>
          <w:tcPr>
            <w:tcW w:w="1600" w:type="dxa"/>
            <w:vAlign w:val="bottom"/>
            <w:gridSpan w:val="2"/>
            <w:vMerge w:val="restart"/>
          </w:tcPr>
          <w:p>
            <w:pPr>
              <w:spacing w:after="0"/>
              <w:rPr>
                <w:sz w:val="10"/>
                <w:szCs w:val="10"/>
                <w:color w:val="auto"/>
              </w:rPr>
            </w:pPr>
          </w:p>
        </w:tc>
        <w:tc>
          <w:tcPr>
            <w:tcW w:w="6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jc w:val="right"/>
              <w:ind w:right="84"/>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Amount</w:t>
            </w:r>
          </w:p>
        </w:tc>
        <w:tc>
          <w:tcPr>
            <w:tcW w:w="140" w:type="dxa"/>
            <w:vAlign w:val="bottom"/>
            <w:gridSpan w:val="2"/>
            <w:vMerge w:val="restart"/>
          </w:tcPr>
          <w:p>
            <w:pPr>
              <w:spacing w:after="0"/>
              <w:rPr>
                <w:sz w:val="10"/>
                <w:szCs w:val="10"/>
                <w:color w:val="auto"/>
              </w:rPr>
            </w:pPr>
          </w:p>
        </w:tc>
        <w:tc>
          <w:tcPr>
            <w:tcW w:w="440" w:type="dxa"/>
            <w:vAlign w:val="bottom"/>
            <w:gridSpan w:val="2"/>
            <w:vMerge w:val="restart"/>
          </w:tcPr>
          <w:p>
            <w:pPr>
              <w:jc w:val="right"/>
              <w:ind w:right="56"/>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gridSpan w:val="2"/>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gridSpan w:val="2"/>
            <w:vMerge w:val="continue"/>
          </w:tcPr>
          <w:p>
            <w:pPr>
              <w:spacing w:after="0"/>
              <w:rPr>
                <w:sz w:val="14"/>
                <w:szCs w:val="14"/>
                <w:color w:val="auto"/>
              </w:rPr>
            </w:pPr>
          </w:p>
        </w:tc>
        <w:tc>
          <w:tcPr>
            <w:tcW w:w="44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$69,040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99,298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$(30,258)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w w:val="91"/>
              </w:rPr>
              <w:t>(30.5)%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CATV</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14,184</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14,404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5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35.1 %</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FTTH</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166</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50"/>
              <w:spacing w:after="0"/>
              <w:rPr>
                <w:sz w:val="20"/>
                <w:szCs w:val="20"/>
                <w:color w:val="auto"/>
              </w:rPr>
            </w:pPr>
            <w:r>
              <w:rPr>
                <w:rFonts w:ascii="Arial" w:cs="Arial" w:eastAsia="Arial" w:hAnsi="Arial"/>
                <w:sz w:val="18"/>
                <w:szCs w:val="18"/>
                <w:color w:val="auto"/>
              </w:rPr>
              <w:t>32.8 %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w w:val="91"/>
              </w:rPr>
              <w:t>(41.1)%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87,822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100.</w:t>
            </w:r>
            <w:r>
              <w:rPr>
                <w:rFonts w:ascii="Arial" w:cs="Arial" w:eastAsia="Arial" w:hAnsi="Arial"/>
                <w:sz w:val="18"/>
                <w:szCs w:val="18"/>
                <w:u w:val="single" w:color="auto"/>
                <w:color w:val="auto"/>
                <w:w w:val="91"/>
              </w:rPr>
              <w:t>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117,371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100.</w:t>
            </w:r>
            <w:r>
              <w:rPr>
                <w:rFonts w:ascii="Arial" w:cs="Arial" w:eastAsia="Arial" w:hAnsi="Arial"/>
                <w:sz w:val="18"/>
                <w:szCs w:val="18"/>
                <w:u w:val="single" w:color="auto"/>
                <w:color w:val="auto"/>
                <w:w w:val="91"/>
              </w:rPr>
              <w:t>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(29,549)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(25.2)</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11"/>
          </w:tcPr>
          <w:p>
            <w:pPr>
              <w:jc w:val="center"/>
              <w:ind w:right="80"/>
              <w:spacing w:after="0"/>
              <w:rPr>
                <w:sz w:val="20"/>
                <w:szCs w:val="20"/>
                <w:color w:val="auto"/>
              </w:rPr>
            </w:pPr>
            <w:r>
              <w:rPr>
                <w:rFonts w:ascii="Arial" w:cs="Arial" w:eastAsia="Arial" w:hAnsi="Arial"/>
                <w:sz w:val="14"/>
                <w:szCs w:val="14"/>
                <w:b w:val="1"/>
                <w:bCs w:val="1"/>
                <w:color w:val="auto"/>
                <w:w w:val="90"/>
              </w:rPr>
              <w:t>Six months ended June 30,</w:t>
            </w: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4"/>
                <w:szCs w:val="14"/>
                <w:b w:val="1"/>
                <w:bCs w:val="1"/>
                <w:color w:val="auto"/>
              </w:rPr>
              <w:t>Change</w:t>
            </w:r>
          </w:p>
        </w:tc>
        <w:tc>
          <w:tcPr>
            <w:tcW w:w="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680" w:type="dxa"/>
            <w:vAlign w:val="bottom"/>
          </w:tcPr>
          <w:p>
            <w:pPr>
              <w:spacing w:after="0"/>
              <w:rPr>
                <w:sz w:val="10"/>
                <w:szCs w:val="10"/>
                <w:color w:val="auto"/>
              </w:rPr>
            </w:pPr>
          </w:p>
        </w:tc>
        <w:tc>
          <w:tcPr>
            <w:tcW w:w="1520" w:type="dxa"/>
            <w:vAlign w:val="bottom"/>
            <w:vMerge w:val="restart"/>
          </w:tcPr>
          <w:p>
            <w:pPr>
              <w:spacing w:after="0"/>
              <w:rPr>
                <w:sz w:val="10"/>
                <w:szCs w:val="10"/>
                <w:color w:val="auto"/>
              </w:rPr>
            </w:pPr>
          </w:p>
        </w:tc>
        <w:tc>
          <w:tcPr>
            <w:tcW w:w="720" w:type="dxa"/>
            <w:vAlign w:val="bottom"/>
            <w:gridSpan w:val="2"/>
            <w:vMerge w:val="restart"/>
          </w:tcPr>
          <w:p>
            <w:pPr>
              <w:jc w:val="right"/>
              <w:ind w:right="119"/>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jc w:val="right"/>
              <w:ind w:right="44"/>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4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Revenue</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1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$ 119,623</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178,892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$(59,269)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1"/>
              </w:rPr>
              <w:t>(33.1)%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CATV</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24,752</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27,498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18"/>
                <w:szCs w:val="18"/>
                <w:color w:val="auto"/>
              </w:rPr>
            </w:pPr>
          </w:p>
        </w:tc>
        <w:tc>
          <w:tcPr>
            <w:tcW w:w="740" w:type="dxa"/>
            <w:vAlign w:val="bottom"/>
            <w:gridSpan w:val="4"/>
          </w:tcPr>
          <w:p>
            <w:pPr>
              <w:jc w:val="right"/>
              <w:ind w:right="10"/>
              <w:spacing w:after="0"/>
              <w:rPr>
                <w:sz w:val="20"/>
                <w:szCs w:val="20"/>
                <w:color w:val="auto"/>
              </w:rPr>
            </w:pPr>
            <w:r>
              <w:rPr>
                <w:rFonts w:ascii="Arial" w:cs="Arial" w:eastAsia="Arial" w:hAnsi="Arial"/>
                <w:sz w:val="18"/>
                <w:szCs w:val="18"/>
                <w:color w:val="auto"/>
                <w:w w:val="98"/>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7,743</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23.9 %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FTTH</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277</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10"/>
              <w:spacing w:after="0"/>
              <w:rPr>
                <w:sz w:val="20"/>
                <w:szCs w:val="20"/>
                <w:color w:val="auto"/>
              </w:rPr>
            </w:pPr>
            <w:r>
              <w:rPr>
                <w:rFonts w:ascii="Arial" w:cs="Arial" w:eastAsia="Arial" w:hAnsi="Arial"/>
                <w:sz w:val="18"/>
                <w:szCs w:val="18"/>
                <w:color w:val="auto"/>
              </w:rPr>
              <w:t>24.2 %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152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153,061</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gridSpan w:val="2"/>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213,595</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w:t>
            </w:r>
            <w:r>
              <w:rPr>
                <w:rFonts w:ascii="Arial" w:cs="Arial" w:eastAsia="Arial" w:hAnsi="Arial"/>
                <w:sz w:val="18"/>
                <w:szCs w:val="18"/>
                <w:u w:val="single" w:color="auto"/>
                <w:color w:val="auto"/>
                <w:w w:val="91"/>
              </w:rPr>
              <w:t>0%</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(60,534)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(28.3)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decrease in revenue during the three months ended June 30, 2018 was driven primarily by decreased demand for our 40 Gbps and 100 Gbps transceivers as one of our customers reduced its demand for optical transceivers due to changes in the way they architect their network. This decrease was partially offset by an increase in demand for 100 Gbps transceivers from other customers, as well as by increased telecom revenue which is related to increased demand for telecom products by our customers as they supply new deployments of telecom infrastructure.</w:t>
      </w:r>
    </w:p>
    <w:p>
      <w:pPr>
        <w:spacing w:after="0" w:line="17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decrease in revenue during the six months ended June 30, 2018 was driven primarily by decreased demand for our 40 Gbps and 100 Gbps transceivers as one of our customers reduced its demand for optical transceivers due to changes in the way they architect their network. This decrease was partially offset by an increase in demand for 100 Gbps transceivers from other customers, as well as by increased telecom revenue which is related to new deployments of telecom infrastructure. The decrease in revenue in the CATV market for the six months ended June 30, 2018 was a result of decreased available production capacity in our China factory associated with staff turnover related to the Lunar New Year. The increase in revenue in our telecom market for the six month period ended June 30, 2018 was primarily attributable to increased demand for telecom products by our customers as they supply new deployments of telecom infrastructure. The increase in revenue in our FTTH market was due to the fluctuation in demand for certain older legacy products and this demand is expected to continue to fluctuate.</w:t>
      </w:r>
    </w:p>
    <w:p>
      <w:pPr>
        <w:spacing w:after="0" w:line="178"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For the three months ended June 30, 2018 and 2017, our top ten customers represented 94.4% and 95.4% of our revenue, respectively. For the six months ended June 30, 2018 and 2017, our top ten customers represented 94.0% and 96.2% of our revenue, respectively.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36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top w:val="single" w:sz="8" w:color="auto"/>
            </w:tcBorders>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Borders>
              <w:top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00" w:type="dxa"/>
            <w:vAlign w:val="bottom"/>
            <w:gridSpan w:val="9"/>
          </w:tcPr>
          <w:p>
            <w:pPr>
              <w:jc w:val="center"/>
              <w:ind w:right="88"/>
              <w:spacing w:after="0" w:line="142" w:lineRule="exact"/>
              <w:rPr>
                <w:sz w:val="20"/>
                <w:szCs w:val="20"/>
                <w:color w:val="auto"/>
              </w:rPr>
            </w:pPr>
            <w:r>
              <w:rPr>
                <w:rFonts w:ascii="Arial" w:cs="Arial" w:eastAsia="Arial" w:hAnsi="Arial"/>
                <w:sz w:val="14"/>
                <w:szCs w:val="14"/>
                <w:b w:val="1"/>
                <w:bCs w:val="1"/>
                <w:color w:val="auto"/>
                <w:w w:val="89"/>
              </w:rPr>
              <w:t>(in thousands, except percentages)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$53,959</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61.4 %</w:t>
            </w:r>
          </w:p>
        </w:tc>
        <w:tc>
          <w:tcPr>
            <w:tcW w:w="8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$64,089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54.6 %</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$(10,130)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Gross margin</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33,863</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38.6 %</w:t>
            </w:r>
          </w:p>
        </w:tc>
        <w:tc>
          <w:tcPr>
            <w:tcW w:w="860" w:type="dxa"/>
            <w:vAlign w:val="bottom"/>
            <w:gridSpan w:val="2"/>
          </w:tcPr>
          <w:p>
            <w:pPr>
              <w:jc w:val="right"/>
              <w:ind w:right="108"/>
              <w:spacing w:after="0"/>
              <w:rPr>
                <w:sz w:val="20"/>
                <w:szCs w:val="20"/>
                <w:color w:val="auto"/>
              </w:rPr>
            </w:pPr>
            <w:r>
              <w:rPr>
                <w:rFonts w:ascii="Arial" w:cs="Arial" w:eastAsia="Arial" w:hAnsi="Arial"/>
                <w:sz w:val="18"/>
                <w:szCs w:val="18"/>
                <w:color w:val="auto"/>
              </w:rPr>
              <w:t>53,282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45.4 %</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40" w:type="dxa"/>
            <w:vAlign w:val="bottom"/>
            <w:gridSpan w:val="3"/>
          </w:tcPr>
          <w:p>
            <w:pPr>
              <w:jc w:val="right"/>
              <w:ind w:right="46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40" w:type="dxa"/>
            <w:vAlign w:val="bottom"/>
            <w:tcBorders>
              <w:top w:val="single" w:sz="8" w:color="auto"/>
            </w:tcBorders>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gridSpan w:val="2"/>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168"/>
              <w:spacing w:after="0"/>
              <w:rPr>
                <w:sz w:val="20"/>
                <w:szCs w:val="20"/>
                <w:color w:val="auto"/>
              </w:rPr>
            </w:pPr>
            <w:r>
              <w:rPr>
                <w:rFonts w:ascii="Arial" w:cs="Arial" w:eastAsia="Arial" w:hAnsi="Arial"/>
                <w:sz w:val="14"/>
                <w:szCs w:val="14"/>
                <w:b w:val="1"/>
                <w:bCs w:val="1"/>
                <w:color w:val="auto"/>
                <w:w w:val="98"/>
              </w:rPr>
              <w:t>Amount</w:t>
            </w: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Borders>
              <w:top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8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5"/>
              </w:rPr>
              <w:t>Revenue</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00" w:type="dxa"/>
            <w:vAlign w:val="bottom"/>
            <w:gridSpan w:val="9"/>
          </w:tcPr>
          <w:p>
            <w:pPr>
              <w:ind w:left="48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$93,362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61.0 %</w:t>
            </w:r>
          </w:p>
        </w:tc>
        <w:tc>
          <w:tcPr>
            <w:tcW w:w="8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87"/>
              </w:rPr>
              <w:t>$118,841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55.6 %</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$(25,479)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Gross margin</w:t>
            </w:r>
          </w:p>
        </w:tc>
        <w:tc>
          <w:tcPr>
            <w:tcW w:w="2200" w:type="dxa"/>
            <w:vAlign w:val="bottom"/>
            <w:gridSpan w:val="3"/>
          </w:tcPr>
          <w:p>
            <w:pPr>
              <w:jc w:val="right"/>
              <w:ind w:right="68"/>
              <w:spacing w:after="0"/>
              <w:rPr>
                <w:sz w:val="20"/>
                <w:szCs w:val="20"/>
                <w:color w:val="auto"/>
              </w:rPr>
            </w:pPr>
            <w:r>
              <w:rPr>
                <w:rFonts w:ascii="Arial" w:cs="Arial" w:eastAsia="Arial" w:hAnsi="Arial"/>
                <w:sz w:val="18"/>
                <w:szCs w:val="18"/>
                <w:color w:val="auto"/>
              </w:rPr>
              <w:t>59,699</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39.0 %</w:t>
            </w:r>
          </w:p>
        </w:tc>
        <w:tc>
          <w:tcPr>
            <w:tcW w:w="860" w:type="dxa"/>
            <w:vAlign w:val="bottom"/>
            <w:gridSpan w:val="2"/>
          </w:tcPr>
          <w:p>
            <w:pPr>
              <w:jc w:val="right"/>
              <w:ind w:right="108"/>
              <w:spacing w:after="0"/>
              <w:rPr>
                <w:sz w:val="20"/>
                <w:szCs w:val="20"/>
                <w:color w:val="auto"/>
              </w:rPr>
            </w:pPr>
            <w:r>
              <w:rPr>
                <w:rFonts w:ascii="Arial" w:cs="Arial" w:eastAsia="Arial" w:hAnsi="Arial"/>
                <w:sz w:val="18"/>
                <w:szCs w:val="18"/>
                <w:color w:val="auto"/>
              </w:rPr>
              <w:t>94,754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44.4 %</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Cost of goods sold decreased by $10.1 million, or 15.8%, and $25.5 million, or 21.4%, for the three and six months ended June 30, 2018, respectively, as compared to the three and six months ended June 30, 2017, primarily due to the decrease in revenue over the prior year. The decrease in gross margin for the three and six months ended June 30, 2018 compared to the same periods ended June 30, 2017 was primarily the result of lower pricing, especially for our datacenter products, partially offset by reductions in production cost due to efficiency improvements in the manufacturing process.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15"/>
          </w:tcPr>
          <w:p>
            <w:pPr>
              <w:ind w:left="40"/>
              <w:spacing w:after="0"/>
              <w:rPr>
                <w:sz w:val="20"/>
                <w:szCs w:val="20"/>
                <w:color w:val="auto"/>
              </w:rPr>
            </w:pPr>
            <w:r>
              <w:rPr>
                <w:rFonts w:ascii="Arial" w:cs="Arial" w:eastAsia="Arial" w:hAnsi="Arial"/>
                <w:sz w:val="14"/>
                <w:szCs w:val="14"/>
                <w:b w:val="1"/>
                <w:bCs w:val="1"/>
                <w:color w:val="auto"/>
                <w:w w:val="93"/>
              </w:rPr>
              <w:t>Three months ended June 30,</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vMerge w:val="restart"/>
          </w:tcPr>
          <w:p>
            <w:pPr>
              <w:jc w:val="right"/>
              <w:ind w:right="4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7"/>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gridSpan w:val="5"/>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right"/>
              <w:ind w:right="50"/>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gridSpan w:val="4"/>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5"/>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40" w:type="dxa"/>
            <w:vAlign w:val="bottom"/>
            <w:gridSpan w:val="17"/>
          </w:tcPr>
          <w:p>
            <w:pPr>
              <w:ind w:left="28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$12,645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14.4 % $ 8,073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6.9 % $4,572</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56.6 %</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Sales and marketing</w:t>
            </w:r>
          </w:p>
        </w:tc>
        <w:tc>
          <w:tcPr>
            <w:tcW w:w="1940" w:type="dxa"/>
            <w:vAlign w:val="bottom"/>
            <w:gridSpan w:val="4"/>
          </w:tcPr>
          <w:p>
            <w:pPr>
              <w:jc w:val="right"/>
              <w:spacing w:after="0"/>
              <w:rPr>
                <w:sz w:val="20"/>
                <w:szCs w:val="20"/>
                <w:color w:val="auto"/>
              </w:rPr>
            </w:pPr>
            <w:r>
              <w:rPr>
                <w:rFonts w:ascii="Arial" w:cs="Arial" w:eastAsia="Arial" w:hAnsi="Arial"/>
                <w:sz w:val="18"/>
                <w:szCs w:val="18"/>
                <w:color w:val="auto"/>
              </w:rPr>
              <w:t>2,377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2.7 %</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2,158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1.8 %</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w w:val="89"/>
              </w:rPr>
              <w:t>10.1 %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9,898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8,786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12.</w:t>
            </w:r>
            <w:r>
              <w:rPr>
                <w:rFonts w:ascii="Arial" w:cs="Arial" w:eastAsia="Arial" w:hAnsi="Arial"/>
                <w:sz w:val="18"/>
                <w:szCs w:val="18"/>
                <w:u w:val="single" w:color="auto"/>
                <w:color w:val="auto"/>
                <w:w w:val="89"/>
              </w:rPr>
              <w:t>7</w:t>
            </w:r>
            <w:r>
              <w:rPr>
                <w:rFonts w:ascii="Arial" w:cs="Arial" w:eastAsia="Arial" w:hAnsi="Arial"/>
                <w:sz w:val="18"/>
                <w:szCs w:val="18"/>
                <w:color w:val="auto"/>
                <w:w w:val="89"/>
              </w:rPr>
              <w:t xml:space="preserve"> %</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24,920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96"/>
              </w:rPr>
              <w:t xml:space="preserve">% </w:t>
            </w:r>
            <w:r>
              <w:rPr>
                <w:rFonts w:ascii="Arial" w:cs="Arial" w:eastAsia="Arial" w:hAnsi="Arial"/>
                <w:sz w:val="18"/>
                <w:szCs w:val="18"/>
                <w:u w:val="single" w:color="auto"/>
                <w:color w:val="auto"/>
                <w:w w:val="96"/>
              </w:rPr>
              <w:t>$</w:t>
            </w:r>
          </w:p>
        </w:tc>
        <w:tc>
          <w:tcPr>
            <w:tcW w:w="5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7"/>
              </w:rPr>
              <w:t>19,017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5,903</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31.</w:t>
            </w:r>
            <w:r>
              <w:rPr>
                <w:rFonts w:ascii="Arial" w:cs="Arial" w:eastAsia="Arial" w:hAnsi="Arial"/>
                <w:sz w:val="18"/>
                <w:szCs w:val="18"/>
                <w:u w:val="single" w:color="auto"/>
                <w:color w:val="auto"/>
                <w:w w:val="85"/>
              </w:rPr>
              <w:t>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14"/>
          </w:tcPr>
          <w:p>
            <w:pPr>
              <w:ind w:left="20"/>
              <w:spacing w:after="0"/>
              <w:rPr>
                <w:sz w:val="20"/>
                <w:szCs w:val="20"/>
                <w:color w:val="auto"/>
              </w:rPr>
            </w:pPr>
            <w:r>
              <w:rPr>
                <w:rFonts w:ascii="Arial" w:cs="Arial" w:eastAsia="Arial" w:hAnsi="Arial"/>
                <w:sz w:val="14"/>
                <w:szCs w:val="14"/>
                <w:b w:val="1"/>
                <w:bCs w:val="1"/>
                <w:color w:val="auto"/>
                <w:w w:val="98"/>
              </w:rPr>
              <w:t>Six months ended June 30,</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vMerge w:val="restart"/>
          </w:tcPr>
          <w:p>
            <w:pPr>
              <w:jc w:val="right"/>
              <w:ind w:right="5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Borders>
              <w:top w:val="single" w:sz="8" w:color="auto"/>
            </w:tcBorders>
            <w:gridSpan w:val="5"/>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gridSpan w:val="2"/>
          </w:tcPr>
          <w:p>
            <w:pPr>
              <w:spacing w:after="0"/>
              <w:rPr>
                <w:sz w:val="10"/>
                <w:szCs w:val="10"/>
                <w:color w:val="auto"/>
              </w:rPr>
            </w:pPr>
          </w:p>
        </w:tc>
        <w:tc>
          <w:tcPr>
            <w:tcW w:w="840" w:type="dxa"/>
            <w:vAlign w:val="bottom"/>
            <w:tcBorders>
              <w:top w:val="single" w:sz="8" w:color="auto"/>
            </w:tcBorders>
            <w:gridSpan w:val="6"/>
            <w:vMerge w:val="restart"/>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gridSpan w:val="2"/>
          </w:tcPr>
          <w:p>
            <w:pPr>
              <w:spacing w:after="0"/>
              <w:rPr>
                <w:sz w:val="10"/>
                <w:szCs w:val="10"/>
                <w:color w:val="auto"/>
              </w:rPr>
            </w:pPr>
          </w:p>
        </w:tc>
        <w:tc>
          <w:tcPr>
            <w:tcW w:w="80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Borders>
              <w:bottom w:val="single" w:sz="8" w:color="auto"/>
            </w:tcBorders>
            <w:gridSpan w:val="5"/>
            <w:vMerge w:val="continue"/>
          </w:tcPr>
          <w:p>
            <w:pPr>
              <w:spacing w:after="0"/>
              <w:rPr>
                <w:sz w:val="14"/>
                <w:szCs w:val="14"/>
                <w:color w:val="auto"/>
              </w:rPr>
            </w:pPr>
          </w:p>
        </w:tc>
        <w:tc>
          <w:tcPr>
            <w:tcW w:w="7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w w:val="85"/>
              </w:rPr>
              <w:t>revenue</w:t>
            </w:r>
          </w:p>
        </w:tc>
        <w:tc>
          <w:tcPr>
            <w:tcW w:w="840" w:type="dxa"/>
            <w:vAlign w:val="bottom"/>
            <w:tcBorders>
              <w:bottom w:val="single" w:sz="8" w:color="auto"/>
            </w:tcBorders>
            <w:gridSpan w:val="6"/>
            <w:vMerge w:val="continue"/>
          </w:tcPr>
          <w:p>
            <w:pPr>
              <w:spacing w:after="0"/>
              <w:rPr>
                <w:sz w:val="14"/>
                <w:szCs w:val="14"/>
                <w:color w:val="auto"/>
              </w:rPr>
            </w:pPr>
          </w:p>
        </w:tc>
        <w:tc>
          <w:tcPr>
            <w:tcW w:w="8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w w:val="89"/>
              </w:rPr>
              <w:t>revenue</w:t>
            </w:r>
          </w:p>
        </w:tc>
        <w:tc>
          <w:tcPr>
            <w:tcW w:w="800" w:type="dxa"/>
            <w:vAlign w:val="bottom"/>
            <w:tcBorders>
              <w:bottom w:val="single" w:sz="8" w:color="auto"/>
            </w:tcBorders>
            <w:gridSpan w:val="4"/>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gridSpan w:val="13"/>
          </w:tcPr>
          <w:p>
            <w:pPr>
              <w:jc w:val="right"/>
              <w:spacing w:after="0" w:line="142" w:lineRule="exact"/>
              <w:rPr>
                <w:sz w:val="20"/>
                <w:szCs w:val="20"/>
                <w:color w:val="auto"/>
              </w:rPr>
            </w:pPr>
            <w:r>
              <w:rPr>
                <w:rFonts w:ascii="Arial" w:cs="Arial" w:eastAsia="Arial" w:hAnsi="Arial"/>
                <w:sz w:val="14"/>
                <w:szCs w:val="14"/>
                <w:b w:val="1"/>
                <w:bCs w:val="1"/>
                <w:color w:val="auto"/>
                <w:w w:val="98"/>
              </w:rPr>
              <w:t>(in thousands, except percentages)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$24,381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15.9 % $15,505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7.3 % $ 8,876</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57.2 %</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Sales and marketing</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4,851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10"/>
              <w:spacing w:after="0"/>
              <w:rPr>
                <w:sz w:val="20"/>
                <w:szCs w:val="20"/>
                <w:color w:val="auto"/>
              </w:rPr>
            </w:pPr>
            <w:r>
              <w:rPr>
                <w:rFonts w:ascii="Arial" w:cs="Arial" w:eastAsia="Arial" w:hAnsi="Arial"/>
                <w:sz w:val="18"/>
                <w:szCs w:val="18"/>
                <w:color w:val="auto"/>
              </w:rPr>
              <w:t>3.2 %</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4,061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0"/>
              <w:spacing w:after="0"/>
              <w:rPr>
                <w:sz w:val="20"/>
                <w:szCs w:val="20"/>
                <w:color w:val="auto"/>
              </w:rPr>
            </w:pPr>
            <w:r>
              <w:rPr>
                <w:rFonts w:ascii="Arial" w:cs="Arial" w:eastAsia="Arial" w:hAnsi="Arial"/>
                <w:sz w:val="18"/>
                <w:szCs w:val="18"/>
                <w:color w:val="auto"/>
              </w:rPr>
              <w:t>1.9 %</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w w:val="89"/>
              </w:rPr>
              <w:t>19.5 %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19,354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12.6 %</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7.8 %</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16.</w:t>
            </w:r>
            <w:r>
              <w:rPr>
                <w:rFonts w:ascii="Arial" w:cs="Arial" w:eastAsia="Arial" w:hAnsi="Arial"/>
                <w:sz w:val="18"/>
                <w:szCs w:val="18"/>
                <w:u w:val="single" w:color="auto"/>
                <w:color w:val="auto"/>
                <w:w w:val="89"/>
              </w:rPr>
              <w:t>5</w:t>
            </w:r>
            <w:r>
              <w:rPr>
                <w:rFonts w:ascii="Arial" w:cs="Arial" w:eastAsia="Arial" w:hAnsi="Arial"/>
                <w:sz w:val="18"/>
                <w:szCs w:val="18"/>
                <w:color w:val="auto"/>
                <w:w w:val="89"/>
              </w:rPr>
              <w:t xml:space="preserve"> %</w:t>
            </w:r>
          </w:p>
        </w:tc>
        <w:tc>
          <w:tcPr>
            <w:tcW w:w="0" w:type="dxa"/>
            <w:vAlign w:val="bottom"/>
          </w:tcPr>
          <w:p>
            <w:pPr>
              <w:spacing w:after="0"/>
              <w:rPr>
                <w:sz w:val="1"/>
                <w:szCs w:val="1"/>
                <w:color w:val="auto"/>
              </w:rPr>
            </w:pPr>
          </w:p>
        </w:tc>
      </w:tr>
      <w:tr>
        <w:trPr>
          <w:trHeight w:val="217"/>
        </w:trPr>
        <w:tc>
          <w:tcPr>
            <w:tcW w:w="3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48,586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36,174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12,412</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34.</w:t>
            </w:r>
            <w:r>
              <w:rPr>
                <w:rFonts w:ascii="Arial" w:cs="Arial" w:eastAsia="Arial" w:hAnsi="Arial"/>
                <w:sz w:val="18"/>
                <w:szCs w:val="18"/>
                <w:u w:val="single" w:color="auto"/>
                <w:color w:val="auto"/>
                <w:w w:val="85"/>
              </w:rPr>
              <w:t>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Research and development expense increased by $4.6 million, or 56.6%, for the three months ended June 30, 2018 as compared to the three months ended June 30, 2017. Research and development expense increased by $8.9 million, or 57.2%, for the six months ended June 30, 2018 as compared to the six months ended June 30, 2017. Research and development costs consist of R&amp;D work orders, R&amp;D material usage and other project related costs related to 40 Gbps, 100 Gbps, and 200/400 Gbps data center products, DOCSIS 3.1 capable CATV products, including remote-PHY products, and other new product development, and depreciation expense resulting from R&amp;D equipment investments. Research and development costs increased for the three and six months ended June 30, 2018 as compared to the three and six months ended June 30, 2017 due mainly to increases in personnel-related costs, depreciation expenses associated with new R&amp;D equipment purchased or transferred during the year, materials and supplies used in R&amp;D activities and an increase in costs from R&amp;D work orders.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Sales and marketing expense increased by $0.2 million, or 10.1%, for the three months ended June 30, 2018 as compared to the three months ended June 30, 2017. Sales and marketing expense increased by $0.8 million, or 19.5%, for the six months ended June 30, 2018 as compared to the six months ended June 30, 2017. These increases were due to an increase in personnel costs, an increase in customs taxes, duties and freight, and increased trade show expenses, partially offset by decreased commissions and professional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General and administrative expense increased by $1.1 million, or 12.7%, for the three months ended June 30, 2018 compared to the three months ended June 30, 2017. General and administrative expense increased by $2.7 million, or 16.5%, for the six months ended June 30, 2018 compared to the six months ended June 30, 2017. These increases were primarily due to an increase in personnel-related costs, share-based compensation expenses, insurance expenses and professional service fees.</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General and administrative expenses include costs to comply with Section 404 of the Sarbanes-Oxley Act, or SOX, and other regulations governing public companies, costs of directors' and officers' liability insurance and investor relations activities. As of June 30, 2017, the market value of our common stock held by non-affiliates exceeded $700 million. As of December 31, 2017, we became a "large accelerated filer" and, accordingly, no longer qualify as an emerging growth company and no longer are able to rely on certain exemptions that were available to us as an emerging growth company. We anticipate that general and administrative expenses will continue to increase in absolute dollars in the future as we continue to incur additional spending to ensure continued SOX and other regulatory compliance. We expect such expenses to decline as a percentage of our revenues over time as our revenues grow.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34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300" w:type="dxa"/>
            <w:vAlign w:val="bottom"/>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84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70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76"/>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7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top w:val="single" w:sz="8" w:color="auto"/>
            </w:tcBorders>
            <w:vMerge w:val="restart"/>
          </w:tcPr>
          <w:p>
            <w:pPr>
              <w:jc w:val="right"/>
              <w:ind w:right="17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6"/>
              </w:rPr>
              <w:t>revenue</w:t>
            </w:r>
          </w:p>
        </w:tc>
        <w:tc>
          <w:tcPr>
            <w:tcW w:w="15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Amount   revenue</w:t>
            </w:r>
          </w:p>
        </w:tc>
        <w:tc>
          <w:tcPr>
            <w:tcW w:w="700" w:type="dxa"/>
            <w:vAlign w:val="bottom"/>
            <w:tcBorders>
              <w:bottom w:val="single" w:sz="8" w:color="auto"/>
            </w:tcBorders>
            <w:gridSpan w:val="2"/>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40" w:type="dxa"/>
            <w:vAlign w:val="bottom"/>
            <w:gridSpan w:val="10"/>
          </w:tcPr>
          <w:p>
            <w:pPr>
              <w:ind w:left="46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0.1 %</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0.1 % $   15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expense</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1.8 %</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2,370.3 %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Total other income (expense), net</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8"/>
          </w:tcPr>
          <w:p>
            <w:pPr>
              <w:jc w:val="right"/>
              <w:ind w:right="140"/>
              <w:spacing w:after="0"/>
              <w:rPr>
                <w:sz w:val="20"/>
                <w:szCs w:val="20"/>
                <w:color w:val="auto"/>
              </w:rPr>
            </w:pPr>
            <w:r>
              <w:rPr>
                <w:rFonts w:ascii="Arial" w:cs="Arial" w:eastAsia="Arial" w:hAnsi="Arial"/>
                <w:sz w:val="18"/>
                <w:szCs w:val="18"/>
                <w:color w:val="auto"/>
              </w:rPr>
              <w:t>1.6 % $ (111)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7"/>
          </w:tcPr>
          <w:p>
            <w:pPr>
              <w:spacing w:after="0"/>
              <w:rPr>
                <w:sz w:val="20"/>
                <w:szCs w:val="20"/>
                <w:color w:val="auto"/>
              </w:rPr>
            </w:pPr>
            <w:r>
              <w:rPr>
                <w:rFonts w:ascii="Arial" w:cs="Arial" w:eastAsia="Arial" w:hAnsi="Arial"/>
                <w:sz w:val="18"/>
                <w:szCs w:val="18"/>
                <w:color w:val="auto"/>
                <w:w w:val="99"/>
              </w:rPr>
              <w:t xml:space="preserve">(0.1)% </w:t>
            </w:r>
            <w:r>
              <w:rPr>
                <w:rFonts w:ascii="Arial" w:cs="Arial" w:eastAsia="Arial" w:hAnsi="Arial"/>
                <w:sz w:val="18"/>
                <w:szCs w:val="18"/>
                <w:u w:val="single" w:color="auto"/>
                <w:color w:val="auto"/>
                <w:w w:val="99"/>
              </w:rPr>
              <w:t>$</w:t>
            </w:r>
            <w:r>
              <w:rPr>
                <w:rFonts w:ascii="Arial" w:cs="Arial" w:eastAsia="Arial" w:hAnsi="Arial"/>
                <w:sz w:val="18"/>
                <w:szCs w:val="18"/>
                <w:color w:val="auto"/>
                <w:w w:val="99"/>
              </w:rPr>
              <w:t>1,498</w:t>
            </w:r>
          </w:p>
        </w:tc>
        <w:tc>
          <w:tcPr>
            <w:tcW w:w="140" w:type="dxa"/>
            <w:vAlign w:val="bottom"/>
          </w:tcPr>
          <w:p>
            <w:pPr>
              <w:spacing w:after="0"/>
              <w:rPr>
                <w:sz w:val="18"/>
                <w:szCs w:val="18"/>
                <w:color w:val="auto"/>
              </w:rPr>
            </w:pPr>
          </w:p>
        </w:tc>
        <w:tc>
          <w:tcPr>
            <w:tcW w:w="920" w:type="dxa"/>
            <w:vAlign w:val="bottom"/>
            <w:gridSpan w:val="3"/>
          </w:tcPr>
          <w:p>
            <w:pPr>
              <w:jc w:val="right"/>
              <w:ind w:right="10"/>
              <w:spacing w:after="0"/>
              <w:rPr>
                <w:sz w:val="20"/>
                <w:szCs w:val="20"/>
                <w:color w:val="auto"/>
              </w:rPr>
            </w:pPr>
            <w:r>
              <w:rPr>
                <w:rFonts w:ascii="Arial" w:cs="Arial" w:eastAsia="Arial" w:hAnsi="Arial"/>
                <w:sz w:val="18"/>
                <w:szCs w:val="18"/>
                <w:color w:val="auto"/>
                <w:w w:val="90"/>
              </w:rPr>
              <w:t>(1,349.</w:t>
            </w:r>
            <w:r>
              <w:rPr>
                <w:rFonts w:ascii="Arial" w:cs="Arial" w:eastAsia="Arial" w:hAnsi="Arial"/>
                <w:sz w:val="18"/>
                <w:szCs w:val="18"/>
                <w:u w:val="single" w:color="auto"/>
                <w:color w:val="auto"/>
                <w:w w:val="90"/>
              </w:rPr>
              <w:t>5)</w:t>
            </w: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11"/>
          </w:tcPr>
          <w:p>
            <w:pPr>
              <w:ind w:left="20"/>
              <w:spacing w:after="0"/>
              <w:rPr>
                <w:sz w:val="20"/>
                <w:szCs w:val="20"/>
                <w:color w:val="auto"/>
              </w:rPr>
            </w:pPr>
            <w:r>
              <w:rPr>
                <w:rFonts w:ascii="Arial" w:cs="Arial" w:eastAsia="Arial" w:hAnsi="Arial"/>
                <w:sz w:val="14"/>
                <w:szCs w:val="14"/>
                <w:b w:val="1"/>
                <w:bCs w:val="1"/>
                <w:color w:val="auto"/>
                <w:w w:val="95"/>
              </w:rPr>
              <w:t>Six months ended June 30,</w:t>
            </w: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4"/>
            <w:vMerge w:val="restart"/>
          </w:tcPr>
          <w:p>
            <w:pPr>
              <w:jc w:val="right"/>
              <w:ind w:right="290"/>
              <w:spacing w:after="0"/>
              <w:rPr>
                <w:sz w:val="20"/>
                <w:szCs w:val="20"/>
                <w:color w:val="auto"/>
              </w:rPr>
            </w:pPr>
            <w:r>
              <w:rPr>
                <w:rFonts w:ascii="Arial" w:cs="Arial" w:eastAsia="Arial" w:hAnsi="Arial"/>
                <w:sz w:val="14"/>
                <w:szCs w:val="14"/>
                <w:b w:val="1"/>
                <w:bCs w:val="1"/>
                <w:color w:val="auto"/>
              </w:rPr>
              <w:t>Change</w:t>
            </w:r>
          </w:p>
        </w:tc>
        <w:tc>
          <w:tcPr>
            <w:tcW w:w="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bottom w:val="single" w:sz="8" w:color="auto"/>
            </w:tcBorders>
            <w:gridSpan w:val="5"/>
          </w:tcPr>
          <w:p>
            <w:pPr>
              <w:jc w:val="right"/>
              <w:ind w:right="26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bottom w:val="single" w:sz="8" w:color="auto"/>
            </w:tcBorders>
            <w:gridSpan w:val="5"/>
          </w:tcPr>
          <w:p>
            <w:pPr>
              <w:jc w:val="center"/>
              <w:ind w:left="399"/>
              <w:spacing w:after="0" w:line="142" w:lineRule="exact"/>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70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0"/>
                <w:szCs w:val="10"/>
                <w:color w:val="auto"/>
              </w:rPr>
            </w:pPr>
          </w:p>
        </w:tc>
        <w:tc>
          <w:tcPr>
            <w:tcW w:w="62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revenue</w:t>
            </w:r>
          </w:p>
        </w:tc>
        <w:tc>
          <w:tcPr>
            <w:tcW w:w="150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rPr>
              <w:t>Amount   revenue</w:t>
            </w:r>
          </w:p>
        </w:tc>
        <w:tc>
          <w:tcPr>
            <w:tcW w:w="4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gridSpan w:val="18"/>
          </w:tcPr>
          <w:p>
            <w:pPr>
              <w:jc w:val="center"/>
              <w:spacing w:after="0" w:line="142" w:lineRule="exact"/>
              <w:rPr>
                <w:sz w:val="20"/>
                <w:szCs w:val="20"/>
                <w:color w:val="auto"/>
              </w:rPr>
            </w:pPr>
            <w:r>
              <w:rPr>
                <w:rFonts w:ascii="Arial" w:cs="Arial" w:eastAsia="Arial" w:hAnsi="Arial"/>
                <w:sz w:val="14"/>
                <w:szCs w:val="14"/>
                <w:b w:val="1"/>
                <w:bCs w:val="1"/>
                <w:color w:val="auto"/>
                <w:w w:val="89"/>
              </w:rPr>
              <w:t>(in thousands, except percentages)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$ 137</w:t>
            </w:r>
          </w:p>
        </w:tc>
        <w:tc>
          <w:tcPr>
            <w:tcW w:w="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0.1 %</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0.0 %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9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30.5 %</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expense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(0.2)%</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920" w:type="dxa"/>
            <w:vAlign w:val="bottom"/>
            <w:gridSpan w:val="3"/>
          </w:tcPr>
          <w:p>
            <w:pPr>
              <w:jc w:val="right"/>
              <w:ind w:right="1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554</w:t>
            </w:r>
          </w:p>
        </w:tc>
        <w:tc>
          <w:tcPr>
            <w:tcW w:w="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0.3 %</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1,098</w:t>
            </w:r>
          </w:p>
        </w:tc>
        <w:tc>
          <w:tcPr>
            <w:tcW w:w="9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7"/>
        </w:trPr>
        <w:tc>
          <w:tcPr>
            <w:tcW w:w="4400" w:type="dxa"/>
            <w:vAlign w:val="bottom"/>
          </w:tcPr>
          <w:p>
            <w:pPr>
              <w:ind w:left="22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3"/>
              </w:rPr>
              <w:t>$ 341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0.2</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(983)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(0.4)</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4"/>
              </w:rPr>
              <w:t>1,324</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(134.</w:t>
            </w:r>
            <w:r>
              <w:rPr>
                <w:rFonts w:ascii="Arial" w:cs="Arial" w:eastAsia="Arial" w:hAnsi="Arial"/>
                <w:sz w:val="18"/>
                <w:szCs w:val="18"/>
                <w:u w:val="single" w:color="auto"/>
                <w:color w:val="auto"/>
                <w:w w:val="87"/>
              </w:rPr>
              <w:t>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Interest income increased 21.4% for the three months ended June 30, 2018 as compared to the three months ended June 30, 2017, due to larger cash balances. Interest income increased 30.5% for the six months ended June 30, 2018 as compared to the six months ended June 30, 2017, due to larger cash balances.</w:t>
      </w:r>
    </w:p>
    <w:p>
      <w:pPr>
        <w:spacing w:after="0" w:line="18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Interest expense increased 13.9% for the three months ended June 30, 2018 as compared to the three months ended June 30, 2017. These increases were due to repayment of debt that had been previously borrowed to fund expansion projects, offset by new debt borrowings in the second quarter of 2018. Interest expense decreased 35.7% for the six months ended June 30, 2018 as compared to the six months ended June 30, 2017. These decreases were due to repayment of debt that had been previously borrowed to fund expansion projects, offset by new debt borrowings in the second quarter of 2018.</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Other income (expense) for the three months ended June 30, 2018 was income of $1.6 million, a $1.5 million increase compared to the three months ended June 30, 2017. Other income (expense) for the six months ended June 30, 2018 was income of $0.6 million, a $1.1 million increase compared to the six months ended June 30, 2017. These increases were due to the increase of foreign exchange gains resulting from the favorable fluctuation of certain Asian currencies against the U.S. dollar.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20" w:type="dxa"/>
            <w:vAlign w:val="bottom"/>
            <w:tcBorders>
              <w:bottom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89"/>
              </w:rPr>
              <w:t>2018</w:t>
            </w: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340" w:type="dxa"/>
            <w:vAlign w:val="bottom"/>
            <w:tcBorders>
              <w:bottom w:val="single" w:sz="8" w:color="auto"/>
            </w:tcBorders>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2"/>
                <w:szCs w:val="12"/>
                <w:color w:val="auto"/>
              </w:rPr>
            </w:pPr>
          </w:p>
        </w:tc>
      </w:tr>
      <w:tr>
        <w:trPr>
          <w:trHeight w:val="142"/>
        </w:trPr>
        <w:tc>
          <w:tcPr>
            <w:tcW w:w="3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900" w:type="dxa"/>
            <w:vAlign w:val="bottom"/>
            <w:gridSpan w:val="4"/>
          </w:tcPr>
          <w:p>
            <w:pPr>
              <w:jc w:val="right"/>
              <w:ind w:right="31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00" w:type="dxa"/>
            <w:vAlign w:val="bottom"/>
            <w:gridSpan w:val="2"/>
            <w:shd w:val="clear" w:color="auto" w:fill="CCEEFF"/>
          </w:tcPr>
          <w:p>
            <w:pPr>
              <w:jc w:val="center"/>
              <w:ind w:left="1810"/>
              <w:spacing w:after="0"/>
              <w:rPr>
                <w:sz w:val="20"/>
                <w:szCs w:val="20"/>
                <w:color w:val="auto"/>
              </w:rPr>
            </w:pPr>
            <w:r>
              <w:rPr>
                <w:rFonts w:ascii="Arial" w:cs="Arial" w:eastAsia="Arial" w:hAnsi="Arial"/>
                <w:sz w:val="18"/>
                <w:szCs w:val="18"/>
                <w:color w:val="auto"/>
                <w:w w:val="88"/>
              </w:rPr>
              <w:t>$ (2,296)</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(5,083)</w:t>
            </w:r>
          </w:p>
        </w:tc>
        <w:tc>
          <w:tcPr>
            <w:tcW w:w="8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2,787</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(54.8)%</w:t>
            </w:r>
          </w:p>
        </w:tc>
      </w:tr>
      <w:tr>
        <w:trPr>
          <w:trHeight w:val="378"/>
        </w:trPr>
        <w:tc>
          <w:tcPr>
            <w:tcW w:w="3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42"/>
        </w:trPr>
        <w:tc>
          <w:tcPr>
            <w:tcW w:w="3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20" w:type="dxa"/>
            <w:vAlign w:val="bottom"/>
            <w:tcBorders>
              <w:bottom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89"/>
              </w:rPr>
              <w:t>2018</w:t>
            </w: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340" w:type="dxa"/>
            <w:vAlign w:val="bottom"/>
            <w:tcBorders>
              <w:bottom w:val="single" w:sz="8" w:color="auto"/>
            </w:tcBorders>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2"/>
                <w:szCs w:val="12"/>
                <w:color w:val="auto"/>
              </w:rPr>
            </w:pPr>
          </w:p>
        </w:tc>
      </w:tr>
      <w:tr>
        <w:trPr>
          <w:trHeight w:val="142"/>
        </w:trPr>
        <w:tc>
          <w:tcPr>
            <w:tcW w:w="3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900" w:type="dxa"/>
            <w:vAlign w:val="bottom"/>
            <w:gridSpan w:val="4"/>
          </w:tcPr>
          <w:p>
            <w:pPr>
              <w:jc w:val="right"/>
              <w:ind w:right="31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00" w:type="dxa"/>
            <w:vAlign w:val="bottom"/>
            <w:gridSpan w:val="2"/>
            <w:shd w:val="clear" w:color="auto" w:fill="CCEEFF"/>
          </w:tcPr>
          <w:p>
            <w:pPr>
              <w:jc w:val="center"/>
              <w:ind w:left="1810"/>
              <w:spacing w:after="0"/>
              <w:rPr>
                <w:sz w:val="20"/>
                <w:szCs w:val="20"/>
                <w:color w:val="auto"/>
              </w:rPr>
            </w:pPr>
            <w:r>
              <w:rPr>
                <w:rFonts w:ascii="Arial" w:cs="Arial" w:eastAsia="Arial" w:hAnsi="Arial"/>
                <w:sz w:val="18"/>
                <w:szCs w:val="18"/>
                <w:color w:val="auto"/>
                <w:w w:val="88"/>
              </w:rPr>
              <w:t>$ (1,300)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 (8,737)</w:t>
            </w:r>
          </w:p>
        </w:tc>
        <w:tc>
          <w:tcPr>
            <w:tcW w:w="8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7,437</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85.1 %</w:t>
            </w:r>
          </w:p>
        </w:tc>
      </w:tr>
    </w:tbl>
    <w:p>
      <w:pPr>
        <w:spacing w:after="0" w:line="20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tax provision or benefit from income taxes for interim periods is determined using an estimate of our annual effective tax rate, adjusted for discrete items, if any, that are taken into account in the relevant period. Our quarterly tax provision, and our quarterly estimate of our annual effective tax rate, is subject to significant variation due to several factors, including variability in accurately predicting our pre-tax income and loss and the mix of jurisdictions to which they relate, tax law developments, and relative changes in permanent tax benefits or expenses.</w:t>
      </w:r>
    </w:p>
    <w:p>
      <w:pPr>
        <w:spacing w:after="0" w:line="17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effective tax rate for the three months ended June 30, 2018 and 2017 was 22.2% and 14.9%, respectively. For the three months ended June 30, 2018, the effective tax rate varied from the federal statutory rate of 21% primarily due to the level and mix of earnings among tax jurisdictions, share-based compensation, and recognition of the U.S. global intangible low-taxed income ("GILTI") which is partially offset by foreign tax credits. For the three months ended June 30, 2017, the effective tax rate varied from the federal statutory rate of 35% primarily due to (1) the level and mix of earnings among tax jurisdictions, (2) the release of the valuation allowances recorded on the deferred tax assets in China, and (3) the recognition of employee share-based compensation in accordance with ASU 2016-09.</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effective tax rate for the six months ended June 30, 2018 and 2017 was 11.4% and 15.2%, respectively. For the six months ended June 30, 2018, the effective tax rate varied from the federal statutory rate of 21% primarily due to the level and mix of earnings among tax jurisdictions, share-based compensation, and recognition of the U.S. global intangible low-taxed income ("GILTI") which is partially offset by foreign tax credits. For the six months ended June 30, 2017, the effective tax rate varied from the federal statutory rate of 35% primarily due to 1) the level and mix of earnings among tax jurisdictions, 2) the release of the valuation allowances recorded on the deferred tax assets in China, and 3) the recognition of employee share-based compensation in accordance with ASU 2016-09.</w:t>
      </w:r>
    </w:p>
    <w:p>
      <w:pPr>
        <w:spacing w:after="0" w:line="17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December 22, 2017, the President of the United Stated signed Public Law No. 115-97, commonly referred to as the Tax Cut and Jobs Act of 2017 (the “Tax Act”). The Tax Act makes significant changes to the U.S. tax code, which include, but are not limited to, a U.S federal corporate tax rate decrease from 35% to 21% effective January 1, 2018, a shift to a modified territorial tax regime, which requires companies to pay a one-time transition tax on the mandatory deemed repatriation of the cumulative earnings of certain foreign subsidiaries as of December 31, 2017, a new provision designed to tax GILTI of foreign subsidiaries, a limitation of the deduction for net operating losses, elimination of net operating loss carrybacks, immediate deductions for depreciation expense for certain qualified property, additional limitations on the deductibility of executive compensation, and limitations on the deductibility of interest.</w:t>
      </w:r>
    </w:p>
    <w:p>
      <w:pPr>
        <w:spacing w:after="0" w:line="16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were able to reasonably estimate the transition tax and recorded an initial provisional transition tax obligation of $5.0 million, with a corresponding adjustment of $5.0 million to income tax expense for the year ended December 31, 2017. As a result of new interpretive guidance issued by the Treasury and the IRS, we recognized an additional measurement-period adjustment of ($0.8 million), with a corresponding adjustment of $0.8 million to income tax benefit during the six months ended June 30, 2018. The effect of the measurement-period adjustment on the second quarter 2018 effective tax rate was approximately (7) %. However, we are continuing to gather additional information to more precisely compute the amount of the transition tax, and our accounting for this item is not yet complete because the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final foreign earnings and profits calculations have not been completed. We expect to complete our accounting within the prescribed measurement period.</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will continue to refine our estimates related to the impact of the Tax Act during the one year measurement period from December 22, 2017 allowed under Staff Accounting Bulletin 118 (“SAB 118”).</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Additionally, we previously considered the earnings in our non-U.S. subsidiaries to be indefinitely reinvested and, accordingly, recorded no deferred income taxes. We are currently analyzing our global working capital and cash requirements and the potential tax liabilities attributable to a repatriation, but we have yet to determine whether we plan to change our prior assertion and repatriate earnings. While the transition tax resulted in the reduction of the excess of the amount for financial reporting over the tax basis in our foreign subsidiaries, an actual repatriation from our non-U.S. subsidiaries could be subject to additional foreign and U.S. state income taxes. Accordingly, we have not recorded any deferred taxes attributable to our investments in our foreign subsidiaries. We will record the tax effects of any change in our prior assertion in the period that we complete our analysis and are able to make a reasonable estimate, and disclose any unrecognized deferred tax liability for temporary differences related to our foreign investments, if practicable.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From inception until our initial public offering in September 2013, we financed our operations through private sales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equity securities, cash generated from operations and from various lending arrangements. As of June 30, 2018, we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$56.1 million of unused borrowing capacity from all of our loan agreements. As of June 30, 2018, our cash, cash equivalents,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restricted cash and short-term investments totaled $77.9 million. Cash and cash equivalents are held for working capital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purposes and are invested primarily in money market or time deposit funds. We do not enter into investments for trading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speculative purposes. On October 17, 2016, we filed a Registration Statement on Form S-3 with the Securities and 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Commission, which was declared effective on November 1, 2016, providing for the public offer and sale of certain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Company from time to time, at our discretion, up to an aggregate amount of $250 million. Between November 22,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2016 and March 2, 2017, the Company sold 1.6 million shares of common stock at a weighted average price of $31.55 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 providing proceeds of $48.8 million, net of expenses and underwriting discounts and commissions.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30"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Six months ended</w:t>
      </w:r>
    </w:p>
    <w:p>
      <w:pPr>
        <w:ind w:left="69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5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49,884</w:t>
            </w:r>
          </w:p>
        </w:tc>
        <w:tc>
          <w:tcPr>
            <w:tcW w:w="1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(35,220)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(30,604)</w:t>
            </w:r>
          </w:p>
        </w:tc>
        <w:tc>
          <w:tcPr>
            <w:tcW w:w="1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160" w:type="dxa"/>
            <w:vAlign w:val="bottom"/>
            <w:shd w:val="clear" w:color="auto" w:fill="CCEEFF"/>
          </w:tcPr>
          <w:p>
            <w:pPr>
              <w:spacing w:after="0"/>
              <w:rPr>
                <w:sz w:val="18"/>
                <w:szCs w:val="18"/>
                <w:color w:val="auto"/>
              </w:rPr>
            </w:pPr>
          </w:p>
        </w:tc>
      </w:tr>
      <w:tr>
        <w:trPr>
          <w:trHeight w:val="216"/>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Borders>
              <w:bottom w:val="single" w:sz="8" w:color="CCEEFF"/>
            </w:tcBorders>
          </w:tcPr>
          <w:p>
            <w:pPr>
              <w:spacing w:after="0"/>
              <w:rPr>
                <w:sz w:val="18"/>
                <w:szCs w:val="18"/>
                <w:color w:val="auto"/>
              </w:rPr>
            </w:pPr>
          </w:p>
        </w:tc>
      </w:tr>
      <w:tr>
        <w:trPr>
          <w:trHeight w:val="217"/>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23,915</w:t>
            </w:r>
          </w:p>
        </w:tc>
        <w:tc>
          <w:tcPr>
            <w:tcW w:w="1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For the six months ended June 30, 2018, net cash provided by operating activities was $18.1 million. Net cash provided by operating activities consisted of our net income of $10.2 million, after the exclusion of non-cash items of $20.5 million, as well as an increase in accounts payable to our vendors of $7.8 million and a decrease in accounts receivable from our customers of $11.2 million. These cash increases were offset by a decrease in accrued liabilities of $2.3 million, an increase in accrued income tax liabilities of $6.9 million, a decrease in other current assets of $1.5 million and an increase in inventory of $21.6 million.</w:t>
      </w:r>
    </w:p>
    <w:p>
      <w:pPr>
        <w:spacing w:after="0" w:line="19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the six months ended June 30, 2017, net cash provided by operating activities was $49.9 million. Net cash provided by operating activities consisted of our net income of $48.9 million, after the exclusion of non-cash items of $15.6 million as well as an increase in accounts payable to our vendors of $17.5 million and an increase in accrued income taxes of $3.9 million. These cash increases were offset by an increase in accounts receivable from our customers of $24.0 million, an increase in inventories of $6.4 million, an increase in prepaid assets of $4.8 million and a decrease in accrued liabilities of $0.9 million.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For the six months ended June 30, 2018, net cash used in investing activities was $35.2 million, mainly for the purchase of additional machinery and equipment and land use rights in China.</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For the six months ended June 30, 2017, net cash used in investing activities was $30.6 million mainly for the purchase of additional machinery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For the six months ended June 30, 2018, our financing activities provided $9.3 million in cash. This increase in cash was due to net borrowings of $11.5 million offset by $2.2 million of withholding taxes paid on behalf of employees related to their share-based compensation.</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the six months ended June 30, 2017, our financing activities provided $4.8 million in cash. We received $21.6 million in net proceeds from the sale of our common stock pursuant to an at-the-market offering and $1.3 million in proceeds from employee stock option exercises. In addition, we repaid $15.9 million of notes payable and paid $1.8 million of withholding taxes on behalf of employees related to their share-based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have lending arrangements with several financial institutions, including a revolving line of credit with Branch, Banking and Trust Company (“BB&amp;T”) in the U.S. and a revolving credit facility from Taishin International Bank in Taiwan for Prime World’s Taiwan branch. As of June 30, 2018, we had $56.1 million of unused borrowing capacity.</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June 14, 2016, we executed a Change in Terms Agreement, Notice of Final Agreement and Modification of the Construction Loan Agreement (the “Modification Agreement”) in connection with our Construction Loan Agreement with East West Bank for up to $22.0 million dollars to finance the construction of our campus expansion plan in Sugar Land, Texas, originally dated January 26, 2015 (the “Construction Loan Agreement”). Under the Construction Loan Agreement, the loan bore interest at an annual rate based on the one-month LIBOR Borrowing Rate plus 2.75%, and the interest rate was adjusted to LIBOR Borrowing Rate plus 2.0% under the Modification Agreement.</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October 5, 2016, we executed a Change in Terms Agreement, Notice of Final Agreement and Second Modification to the Construction Loan Agreement (the “Second Modifications”) to the Construction Loan Agreement with East West Bank. The Second Modifications amended and restated in part our Promissory Note and Construction Loan Agreement, which was originally executed on January 26, 2015, and the Modification Agreement. The draw down period end date, under the Second Modifications, was amended from July 31, 2016 to September 30, 2016. On September 28, 2017, we repaid the outstanding balance of $11.2 million and terminated the loan.</w:t>
      </w:r>
    </w:p>
    <w:p>
      <w:pPr>
        <w:spacing w:after="0" w:line="17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June 24, 2016, we entered into a First Amendment to the Credit Agreement with East West Bank and Comerica Bank (the “First Amendment”), a second lien deed of trust, multiple security agreements and promissory notes evidencing two credit facilities and a term loan originally entered into on June 30, 2015. The First Amendment increased our revolving lines of credit from $25 million to $40 million, which would have matured on June 30, 2018, and retained a $10.0 million term loan which would have matured on June 30, 2020. The First Amendment also provided for an additional $10.0 million equipment term loan with a one year drawdown period commencing on April 1, 2016 and maturing five years from the closing date of the First Amendment. The interest rate on these loans was adjusted by the First Amendment from the LIBOR Borrowing Rate plus 2.75% or 3.0% to LIBOR Borrowing Rate plus 2.0%. On September 28, 2017, we terminated the credit agreement and all outstanding balances of the loans had been repaid.</w:t>
      </w:r>
    </w:p>
    <w:p>
      <w:pPr>
        <w:spacing w:after="0" w:line="18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On September 28, 2017, we entered into a Loan Agreement, a Promissory Note, an Addendum to the Promissory Note, a BB&amp;T Security Agreement, a Trademark Security Agreement, and a Patent Security Agreement (together the “Credit Facility”) with BB&amp;T. The Credit Facility provides us with a three year, $50 million, revolving line of credit. Borrowings under the Credit Facility will be used for general corporate purposes. We will make monthly payments of accrued interest with the final monthly payment being for all principal and all accrued interest not yet paid. Our obligations under the Credit Facility will be secured by our accounts receivable, inventory, intellectual property, all business assets with the exception of real estate and equipment. Borrowings under the Credit Facility will bear interest at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 rate equal to the one-month LIBOR plus 1.50%. The Credit Facility requires us to maintain certain financial covenants and also contains representations and warranties, and events of default applicable to us that are customary for agreements of this type.</w:t>
      </w:r>
    </w:p>
    <w:p>
      <w:pPr>
        <w:spacing w:after="0" w:line="181" w:lineRule="exact"/>
        <w:rPr>
          <w:sz w:val="20"/>
          <w:szCs w:val="20"/>
          <w:color w:val="auto"/>
        </w:rPr>
      </w:pPr>
    </w:p>
    <w:p>
      <w:pPr>
        <w:ind w:right="20" w:firstLine="495"/>
        <w:spacing w:after="0" w:line="283" w:lineRule="auto"/>
        <w:rPr>
          <w:sz w:val="20"/>
          <w:szCs w:val="20"/>
          <w:color w:val="auto"/>
        </w:rPr>
      </w:pPr>
      <w:r>
        <w:rPr>
          <w:rFonts w:ascii="Arial" w:cs="Arial" w:eastAsia="Arial" w:hAnsi="Arial"/>
          <w:sz w:val="16"/>
          <w:szCs w:val="16"/>
          <w:color w:val="auto"/>
        </w:rPr>
        <w:t>On March 30, 2018, we executed a First Amendment to Loan Agreement, a Note Modification Agreement and Addendum to Promissory Note for $60 million, a Promissory Note and Addendum to Promissory Note for $26 million, a Promissory Note and Addendum to Promissory Note for $21.5 million, a Texas Deed of Trust and Security Agreement, an Assignment of Lease and Rent, and an Environmental Certification and Indemnity Agreement, (collectively, the “Amended Credit Facility”), with BB&amp;T. The Amended Credit Facility amends our three-year $50 million line of credit with BB&amp;T, originally executed on September 28, 2017 (the “Existing Loan”). The Amended Credit Facility (1) increases the principal amount of the three-year line of credit from $50 million to $60 million (the “Line of Credit”); (2) allows us to borrow an additional $26 million from BB&amp;T in the form of a five-year capital expenditure loan (the “CapEx Loan”) and (3) allows us to borrow an additional $21.5 million in the form of a seventy-month real estate term loan (the “Term Loan”) to refinance our plant and facilities in Sugar Land, Texas. Borrowings under the Line of Credit will bear interest at a rate equal to the one-month LIBOR plus a Line of Credit margin ranging between 1.40% and 2.0%. Borrowings under the CapEx Loan will bear interest at a rate equal to the one-month LIBOR plus a CapEx Loan margin ranging between 1.30% and 2.0%. Borrowings under the Term Loan will bear interest at a rate equal to the one-month LIBOR plus a Term Loan margin ranging between</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1.15% and 2.0%. We will make monthly payments of principal and accrued interest with the final monthly payments being for all principal and accrued interest not yet paid. Our obligations under the Amended Credit Facility will be secured by our accounts receivable, inventory, equipment, intellectual property, real property, and virtually all business assets. As of June 30, 2018, we were in compliance with all covenants under the Amended Credit Facility. As of June 30, 2018, $35.0 million was outstanding under the Line of Credit, $21.1 million was outstanding under the Term Loan and $4.9 million was outstanding under the CapEx Loan.</w:t>
      </w:r>
    </w:p>
    <w:p>
      <w:pPr>
        <w:spacing w:after="0" w:line="194"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On May 27, 2015, our Taiwan branch entered into a Purchase and Sale Contract and a Finance Lease Agreement with Chailease Finance Co, Ltd. (“Chailease”) in connection with certain equipment, structured as a sale lease-back transaction. Pursuant to the Purchase and Sale Contract, our Taiwan branch sold certain equipment to Chailease for a purchase price of 180,148,532 New Taiwan dollars, and simultaneously leased the equipment back from Chailease pursuant to the Finance Lease Agreement. The monthly lease payments range from 3,784,000 New Taiwan dollars, to 3,322,413 New Taiwan dollars, during the term of the Finance Lease Agreement, including an initial payment in an amount of 60,148,532 New Taiwan dollars. The Finance Lease Agreement had a three-year term, which matured on May 27, 2018. The title to the equipment was transferred to our Taiwan branch upon the expiration of the Finance Lease Agreement. As of June 30, 2018, the outstanding balance under this Finance Lease Agreement had been fully repaid.</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March 31, 2016, our Taiwan branch entered into a Purchase and Sale Contract and a Finance Lease Agreement with Chailease in connection with certain equipment, structured as a sale lease-back transaction. Pursuant to the Purchase and Sale Contract, our Taiwan branch sold certain equipment to Chailease for a purchase price of 312,927,180 New Taiwan dollars, and simultaneously leased the equipment back from Chailease pursuant to the Finance Lease Agreement. The Finance Lease Agreement had a three-year term with monthly lease payments ranging from 6,772,500 New Taiwan dollars, to 7,788,333 New Taiwan dollars, during the term of the Finance Lease Agreement, including an initial payment in an amount of 62,927,180 New Taiwan dollars. Based on the payments made under the Finance Lease Agreement, the annual interest rate was calculated to be 4.0%. On October 6, 2017, we repaid the outstanding balance and terminated the loan, and title to the equipment was transferred to our Taiwan branch.</w:t>
      </w:r>
    </w:p>
    <w:p>
      <w:pPr>
        <w:spacing w:after="0" w:line="18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June 19, 2018, Prime World’s Taiwan branch entered into a one year revolving credit facility totaling 300 million New Taiwan dollars (the “Taiwan Credit Facility”) with Taishin International Bank in Taiwan (the “Bank”). Borrowing under the Taiwan Credit Facility will be used for short-term working capital. Prime World may draw upon the Taiwan Credit Facility from June 19, 2018 until May 31, 2019. The term of each draw shall be either 90 or 120 days. Borrowings under the Taiwan Credit Facility will bear interest at a rate of 2.00% for 90 day draws and 1.95% for 120 day draws. At the end of the draw term, Prime World will make payment for all principal and accrued interest. The agreements for the Taiwan Credit Facility contain representations and warranties, and events of default applicable to Prime World that are customary for agreements of this type. As of June 30, 2018, there was no outstanding balance under this credit facility.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there were no security deposits associated with the loan facilities,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believe that our existing cash and cash equivalents, and cash flows from our operating activities and borrowings from our lenders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expansion of our manufacturing capacity and the continuing market acceptance of our products. In the event that additional liquidity is required to meet our long-term investments, we may need to explore additional sources of liquidity by additional bank credit facilities or raising capital through additional equity or debt financing including our equity financing under our Registration Statement filed with the SEC in October 2016. The sale of additional equity or convertible securities could result in additional dilution to our stockholders, and the terms and prices of any such sale may not be acceptable to us. If we are unable to raise additional capital when desired, our business, operating results and financial condition would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June 30,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276"/>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1-3 Years</w:t>
            </w: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3-5 Years</w:t>
            </w:r>
          </w:p>
        </w:tc>
        <w:tc>
          <w:tcPr>
            <w:tcW w:w="1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 payable and long-term debt</w:t>
            </w:r>
            <w:r>
              <w:rPr>
                <w:rFonts w:ascii="Arial" w:cs="Arial" w:eastAsia="Arial" w:hAnsi="Arial"/>
                <w:sz w:val="8"/>
                <w:szCs w:val="8"/>
                <w:color w:val="auto"/>
              </w:rPr>
              <w:t>(1)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$ 64,133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42,572</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8"/>
                <w:szCs w:val="8"/>
                <w:color w:val="auto"/>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11,548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2,053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6,440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commitments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75,681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44,604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$ 17,060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200" w:hanging="317"/>
        <w:spacing w:after="0" w:line="256"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several loan and security agreements in Taiwan and the U.S. that provide various credit facilities, including lines of credit and term loans. The amount presented in the table represents the principal portion and estimated interest expense for the obligations.</w:t>
      </w: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entered into various non-cancellable operating lease agreements for our offices in Taiwan and in the U.S.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We believe that the relatively low rate of inflation in the U.S. over the past few years has not had a significant impact on our sales or operating results or on the prices of raw materials. To the extent we expand our operations in China and Taiwan, such actions may result in inflation having a more significant impact on our operating results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For the three months ended June 30, 2018, we did not, and we do not currently, have any off-balance sheet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our annual report on Form 10-K for the year ended December 31, 2017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doubtful accounts,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For quantitative and qualitative disclosures about market risk affecting the Company, see Item 7A – Quantitative and Qualitative Disclosures about Market Risk in our Annual Report on Form 10-K for the fiscal year ended December 31, 2017. We do not believe the Company’s exposure to market risk has changed materially since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June 30, 2018. Based upon that evaluation, our Chief Executive Officer and Chief Financial Officer concluded that, as of the end of the period covered by this report,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From time to time, we may be subject to legal proceedings and litigation arising in the ordinary course of business, including, but not limited to, inquiries, investigations, audits and other regulatory proceedings, such as described below. Except for the lawsuit described below, we believe that there are no claims or actions pending or threatened against us, the ultimate disposition of which would have a material adverse effect on us.</w:t>
      </w:r>
    </w:p>
    <w:p>
      <w:pPr>
        <w:spacing w:after="0" w:line="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On August 5, 2017, a lawsuit was filed in the U.S. District Court for the Southern District of Texas against us and two of our officers in </w:t>
      </w:r>
      <w:r>
        <w:rPr>
          <w:rFonts w:ascii="Arial" w:cs="Arial" w:eastAsia="Arial" w:hAnsi="Arial"/>
          <w:sz w:val="16"/>
          <w:szCs w:val="16"/>
          <w:i w:val="1"/>
          <w:iCs w:val="1"/>
          <w:color w:val="auto"/>
        </w:rPr>
        <w:t>Mona Abouzied v. Applied Optoelectronics, Inc., Chih-Hsiang (Thompson) Lin, and Stefan J. Murry,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Case No. 4:17-cv-02399. The complaint in this matter seeks class action status on behalf of our shareholders, alleging</w:t>
      </w:r>
      <w:r>
        <w:rPr>
          <w:rFonts w:ascii="Arial" w:cs="Arial" w:eastAsia="Arial" w:hAnsi="Arial"/>
          <w:sz w:val="16"/>
          <w:szCs w:val="16"/>
          <w:i w:val="1"/>
          <w:iCs w:val="1"/>
          <w:color w:val="auto"/>
        </w:rPr>
        <w:t xml:space="preserve"> </w:t>
      </w:r>
      <w:r>
        <w:rPr>
          <w:rFonts w:ascii="Arial" w:cs="Arial" w:eastAsia="Arial" w:hAnsi="Arial"/>
          <w:sz w:val="16"/>
          <w:szCs w:val="16"/>
          <w:color w:val="auto"/>
        </w:rPr>
        <w:t>violations of Sections 10(b) and 20(a) of the Exchange Act against the Company, our chief executive officer, and our chief financial officer, arising out of our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Korinsky LLP as Lead Counsel. Lead Plaintiff filed an amended consolidated class action complaint on March 6, 2018. The amended complaint requests unspecified damages and other relief. We dispute the allegations and intend to vigorously contest the matter. We filed a motion to dismiss on April 4, 2018. Lead Plaintiff filed a response in opposition to the motion to dismiss on May 4, 2018, and briefing was completed on May 21, 2018. Further deadlines in this matter have been stayed until the court issues a decision on the pending motion to dismiss.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and all other information contained in our Quarterly Report on Form 10-Q,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24"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We generate much of our revenue from a limited number of customers. For each year ended 2017, 2016 and 2015 and the three and six months ended June 30, 2018, our top ten customers represented 94.9%, 95.5%, 88.7%, 94.4% and</w:t>
      </w:r>
    </w:p>
    <w:p>
      <w:pPr>
        <w:ind w:right="60"/>
        <w:spacing w:after="0" w:line="269" w:lineRule="auto"/>
        <w:rPr>
          <w:sz w:val="20"/>
          <w:szCs w:val="20"/>
          <w:color w:val="auto"/>
        </w:rPr>
      </w:pPr>
      <w:r>
        <w:rPr>
          <w:rFonts w:ascii="Arial" w:cs="Arial" w:eastAsia="Arial" w:hAnsi="Arial"/>
          <w:sz w:val="17"/>
          <w:szCs w:val="17"/>
          <w:color w:val="auto"/>
        </w:rPr>
        <w:t>94.0% of our revenue, respectively. In 2017, Amazon represented 35.4% of our revenue, Facebook represented 28.6% of our revenue and Microsoft represented 13.8%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However, many of our current revenue expectations and forecasts reflect significant anticipated orders from a limited number of key customers. If our key customers do not continue to purchase our existing products or fail to purchase additional products from us, our revenue would decline and our results of operations would be adversely affected.</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customers do not qualify our products for use on a timely basis, our results of operations may suffer.</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8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6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network systems in-house instead of outsourcing such products to companies such as us. We also encounter potential customers that, because of existing relationships with our competitors, are committed to the products offered by our competitors.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Although the length of our product development cycle varies widely by product and customer, it may take</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18 months or longer before we receive our first order. As a result, we may incur significant expenses long before customers accept and purchase our products.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9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revenues, growth rates and operating results are likely to fluctuate significantly as a result of factors that are outside our control, which could adversely impact our operating results.</w:t>
      </w:r>
    </w:p>
    <w:p>
      <w:pPr>
        <w:spacing w:after="0" w:line="170"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Our revenues, growth rates and operating results are likely to fluctuate significantly in the future as a result of factors that are outside our control. We may not achieve similar revenues, growth rates or operating results in future</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periods. Our revenues, growth rates and operating results for any prior quarterly or annual period should not be relied upon as any indication of our future revenues, growth rates or operating results. The timing of order placement, size of orders and satisfaction of contractual customer acceptance criteria, changes in the pricing of our products due to competitive pressures as well as order or shipment delays or deferrals, with respect to our products, may cause material fluctuations in revenues. For example, revenues for the three months ended March 31, 2018 decreased by 32 percent as compared to the three months ended March 31, 2017 due primarily to lower sales of 40Gbps data center transceivers, which includes a reduction in average selling prices for certain products as a result of price negotiations with our customers. Our lengthy sales cycle, which may extend to more than one year, may cause our revenues and operating results to vary from period to period and it may be difficult to predict the timing and amount of any variation. Delays or deferrals in purchasing decisions by our customers may increase as we develop new or enhanced products for existing and new markets, including automotive and biotechnology markets. Our current and anticipated future dependence on a small number of customers increases the revenue impact of each such customer’s decision to delay or defer purchases from us, or decision not to purchase products from us. Our expense levels in the future will be based, in large part, on our expectations regarding future revenue sources and, as a result, operating results for any quarterly period in which anticipated material orders fail to occur, or are delayed or deferred, could be significantly harmed.</w:t>
      </w:r>
    </w:p>
    <w:p>
      <w:pPr>
        <w:spacing w:after="0" w:line="1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that these fluctuations may have on our revenue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the CATV market does not continue to develop as we expect, or if there is any downturn in this market, our business would be adversely affected.</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Historically, we have generated much of our revenue from the CATV market. In 2017, 2016 and 2015, the CATV market represented 15.9%, 16.7% and 28.3%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If the trend of outsourcing for the design and manufacture of CATV equipment does not continue, or continues at a slower pace than currently expected, our customers’ demand for our design and manufacturing services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may not grow as quickly as expected. If expectations for the growth of the CATV market are not realized, our financial condition and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limited operating history in the telecom and FTTH markets, and our business could be harmed if these markets do not develop as we expect.</w:t>
      </w:r>
    </w:p>
    <w:p>
      <w:pPr>
        <w:spacing w:after="0" w:line="170"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For 2017 and 2016, respectively, we generated 3.4% and 5.0% of our revenue from the telecom market and 0.1%, and 0.6% of our revenue from the FTTH market. In the telecom market, we generally have sold products that were originally designed for other markets (such as internet data center or FTTH) or are variations of such products. As we gain experience in this market, we have begun to develop products specifically designed for telecom customers. Given our limited experience in this market, the products that we develop may prove to be unsuitable for customer use, or we may be unable to derive profit margins from this market that are similar to what we derive from our other markets. The products that we offer in the FTTH market are relatively new and have not yet gained widespread customer acceptance. For example, our WDM-PON products designed for the FTTH market, have not, and may never, gain widespread acceptance by large internet service providers. Our business in this market is dependent on the deployment of our optical components, modules and subassemblies. We are relying on increasing demand for bandwidth-intensive services and telecommunications service providers’ acceptance and deployment of WDM-PON as a technology supporting 1 Gbps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and results of operations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may experience delays, disruptions or quality control problems in our manufacturing operations. These and other factors may cause less than acceptable yields at our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Molecular Beam Epitaxy, or MBE, fabrication process to make our lasers, in addition to Metal Organic Chemical Vapor Deposition, or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Lunar New Year holiday when our facilities in China and Taiwan are closed.</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2,655 of our employees as of December 31, 2017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19"/>
        <w:spacing w:after="0" w:line="279" w:lineRule="auto"/>
        <w:rPr>
          <w:sz w:val="20"/>
          <w:szCs w:val="20"/>
          <w:color w:val="auto"/>
        </w:rPr>
      </w:pPr>
      <w:r>
        <w:rPr>
          <w:rFonts w:ascii="Arial" w:cs="Arial" w:eastAsia="Arial" w:hAnsi="Arial"/>
          <w:sz w:val="17"/>
          <w:szCs w:val="17"/>
          <w:color w:val="auto"/>
        </w:rPr>
        <w:t>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71" w:lineRule="exact"/>
        <w:rPr>
          <w:sz w:val="20"/>
          <w:szCs w:val="20"/>
          <w:color w:val="auto"/>
        </w:rPr>
      </w:pPr>
    </w:p>
    <w:p>
      <w:pPr>
        <w:ind w:right="539"/>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quarter-to-quarter due to a number of factors, which may lead to volatility in our stock price.</w:t>
      </w:r>
    </w:p>
    <w:p>
      <w:pPr>
        <w:spacing w:after="0" w:line="170" w:lineRule="exact"/>
        <w:rPr>
          <w:sz w:val="20"/>
          <w:szCs w:val="20"/>
          <w:color w:val="auto"/>
        </w:rPr>
      </w:pPr>
    </w:p>
    <w:p>
      <w:pPr>
        <w:ind w:right="39" w:firstLine="648"/>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quarter-to-quarter. This variability may lead to volatility in our stock price as research analysts and investors respond to these quarterly fluctuations. These fluctuations are due to numerous factors, including:</w:t>
      </w:r>
    </w:p>
    <w:p>
      <w:pPr>
        <w:spacing w:after="0" w:line="181" w:lineRule="exact"/>
        <w:rPr>
          <w:sz w:val="20"/>
          <w:szCs w:val="20"/>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25" w:lineRule="exact"/>
        <w:rPr>
          <w:rFonts w:ascii="Arial" w:cs="Arial" w:eastAsia="Arial" w:hAnsi="Arial"/>
          <w:sz w:val="18"/>
          <w:szCs w:val="18"/>
          <w:color w:val="auto"/>
        </w:rPr>
      </w:pPr>
    </w:p>
    <w:p>
      <w:pPr>
        <w:ind w:left="980" w:right="519"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demand for our products, including the increase, decrease, rescheduling or cancellation of significant customer orders;</w:t>
      </w:r>
    </w:p>
    <w:p>
      <w:pPr>
        <w:spacing w:after="0" w:line="170" w:lineRule="exact"/>
        <w:rPr>
          <w:rFonts w:ascii="Arial" w:cs="Arial" w:eastAsia="Arial" w:hAnsi="Arial"/>
          <w:sz w:val="18"/>
          <w:szCs w:val="18"/>
          <w:color w:val="auto"/>
        </w:rPr>
      </w:pPr>
    </w:p>
    <w:p>
      <w:pPr>
        <w:ind w:left="980" w:right="39"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which meet customer requirements in a timely and cost-effective manner;</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seasonality of certain of our products and manufacturing capabilities;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disruption for certain raw materials and components used in our products;</w:t>
      </w:r>
    </w:p>
    <w:p>
      <w:pPr>
        <w:spacing w:after="0" w:line="225" w:lineRule="exact"/>
        <w:rPr>
          <w:rFonts w:ascii="Arial" w:cs="Arial" w:eastAsia="Arial" w:hAnsi="Arial"/>
          <w:sz w:val="18"/>
          <w:szCs w:val="18"/>
          <w:color w:val="auto"/>
        </w:rPr>
      </w:pPr>
    </w:p>
    <w:p>
      <w:pPr>
        <w:ind w:left="980" w:right="139"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capacity constraints of our outside contract manufacturers for a portion of the manufacturing process for some of our products;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225" w:lineRule="exact"/>
        <w:rPr>
          <w:rFonts w:ascii="Arial" w:cs="Arial" w:eastAsia="Arial" w:hAnsi="Arial"/>
          <w:sz w:val="18"/>
          <w:szCs w:val="18"/>
          <w:color w:val="auto"/>
        </w:rPr>
      </w:pPr>
    </w:p>
    <w:p>
      <w:pPr>
        <w:ind w:left="980" w:right="59"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and North America General Manager and Senior Vice President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a limited number of suppliers and any supply interruption could have an adverse effect on our business.</w:t>
      </w:r>
    </w:p>
    <w:p>
      <w:pPr>
        <w:spacing w:after="0" w:line="26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operations.</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upon outside contract manufacturers for a portion of the manufacturing process for some of our products.</w:t>
      </w:r>
    </w:p>
    <w:p>
      <w:pPr>
        <w:spacing w:after="0" w:line="24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or more of our contract manufacturers is unable to meet our customer demand in a timely fashion, this could have a material adverse effect on the revenue from our products. If one or more contract manufacturers for one of our products was unable or unwilling to manufacture such product in required volumes and at high quality levels or to continue our existing supply arrangement, we would have to identify, qualify and select an acceptable alternative contract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products could contain defects that may cause us to incur significant costs or result in a loss of customers.</w:t>
      </w:r>
    </w:p>
    <w:p>
      <w:pPr>
        <w:spacing w:after="0" w:line="248"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7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Data breaches and cyber attacks could compromise our operations, our customers’ operations, or the operations of our contract manufacturers upon whom we rely, and cause significant damage to our business and reputation.</w:t>
      </w:r>
    </w:p>
    <w:p>
      <w:pPr>
        <w:spacing w:after="0" w:line="124"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Cyber attacks have become more prevalent and much harder to detect and defend against. Companies, including companies in our industry, have been increasingly subject to a wide variety of security incidents, cyber attacks and other attempts to gain unauthorized access to their systems or to deny access and disrupt their systems and operations. These threats can come from a variety of sources, ranging in sophistication from an individual hacker to a state-sponsored attack. Cyber threats may be generic, or they may be custom-crafted against our information systems.</w:t>
      </w:r>
    </w:p>
    <w:p>
      <w:pPr>
        <w:spacing w:after="0" w:line="15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the ordinary course of our business, we and our data center customers maintain sensitive data on our respective networks, including intellectual property, employee personal information and proprietary or confidential business information relating to our business and that of our customers and business partners. The secure maintenance of this information is critical to our business and reputation. Despite our implementation of network security measures, our network and storage applications may be subject to computer viruses, denial of service attacks, ransomware and other forms of cyber terrorism, unauthorized access by hackers or may be breached due to operator error, malfeasance or other system disruptions. Our customers’ network and storage applications may be subject to similar disruptions. It is often difficult to anticipate or immediately detect such incidents and the damage caused by such incidents. Data breaches and any unauthorized access or disclosure of our information, employee information or intellectual property could compromise our intellectual property, trade secrets and other sensitive business information, any of which could result in legal action against us, exposure of our intellectual property to our competitors, damages, fines and other adverse effects. A data security breach could also lead to public exposure of personal information of our employees, customers and others. Any such theft, loss or misuse of personal data collected, used, stored or transferred by us to run our business could result in significantly increased security costs or costs related to defending legal claims. Cyber attacks, such as computer viruses or other forms of cyber terrorism, may disrupt access to our network or storage applications. Such disruptions could result in delays or cancellations of customer orders or the production or shipment of our products. Data security breaches involving our data center customers could affect their financial condition and ability to continue to purchase our products. Further, cyber attacks may cause us to incur significant remediation costs, result in product development delays, disrupt key business operations and divert attention of management and key information technology resources. These incidents could also subject us to liability, expose us to significant expense and cause significant harm to our reputation and business.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Changes in U.S. and international trade policies, particularly with regard to China, may materially and adversely impact our business and operating results.</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U.S. government has recently made statements and taken certain actions that may lead to potential changes to U.S. and international trade policies, including recently-imposed tariffs affecting certain products manufactured in China. It is unknown whether and to what extent new tariffs (or other new laws or regulations) will be adopted, or the effect that any such actions would have on us or our industry. A significant portion of our manufacturing operations is based in Ningbo, China, therefore, if any new tariffs, legislation and/or regulations are implemented, or if existing trade agreements are renegotiated or if China or other affected countries take retaliatory trade actions, such changes could have a material adverse effect on our business,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currently derive, and expect to continue to derive, a significant portion of our revenue from sales to international customers. In 2017, 2016 and 2015, 22.7%, 15.8% and 19.0%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54" w:lineRule="exact"/>
        <w:rPr>
          <w:sz w:val="20"/>
          <w:szCs w:val="20"/>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pacing w:after="0" w:line="225" w:lineRule="exact"/>
        <w:rPr>
          <w:rFonts w:ascii="Arial" w:cs="Arial" w:eastAsia="Arial" w:hAnsi="Arial"/>
          <w:sz w:val="18"/>
          <w:szCs w:val="18"/>
          <w:color w:val="auto"/>
        </w:rPr>
      </w:pPr>
    </w:p>
    <w:p>
      <w:pPr>
        <w:ind w:left="980" w:right="64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and U.S. taxation issues and international trade barriers, including the adoption or expansion of governmental trade tariffs;</w:t>
      </w:r>
    </w:p>
    <w:p>
      <w:pPr>
        <w:spacing w:after="0" w:line="170" w:lineRule="exact"/>
        <w:rPr>
          <w:rFonts w:ascii="Arial" w:cs="Arial" w:eastAsia="Arial" w:hAnsi="Arial"/>
          <w:sz w:val="18"/>
          <w:szCs w:val="18"/>
          <w:color w:val="auto"/>
        </w:rPr>
      </w:pPr>
    </w:p>
    <w:p>
      <w:pPr>
        <w:ind w:left="980" w:right="34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225" w:lineRule="exact"/>
        <w:rPr>
          <w:rFonts w:ascii="Arial" w:cs="Arial" w:eastAsia="Arial" w:hAnsi="Arial"/>
          <w:sz w:val="18"/>
          <w:szCs w:val="18"/>
          <w:color w:val="auto"/>
        </w:rPr>
      </w:pPr>
    </w:p>
    <w:p>
      <w:pPr>
        <w:ind w:left="980" w:right="10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spacing w:after="0" w:line="170"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spacing w:after="0" w:line="170" w:lineRule="exact"/>
        <w:rPr>
          <w:rFonts w:ascii="Arial" w:cs="Arial" w:eastAsia="Arial" w:hAnsi="Arial"/>
          <w:sz w:val="18"/>
          <w:szCs w:val="18"/>
          <w:color w:val="auto"/>
        </w:rPr>
      </w:pPr>
    </w:p>
    <w:p>
      <w:pPr>
        <w:ind w:left="980" w:right="20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different and changing legal and regulatory requirements in the jurisdictions in which we currently operate or may operate in the future.</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subject to income taxes in the U.S. and other foreign jurisdictions, including China and Taiwan. In addition, we are subject to various state taxes in states where we have nexus. We base our tax position on the anticipated nature and conduct of our business and our understanding of the tax laws of the countries and states in which we have assets or conduct activities. Our tax position may be reviewed or challenged by tax authorities. Moreover, the tax laws currently in effect may change, and such changes may have retroactive effect, such as the recently enacted U.S. tax reform legislation commonly referred to as the U.S. Tax Cuts and Jobs Act of 2017 (the “Tax Act”).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Tax Act significantly changes how the U.S. taxes corporations. The Tax Act requires complex computations to be performed that were not previously required in U.S. tax law, significant judgments to be made in interpretation of the provisions of the Tax Act and significant estimates in calculations, and the preparation and analysis of information not previously relevant or regularly produced. The U.S. Treasury Department, the IRS, and other standard-setting bodies could interpret or issue guidance on how provisions of the Tax Act will be applied or otherwise administered that is different from our interpretation. As we complete our analysis of the Tax Act, collect and prepare necessary data, and interpret any additional guidance, we may make adjustments to provisional amounts that we have recorded that may materially impact our provision for income taxes in the period in which the adjustments are made.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manage our growth effectively may adversely affect our financial condition and results of operations.</w:t>
      </w:r>
    </w:p>
    <w:p>
      <w:pPr>
        <w:spacing w:after="0" w:line="23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loan agreements contain restrictive covenants that may adversely affect our ability to conduct our business.</w:t>
      </w:r>
    </w:p>
    <w:p>
      <w:pPr>
        <w:spacing w:after="0" w:line="24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have lending arrangements with several financial institutions, including loan agreements with BB&amp;T Bank in the U.S., and our Taiwan location has a revolving credit facility.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and restrict our ability to incur additional debt, create liens or other encumbrances, change the nature of our business,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BB&amp;T are secured by our accounts receivable, inventory, intellectual property, and all business assets including real estate and equipment.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3" w:lineRule="exact"/>
        <w:rPr>
          <w:sz w:val="20"/>
          <w:szCs w:val="20"/>
          <w:color w:val="auto"/>
        </w:rPr>
      </w:pPr>
    </w:p>
    <w:p>
      <w:pPr>
        <w:ind w:left="1300" w:hanging="649"/>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3" w:lineRule="exact"/>
        <w:rPr>
          <w:rFonts w:ascii="Arial" w:cs="Arial" w:eastAsia="Arial" w:hAnsi="Arial"/>
          <w:sz w:val="18"/>
          <w:szCs w:val="18"/>
          <w:color w:val="auto"/>
        </w:rPr>
      </w:pPr>
    </w:p>
    <w:p>
      <w:pPr>
        <w:ind w:left="1300" w:hanging="649"/>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pacing w:after="0" w:line="21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including under our Registration Statement filed with the SEC in October 2016, we may be unable to meet the demands of existing and prospective customers, adversely affecting our sales and market opportunities and consequently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1" w:lineRule="exact"/>
        <w:rPr>
          <w:sz w:val="20"/>
          <w:szCs w:val="20"/>
          <w:color w:val="auto"/>
        </w:rPr>
      </w:pPr>
    </w:p>
    <w:p>
      <w:pPr>
        <w:ind w:left="1300" w:hanging="649"/>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3" w:lineRule="exact"/>
        <w:rPr>
          <w:rFonts w:ascii="Arial" w:cs="Arial" w:eastAsia="Arial" w:hAnsi="Arial"/>
          <w:sz w:val="18"/>
          <w:szCs w:val="18"/>
          <w:color w:val="auto"/>
        </w:rPr>
      </w:pPr>
    </w:p>
    <w:p>
      <w:pPr>
        <w:ind w:left="1300" w:right="20" w:hanging="649"/>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ind w:left="1300" w:hanging="649"/>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9" w:lineRule="exact"/>
        <w:rPr>
          <w:rFonts w:ascii="Arial" w:cs="Arial" w:eastAsia="Arial" w:hAnsi="Arial"/>
          <w:sz w:val="18"/>
          <w:szCs w:val="18"/>
          <w:color w:val="auto"/>
        </w:rPr>
      </w:pPr>
    </w:p>
    <w:p>
      <w:pPr>
        <w:ind w:left="1300" w:right="360" w:hanging="649"/>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integrating the business relationships with suppliers and customers of the acquired business with our existing business relationships;</w:t>
      </w:r>
    </w:p>
    <w:p>
      <w:pPr>
        <w:ind w:left="1300" w:hanging="649"/>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We rely on the efficient and uninterrupted operation of complex information technology systems and network infrastructures to operate our business. A disruption, infiltration or failure of our information technology systems as a</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7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93"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as a result of shareholder activism.</w:t>
      </w:r>
    </w:p>
    <w:p>
      <w:pPr>
        <w:spacing w:after="0" w:line="22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In recent years, shareholder activists have become involved in numerous public companies. Shareholder activists frequently propose to involve themselves in the governance, strategic direction, and operations of the Company.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56"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b w:val="1"/>
          <w:bCs w:val="1"/>
          <w:i w:val="1"/>
          <w:iCs w:val="1"/>
          <w:color w:val="auto"/>
        </w:rPr>
        <w:t>The unfavorable outcome of any pending or future litigation or administrative action and expenses incurred in connection with litigation could result in financial losses or harm to our business.</w:t>
      </w:r>
    </w:p>
    <w:p>
      <w:pPr>
        <w:spacing w:after="0" w:line="1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are, and in the future may be, subject to legal actions in the ordinary course of our operations, both domestically and internationally. There can be no assurances as to the favorable outcome of any litigation. In addition it can be costly to defend litigation and these costs could negatively impact our financial results. As disclosed in “Item 3. Legal Proceedings,” on August 5, 2017, a shareholder class action lawsuit was filed in the U.S. District Court for the Southern District of Texas against us and two of our officers. The complaint in this matter alleges that we made materially false and misleading statements or failed to disclose material facts and requests damages and other relief. This lawsuit and any other such litigation could result in substantial costs and divert our management’s attention from other business concerns, which could seriously harm our business.</w:t>
      </w:r>
    </w:p>
    <w:p>
      <w:pPr>
        <w:spacing w:after="0" w:line="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8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7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78" w:lineRule="exact"/>
        <w:rPr>
          <w:sz w:val="20"/>
          <w:szCs w:val="20"/>
          <w:color w:val="auto"/>
        </w:rPr>
      </w:pPr>
    </w:p>
    <w:p>
      <w:pPr>
        <w:ind w:left="980" w:hanging="329"/>
        <w:spacing w:after="0" w:line="258"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the relevant technology, which may not be available on reasonable terms, or at all;</w:t>
      </w:r>
    </w:p>
    <w:p>
      <w:pPr>
        <w:spacing w:after="0" w:line="1"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stop manufacturing, selling, incorporating or using our products that use the challenged intellectual property;</w:t>
      </w:r>
    </w:p>
    <w:p>
      <w:pPr>
        <w:spacing w:after="0" w:line="32" w:lineRule="exact"/>
        <w:rPr>
          <w:rFonts w:ascii="Arial" w:cs="Arial" w:eastAsia="Arial" w:hAnsi="Arial"/>
          <w:sz w:val="16"/>
          <w:szCs w:val="16"/>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9" w:lineRule="exact"/>
        <w:rPr>
          <w:rFonts w:ascii="Arial" w:cs="Arial" w:eastAsia="Arial" w:hAnsi="Arial"/>
          <w:sz w:val="18"/>
          <w:szCs w:val="18"/>
          <w:color w:val="auto"/>
        </w:rPr>
      </w:pPr>
    </w:p>
    <w:p>
      <w:pPr>
        <w:ind w:left="980" w:right="340" w:hanging="329"/>
        <w:spacing w:after="0" w:line="26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184"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3"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2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the accuracy and timing of our financial reporting may be adversely affected.</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40" w:firstLine="648"/>
        <w:spacing w:after="0" w:line="297" w:lineRule="auto"/>
        <w:rPr>
          <w:sz w:val="20"/>
          <w:szCs w:val="20"/>
          <w:color w:val="auto"/>
        </w:rPr>
      </w:pPr>
      <w:r>
        <w:rPr>
          <w:rFonts w:ascii="Arial" w:cs="Arial" w:eastAsia="Arial" w:hAnsi="Arial"/>
          <w:sz w:val="16"/>
          <w:szCs w:val="16"/>
          <w:color w:val="auto"/>
        </w:rPr>
        <w:t>In addition, since we no longer qualify as an “emerging growth company” under the JOBS Act as of December 31, 2017, we have to provide an auditor’s attestation report on our internal controls in annual reports on Form 10-K as required by 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1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implemented a system of disclosure and internal controls that we believe provide reasonable assurance that we will be able to timely report our financial results and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an effective system of disclosure controls and internal control over financial reporting, our ability to accurately and timely report our financial results could be adversely impacted. This could result in late filings of our annual and quarterly reports under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As of December 31, 2017, we had U.S. accumulated net operating losses, or NOLs, of approximately $37.7 million, federal and state research and development credits (“R&amp;D credits”) of $4.6 million, and foreign tax credits of $2.0 million for U.S. federal income tax purposes. Under Section 382 of the Internal Revenue Code of 1986, as amended, if a corporation undergoes an “ownership change,” the corporation’s ability to use its pre-change NOLs, tax credits and other pre-change tax attributes to offset its post-change income may be limited. An ownership change is generally defined as a greater than 50% change in equity ownership by value over a 3-year period. Based upon an analysis of our equity ownership, we believe that we have experienced ownership changes; however, we do not believe those limitations would result in a loss of tax benefits. In addition, should we experience additional ownership changes, our NOL carry forwards and tax credits may be further limited.</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exposed to increased expenses and business risk as a result of Restriction on Hazardous Substances, or RoHS directives.</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damaged reputation, diversion of resources, monetary penalties, and legal action.</w:t>
      </w:r>
    </w:p>
    <w:p>
      <w:pPr>
        <w:spacing w:after="0" w:line="178"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170" w:lineRule="exact"/>
        <w:rPr>
          <w:sz w:val="20"/>
          <w:szCs w:val="20"/>
          <w:color w:val="auto"/>
        </w:rPr>
      </w:pPr>
    </w:p>
    <w:p>
      <w:pPr>
        <w:jc w:val="both"/>
        <w:ind w:right="80" w:firstLine="648"/>
        <w:spacing w:after="0" w:line="271" w:lineRule="auto"/>
        <w:rPr>
          <w:sz w:val="20"/>
          <w:szCs w:val="20"/>
          <w:color w:val="auto"/>
        </w:rPr>
      </w:pPr>
      <w:r>
        <w:rPr>
          <w:rFonts w:ascii="Arial" w:cs="Arial" w:eastAsia="Arial" w:hAnsi="Arial"/>
          <w:sz w:val="17"/>
          <w:szCs w:val="17"/>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Rapidly changing standards and regulations could make our products obsolete, which would cause our revenue and results of operations to suffer.</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Compliance with regulations related to conflict minerals could increase costs and affect the manufacturing and sale of our products.</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filed our latest conflict minerals report on Form SD on May 30, 2018. We have previously determined, as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part of our compliance efforts, that certain products or components we obtain from our suppliers contain conflict minerals. Based on our Reasonable Country of Origin Inquiry on the source of our conflict minerals for the year ended December 31, 2017, we had reason to believe that certain of such conflict minerals likely originated in covered countries. If we are unable to conclude in the future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75"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4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business operations conducted in China are critical to our success. A total of $122.3 million, $57.4 million and $20.6 million or 32.0%, 22.0% and 11.0%, of our revenue in the years ended December 31, 2017, 2016 and 2015 was attributable to our product manufacturing plants in China, respectively. Additionally, a substantial portion of our property, plant and equipment, 29.9%, 23.0% and 22% as of December 31, 2017, 2016 and 2015,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89"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65"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termination and expiration or unavailability of our preferential tax treatments in China may have a material adverse effect on our operating results.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Since calendar year 2012, we have qualified for a preferential 15% tax rate that is available for state-encouraged new high technology enterprises. In order to retain this preferential tax rate, we must meet certain operating conditions, satisfy certain product requirements, meet certain headcount requirements and maintain certain levels of research expenditures. In November 2017, we received approval from the Chinese government to extend this preferential tax treatment for an additional three years, ending November 2020. If we fail to continue to qualify for this preferential rate in the future, we may incur higher tax rates on our income in China. Any future increase in the enterprise income tax rate applicable to us or the expiration or other limitation of preferential tax rates available to us could increase our tax liabilities and reduce our net income.</w:t>
      </w:r>
    </w:p>
    <w:p>
      <w:pPr>
        <w:spacing w:after="0" w:line="17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Employee turnover of direct labor in the manufacturing sector in China is extremely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Chinese regulation of loans to and direct investment by offshore holding companies in China entities may delay or prevent us from making loans or additional capital contributions to our China subsidiary.</w:t>
      </w:r>
    </w:p>
    <w:p>
      <w:pPr>
        <w:spacing w:after="0" w:line="1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Any loans that we wish to make to our China subsidiary are subject to Chinese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78"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China subsidiary is subject to Chinese labor laws and regulations, and Chinese labor laws may increase our operating costs in China.</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Chinese labor laws and regulations provide certain protections for our employees located in China, and changes to those labor laws and regulations may increase our costs and reduce our flexibility. The China Labor Contract Law, which went into effect in 2008, together with its implementing rules, provides increased rights to Chinese employees compared to prior employment laws in China. Under the rules under the China Labor Contract Law, the probation period varies depending on contract terms and the employment contract can only be terminated during the probation period for cause upon three days’ notice. Additionally, an employer may not be able to terminate a contract during the probation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Any further changes to these laws may increase our costs and reduce our flexibility.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and maintaining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market price of our common stock has been and is likely to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pacing w:after="0" w:line="173"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the past, many companies that have experienced volatility in the market price of their stock have been subject to securities class action litigation. We have been and may become the target of this type of litigation in the future. For example, on August 3, 2017 we provided guidance for the third quarter of 2017, and on August 4, 2017 the market price of our stock decreased significantly. As disclosed in “Item 3. Legal Proceedings,” on August 5, 2017, a shareholder class action lawsuit was filed in the U.S. District Court for the Southern District of Texas against us and two of our officers. The complaint in this matter alleges that we made materially false and misleading statements or failed to disclose material facts and requests damages and other relief. This lawsuit and any other such litigation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4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board committees and adopted internal controls and disclosure controls and procedures. In addition, we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 As of December 31, 2017, we became a "large accelerated filer" and, accordingly, no longer qualify as an emerging growth company and are no longer able to rely on certain exemptions that were available to us as an emerging growth company. Legal, accounting, administrative and other costs and expenses may increase in the future as we continue to incur both increased external audit fees as well as additional spending to ensure continued regulatory compliance.</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currently do not plan to declare or pay dividends on shares of our common stock in the foreseeable future.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47" w:lineRule="exact"/>
        <w:rPr>
          <w:sz w:val="20"/>
          <w:szCs w:val="20"/>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w:t>
      </w:r>
    </w:p>
    <w:p>
      <w:pPr>
        <w:spacing w:after="0" w:line="225"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and</w:t>
      </w:r>
    </w:p>
    <w:p>
      <w:pPr>
        <w:spacing w:after="0" w:line="225" w:lineRule="exact"/>
        <w:rPr>
          <w:rFonts w:ascii="Arial" w:cs="Arial" w:eastAsia="Arial" w:hAnsi="Arial"/>
          <w:sz w:val="18"/>
          <w:szCs w:val="18"/>
          <w:color w:val="auto"/>
        </w:rPr>
      </w:pPr>
    </w:p>
    <w:p>
      <w:pPr>
        <w:ind w:left="980" w:right="80" w:hanging="329"/>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 of control provisions in our stock incentive plans, and the individual stock option agreements, which provide that a change of control may accelerate the vesting of the stock options and equity awards issued under such plans.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trading market for our common stock depends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400" w:type="dxa"/>
            <w:vAlign w:val="bottom"/>
            <w:gridSpan w:val="4"/>
          </w:tcPr>
          <w:p>
            <w:pPr>
              <w:spacing w:after="0"/>
              <w:rPr>
                <w:rFonts w:ascii="Arial" w:cs="Arial" w:eastAsia="Arial" w:hAnsi="Arial"/>
                <w:sz w:val="18"/>
                <w:szCs w:val="18"/>
                <w:color w:val="0563C1"/>
                <w:w w:val="97"/>
              </w:rPr>
            </w:pPr>
            <w:hyperlink w:anchor="page2">
              <w:r>
                <w:rPr>
                  <w:rFonts w:ascii="Arial" w:cs="Arial" w:eastAsia="Arial" w:hAnsi="Arial"/>
                  <w:sz w:val="18"/>
                  <w:szCs w:val="18"/>
                  <w:color w:val="0563C1"/>
                  <w:w w:val="97"/>
                </w:rPr>
                <w:t>Table of Contents</w:t>
              </w:r>
            </w:hyperlink>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563C1"/>
            </w:tcBorders>
          </w:tcPr>
          <w:p>
            <w:pPr>
              <w:spacing w:after="0"/>
              <w:rPr>
                <w:sz w:val="24"/>
                <w:szCs w:val="24"/>
                <w:color w:val="auto"/>
              </w:rPr>
            </w:pPr>
          </w:p>
        </w:tc>
        <w:tc>
          <w:tcPr>
            <w:tcW w:w="96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100" w:type="dxa"/>
            <w:vAlign w:val="bottom"/>
            <w:gridSpan w:val="19"/>
          </w:tcPr>
          <w:p>
            <w:pPr>
              <w:ind w:left="9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7640" w:type="dxa"/>
            <w:vAlign w:val="bottom"/>
            <w:gridSpan w:val="21"/>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20" w:type="dxa"/>
            <w:vAlign w:val="bottom"/>
            <w:tcBorders>
              <w:top w:val="single" w:sz="8" w:color="auto"/>
            </w:tcBorders>
            <w:gridSpan w:val="20"/>
          </w:tcPr>
          <w:p>
            <w:pPr>
              <w:spacing w:after="0" w:line="156" w:lineRule="exact"/>
              <w:rPr>
                <w:rFonts w:ascii="Arial" w:cs="Arial" w:eastAsia="Arial" w:hAnsi="Arial"/>
                <w:sz w:val="18"/>
                <w:szCs w:val="18"/>
                <w:color w:val="0000EE"/>
                <w:w w:val="97"/>
              </w:rPr>
            </w:pPr>
            <w:hyperlink r:id="rId62">
              <w:r>
                <w:rPr>
                  <w:rFonts w:ascii="Arial" w:cs="Arial" w:eastAsia="Arial" w:hAnsi="Arial"/>
                  <w:sz w:val="18"/>
                  <w:szCs w:val="18"/>
                  <w:color w:val="0000EE"/>
                  <w:w w:val="97"/>
                </w:rPr>
                <w:t>Amended and Restated Certificate of Incorporation, as currently in effect (filed as Exhibit 3.1 to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0" w:type="dxa"/>
            <w:vAlign w:val="bottom"/>
            <w:tcBorders>
              <w:top w:val="single" w:sz="8" w:color="0000EE"/>
              <w:bottom w:val="single" w:sz="8" w:color="0000EE"/>
            </w:tcBorders>
            <w:gridSpan w:val="11"/>
          </w:tcPr>
          <w:p>
            <w:pPr>
              <w:spacing w:after="0" w:line="170"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Registrant’s Quarterly Report on Form 10-Q filed with the Securities and Exchange Commission on</w:t>
              </w:r>
            </w:hyperlink>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20" w:type="dxa"/>
            <w:vAlign w:val="bottom"/>
            <w:gridSpan w:val="12"/>
          </w:tcPr>
          <w:p>
            <w:pPr>
              <w:spacing w:after="0" w:line="170" w:lineRule="exact"/>
              <w:rPr>
                <w:rFonts w:ascii="Arial" w:cs="Arial" w:eastAsia="Arial" w:hAnsi="Arial"/>
                <w:sz w:val="18"/>
                <w:szCs w:val="18"/>
                <w:color w:val="0000EE"/>
              </w:rPr>
            </w:pPr>
            <w:hyperlink r:id="rId62">
              <w:r>
                <w:rPr>
                  <w:rFonts w:ascii="Arial" w:cs="Arial" w:eastAsia="Arial" w:hAnsi="Arial"/>
                  <w:sz w:val="18"/>
                  <w:szCs w:val="18"/>
                  <w:color w:val="0000EE"/>
                </w:rPr>
                <w:t>November 14, 2013).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gridSpan w:val="21"/>
          </w:tcPr>
          <w:p>
            <w:pPr>
              <w:spacing w:after="0"/>
              <w:rPr>
                <w:rFonts w:ascii="Arial" w:cs="Arial" w:eastAsia="Arial" w:hAnsi="Arial"/>
                <w:sz w:val="18"/>
                <w:szCs w:val="18"/>
                <w:color w:val="0000EE"/>
                <w:w w:val="94"/>
              </w:rPr>
            </w:pPr>
            <w:hyperlink r:id="rId63">
              <w:r>
                <w:rPr>
                  <w:rFonts w:ascii="Arial" w:cs="Arial" w:eastAsia="Arial" w:hAnsi="Arial"/>
                  <w:sz w:val="18"/>
                  <w:szCs w:val="18"/>
                  <w:color w:val="0000EE"/>
                  <w:w w:val="94"/>
                </w:rPr>
                <w:t>Amended and Restated Bylaws, as currently in effect (filed as Exhibit 3.2 to the Registrant’s Quarterly</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160" w:type="dxa"/>
            <w:vAlign w:val="bottom"/>
            <w:tcBorders>
              <w:top w:val="single" w:sz="8" w:color="0000EE"/>
              <w:bottom w:val="single" w:sz="8" w:color="0000EE"/>
            </w:tcBorders>
            <w:gridSpan w:val="10"/>
          </w:tcPr>
          <w:p>
            <w:pPr>
              <w:spacing w:after="0" w:line="170"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Report on Form 10-Q filed with the Securities and Exchange Commission on November 14, 2013).</w:t>
              </w:r>
            </w:hyperlink>
          </w:p>
        </w:tc>
        <w:tc>
          <w:tcPr>
            <w:tcW w:w="240" w:type="dxa"/>
            <w:vAlign w:val="bottom"/>
            <w:tcBorders>
              <w:top w:val="single" w:sz="8" w:color="0000EE"/>
            </w:tcBorders>
            <w:gridSpan w:val="6"/>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gridSpan w:val="21"/>
          </w:tcPr>
          <w:p>
            <w:pPr>
              <w:spacing w:after="0"/>
              <w:rPr>
                <w:rFonts w:ascii="Arial" w:cs="Arial" w:eastAsia="Arial" w:hAnsi="Arial"/>
                <w:sz w:val="18"/>
                <w:szCs w:val="18"/>
                <w:color w:val="0000EE"/>
                <w:w w:val="93"/>
              </w:rPr>
            </w:pPr>
            <w:hyperlink r:id="rId64">
              <w:r>
                <w:rPr>
                  <w:rFonts w:ascii="Arial" w:cs="Arial" w:eastAsia="Arial" w:hAnsi="Arial"/>
                  <w:sz w:val="18"/>
                  <w:szCs w:val="18"/>
                  <w:color w:val="0000EE"/>
                  <w:w w:val="93"/>
                </w:rPr>
                <w:t>Common Stock Specimen (filed as Exhibit 4.1 to the Registrant’s Current Report on Form 8-K filed with</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80" w:type="dxa"/>
            <w:vAlign w:val="bottom"/>
            <w:tcBorders>
              <w:top w:val="single" w:sz="8" w:color="0000EE"/>
            </w:tcBorders>
            <w:gridSpan w:val="19"/>
          </w:tcPr>
          <w:p>
            <w:pPr>
              <w:spacing w:after="0" w:line="170" w:lineRule="exact"/>
              <w:rPr>
                <w:rFonts w:ascii="Arial" w:cs="Arial" w:eastAsia="Arial" w:hAnsi="Arial"/>
                <w:sz w:val="18"/>
                <w:szCs w:val="18"/>
                <w:color w:val="0000EE"/>
              </w:rPr>
            </w:pPr>
            <w:hyperlink r:id="rId64">
              <w:r>
                <w:rPr>
                  <w:rFonts w:ascii="Arial" w:cs="Arial" w:eastAsia="Arial" w:hAnsi="Arial"/>
                  <w:sz w:val="18"/>
                  <w:szCs w:val="18"/>
                  <w:color w:val="0000EE"/>
                </w:rPr>
                <w:t>the Securities and Exchange Commission on July 15, 2015).</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gridSpan w:val="2"/>
          </w:tcPr>
          <w:p>
            <w:pPr>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40" w:type="dxa"/>
            <w:vAlign w:val="bottom"/>
            <w:tcBorders>
              <w:bottom w:val="single" w:sz="8" w:color="0000EE"/>
            </w:tcBorders>
            <w:gridSpan w:val="9"/>
          </w:tcPr>
          <w:p>
            <w:pPr>
              <w:spacing w:after="0"/>
              <w:rPr>
                <w:rFonts w:ascii="Arial" w:cs="Arial" w:eastAsia="Arial" w:hAnsi="Arial"/>
                <w:sz w:val="18"/>
                <w:szCs w:val="18"/>
                <w:color w:val="0000EE"/>
                <w:w w:val="91"/>
              </w:rPr>
            </w:pPr>
            <w:hyperlink r:id="rId65">
              <w:r>
                <w:rPr>
                  <w:rFonts w:ascii="Arial" w:cs="Arial" w:eastAsia="Arial" w:hAnsi="Arial"/>
                  <w:sz w:val="18"/>
                  <w:szCs w:val="18"/>
                  <w:color w:val="0000EE"/>
                  <w:w w:val="91"/>
                </w:rPr>
                <w:t>Translation of the Approval Notice of Credit Line, dated June 12, 2018 (filed as Exhibit 10.1 to the</w:t>
              </w:r>
            </w:hyperlink>
          </w:p>
        </w:tc>
        <w:tc>
          <w:tcPr>
            <w:tcW w:w="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Registrant’s Current Report on Form 8-K filed with the Securities and Exchange Commission on June 25,</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2018).</w:t>
              </w:r>
            </w:hyperlink>
          </w:p>
        </w:tc>
        <w:tc>
          <w:tcPr>
            <w:tcW w:w="10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80" w:type="dxa"/>
            <w:vAlign w:val="bottom"/>
            <w:gridSpan w:val="2"/>
          </w:tcPr>
          <w:p>
            <w:pPr>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40" w:type="dxa"/>
            <w:vAlign w:val="bottom"/>
            <w:gridSpan w:val="21"/>
          </w:tcPr>
          <w:p>
            <w:pPr>
              <w:spacing w:after="0"/>
              <w:rPr>
                <w:rFonts w:ascii="Arial" w:cs="Arial" w:eastAsia="Arial" w:hAnsi="Arial"/>
                <w:sz w:val="18"/>
                <w:szCs w:val="18"/>
                <w:color w:val="0000EE"/>
                <w:w w:val="94"/>
              </w:rPr>
            </w:pPr>
            <w:hyperlink r:id="rId66">
              <w:r>
                <w:rPr>
                  <w:rFonts w:ascii="Arial" w:cs="Arial" w:eastAsia="Arial" w:hAnsi="Arial"/>
                  <w:sz w:val="18"/>
                  <w:szCs w:val="18"/>
                  <w:color w:val="0000EE"/>
                  <w:w w:val="94"/>
                </w:rPr>
                <w:t>Translation of the Credit Facility Agreement, dated June 19, 2018, between Prime World International</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360" w:type="dxa"/>
            <w:vAlign w:val="bottom"/>
            <w:tcBorders>
              <w:top w:val="single" w:sz="8" w:color="0000EE"/>
            </w:tcBorders>
            <w:gridSpan w:val="15"/>
          </w:tcPr>
          <w:p>
            <w:pPr>
              <w:spacing w:after="0" w:line="170"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Holdings Ltd. and Taishin International Bank (filed as Exhibit 10.2 to the Registrant’s Current Report</w:t>
              </w:r>
            </w:hyperlink>
          </w:p>
        </w:tc>
        <w:tc>
          <w:tcPr>
            <w:tcW w:w="280" w:type="dxa"/>
            <w:vAlign w:val="bottom"/>
            <w:gridSpan w:val="6"/>
          </w:tcPr>
          <w:p>
            <w:pPr>
              <w:spacing w:after="0" w:line="170" w:lineRule="exact"/>
              <w:rPr>
                <w:rFonts w:ascii="Arial" w:cs="Arial" w:eastAsia="Arial" w:hAnsi="Arial"/>
                <w:sz w:val="18"/>
                <w:szCs w:val="18"/>
                <w:color w:val="0000EE"/>
              </w:rPr>
            </w:pPr>
            <w:hyperlink r:id="rId66">
              <w:r>
                <w:rPr>
                  <w:rFonts w:ascii="Arial" w:cs="Arial" w:eastAsia="Arial" w:hAnsi="Arial"/>
                  <w:sz w:val="18"/>
                  <w:szCs w:val="18"/>
                  <w:color w:val="0000EE"/>
                </w:rPr>
                <w:t>on</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80" w:type="dxa"/>
            <w:vAlign w:val="bottom"/>
            <w:tcBorders>
              <w:top w:val="single" w:sz="8" w:color="0000EE"/>
              <w:bottom w:val="single" w:sz="8" w:color="0000EE"/>
            </w:tcBorders>
            <w:gridSpan w:val="6"/>
          </w:tcPr>
          <w:p>
            <w:pPr>
              <w:spacing w:after="0" w:line="170"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Form 8-K filed with the Securities and Exchange Commission on June 25, 2018).</w:t>
              </w:r>
            </w:hyperlink>
          </w:p>
        </w:tc>
        <w:tc>
          <w:tcPr>
            <w:tcW w:w="1660" w:type="dxa"/>
            <w:vAlign w:val="bottom"/>
            <w:tcBorders>
              <w:top w:val="single" w:sz="8" w:color="0000EE"/>
            </w:tcBorders>
            <w:gridSpan w:val="12"/>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gridSpan w:val="21"/>
          </w:tcPr>
          <w:p>
            <w:pPr>
              <w:spacing w:after="0"/>
              <w:rPr>
                <w:rFonts w:ascii="Arial" w:cs="Arial" w:eastAsia="Arial" w:hAnsi="Arial"/>
                <w:sz w:val="18"/>
                <w:szCs w:val="18"/>
                <w:color w:val="0000EE"/>
                <w:w w:val="98"/>
              </w:rPr>
            </w:pPr>
            <w:hyperlink r:id="rId67">
              <w:r>
                <w:rPr>
                  <w:rFonts w:ascii="Arial" w:cs="Arial" w:eastAsia="Arial" w:hAnsi="Arial"/>
                  <w:sz w:val="18"/>
                  <w:szCs w:val="18"/>
                  <w:color w:val="0000EE"/>
                  <w:w w:val="98"/>
                </w:rPr>
                <w:t>Translation of the Agreement on Providing Collateral, dated June 19, 2018, between Prime World</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40" w:type="dxa"/>
            <w:vAlign w:val="bottom"/>
            <w:tcBorders>
              <w:top w:val="single" w:sz="8" w:color="0000EE"/>
              <w:bottom w:val="single" w:sz="8" w:color="0000EE"/>
            </w:tcBorders>
            <w:gridSpan w:val="8"/>
          </w:tcPr>
          <w:p>
            <w:pPr>
              <w:spacing w:after="0" w:line="170"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International Holdings Ltd., and Taishin International Bank (filed as Exhibit 10.3 to the Registrant’s</w:t>
              </w:r>
            </w:hyperlink>
          </w:p>
        </w:tc>
        <w:tc>
          <w:tcPr>
            <w:tcW w:w="120" w:type="dxa"/>
            <w:vAlign w:val="bottom"/>
            <w:tcBorders>
              <w:bottom w:val="single" w:sz="8" w:color="0000EE"/>
            </w:tcBorders>
            <w:gridSpan w:val="2"/>
          </w:tcPr>
          <w:p>
            <w:pPr>
              <w:spacing w:after="0"/>
              <w:rPr>
                <w:sz w:val="14"/>
                <w:szCs w:val="14"/>
                <w:color w:val="auto"/>
              </w:rPr>
            </w:pPr>
          </w:p>
        </w:tc>
        <w:tc>
          <w:tcPr>
            <w:tcW w:w="4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1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60" w:type="dxa"/>
            <w:vAlign w:val="bottom"/>
            <w:tcBorders>
              <w:bottom w:val="single" w:sz="8" w:color="0000EE"/>
            </w:tcBorders>
            <w:gridSpan w:val="14"/>
          </w:tcPr>
          <w:p>
            <w:pPr>
              <w:spacing w:after="0" w:line="170"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Current Report on Form 8-K filed with the Securities and Exchange Commission on June 25, 2018).</w:t>
              </w:r>
            </w:hyperlink>
          </w:p>
        </w:tc>
        <w:tc>
          <w:tcPr>
            <w:tcW w:w="3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gridSpan w:val="21"/>
          </w:tcPr>
          <w:p>
            <w:pPr>
              <w:spacing w:after="0"/>
              <w:rPr>
                <w:rFonts w:ascii="Arial" w:cs="Arial" w:eastAsia="Arial" w:hAnsi="Arial"/>
                <w:sz w:val="18"/>
                <w:szCs w:val="18"/>
                <w:color w:val="0000EE"/>
              </w:rPr>
            </w:pPr>
            <w:hyperlink r:id="rId68">
              <w:r>
                <w:rPr>
                  <w:rFonts w:ascii="Arial" w:cs="Arial" w:eastAsia="Arial" w:hAnsi="Arial"/>
                  <w:sz w:val="18"/>
                  <w:szCs w:val="18"/>
                  <w:color w:val="0000EE"/>
                </w:rPr>
                <w:t xml:space="preserve">Translation of the </w:t>
              </w:r>
              <w:r>
                <w:rPr>
                  <w:rFonts w:ascii="Arial" w:cs="Arial" w:eastAsia="Arial" w:hAnsi="Arial"/>
                  <w:sz w:val="18"/>
                  <w:szCs w:val="18"/>
                  <w:u w:val="single" w:color="auto"/>
                  <w:color w:val="0000EE"/>
                </w:rPr>
                <w:t>NT$</w:t>
              </w:r>
              <w:r>
                <w:rPr>
                  <w:rFonts w:ascii="Arial" w:cs="Arial" w:eastAsia="Arial" w:hAnsi="Arial"/>
                  <w:sz w:val="18"/>
                  <w:szCs w:val="18"/>
                  <w:color w:val="0000EE"/>
                </w:rPr>
                <w:t>300 Million Promissory Note, dated June 19, 2018, between Prime World</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960" w:type="dxa"/>
            <w:vAlign w:val="bottom"/>
            <w:tcBorders>
              <w:top w:val="single" w:sz="8" w:color="0000EE"/>
              <w:bottom w:val="single" w:sz="8" w:color="0000EE"/>
            </w:tcBorders>
            <w:gridSpan w:val="7"/>
          </w:tcPr>
          <w:p>
            <w:pPr>
              <w:spacing w:after="0" w:line="170" w:lineRule="exact"/>
              <w:rPr>
                <w:rFonts w:ascii="Arial" w:cs="Arial" w:eastAsia="Arial" w:hAnsi="Arial"/>
                <w:sz w:val="18"/>
                <w:szCs w:val="18"/>
                <w:color w:val="0000EE"/>
                <w:w w:val="89"/>
              </w:rPr>
            </w:pPr>
            <w:hyperlink r:id="rId68">
              <w:r>
                <w:rPr>
                  <w:rFonts w:ascii="Arial" w:cs="Arial" w:eastAsia="Arial" w:hAnsi="Arial"/>
                  <w:sz w:val="18"/>
                  <w:szCs w:val="18"/>
                  <w:color w:val="0000EE"/>
                  <w:w w:val="89"/>
                </w:rPr>
                <w:t>International Holdings Ltd. and Taishin International Bank (filed as Exhibit 10.4 to the Registrant’s</w:t>
              </w:r>
            </w:hyperlink>
          </w:p>
        </w:tc>
        <w:tc>
          <w:tcPr>
            <w:tcW w:w="200" w:type="dxa"/>
            <w:vAlign w:val="bottom"/>
            <w:tcBorders>
              <w:bottom w:val="single" w:sz="8" w:color="0000EE"/>
            </w:tcBorders>
            <w:gridSpan w:val="3"/>
          </w:tcPr>
          <w:p>
            <w:pPr>
              <w:spacing w:after="0"/>
              <w:rPr>
                <w:sz w:val="14"/>
                <w:szCs w:val="14"/>
                <w:color w:val="auto"/>
              </w:rPr>
            </w:pPr>
          </w:p>
        </w:tc>
        <w:tc>
          <w:tcPr>
            <w:tcW w:w="100" w:type="dxa"/>
            <w:vAlign w:val="bottom"/>
            <w:gridSpan w:val="4"/>
            <w:vMerge w:val="restart"/>
          </w:tcPr>
          <w:p>
            <w:pPr>
              <w:jc w:val="right"/>
              <w:ind w:right="20"/>
              <w:spacing w:after="0"/>
              <w:rPr>
                <w:rFonts w:ascii="Arial" w:cs="Arial" w:eastAsia="Arial" w:hAnsi="Arial"/>
                <w:sz w:val="18"/>
                <w:szCs w:val="18"/>
                <w:color w:val="0000EE"/>
              </w:rPr>
            </w:pPr>
            <w:hyperlink r:id="rId68">
              <w:r>
                <w:rPr>
                  <w:rFonts w:ascii="Arial" w:cs="Arial" w:eastAsia="Arial" w:hAnsi="Arial"/>
                  <w:sz w:val="18"/>
                  <w:szCs w:val="18"/>
                  <w:color w:val="0000EE"/>
                </w:rPr>
                <w:t>.</w:t>
              </w:r>
            </w:hyperlink>
          </w:p>
        </w:tc>
        <w:tc>
          <w:tcPr>
            <w:tcW w:w="240" w:type="dxa"/>
            <w:vAlign w:val="bottom"/>
            <w:gridSpan w:val="3"/>
          </w:tcPr>
          <w:p>
            <w:pPr>
              <w:spacing w:after="0"/>
              <w:rPr>
                <w:sz w:val="14"/>
                <w:szCs w:val="14"/>
                <w:color w:val="auto"/>
              </w:rPr>
            </w:pPr>
          </w:p>
        </w:tc>
        <w:tc>
          <w:tcPr>
            <w:tcW w:w="1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160" w:type="dxa"/>
            <w:vAlign w:val="bottom"/>
            <w:tcBorders>
              <w:bottom w:val="single" w:sz="8" w:color="0000EE"/>
            </w:tcBorders>
            <w:gridSpan w:val="10"/>
          </w:tcPr>
          <w:p>
            <w:pPr>
              <w:spacing w:after="0" w:line="170"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Current Report on Form 8-K filed with the Securities and Exchange Commission on June 25, 2018)</w:t>
              </w:r>
            </w:hyperlink>
          </w:p>
        </w:tc>
        <w:tc>
          <w:tcPr>
            <w:tcW w:w="100" w:type="dxa"/>
            <w:vAlign w:val="bottom"/>
            <w:tcBorders>
              <w:bottom w:val="single" w:sz="8" w:color="0000EE"/>
            </w:tcBorders>
            <w:gridSpan w:val="4"/>
            <w:vMerge w:val="continue"/>
          </w:tcPr>
          <w:p>
            <w:pPr>
              <w:spacing w:after="0"/>
              <w:rPr>
                <w:sz w:val="14"/>
                <w:szCs w:val="14"/>
                <w:color w:val="auto"/>
              </w:rPr>
            </w:pPr>
          </w:p>
        </w:tc>
        <w:tc>
          <w:tcPr>
            <w:tcW w:w="240" w:type="dxa"/>
            <w:vAlign w:val="bottom"/>
            <w:gridSpan w:val="3"/>
          </w:tcPr>
          <w:p>
            <w:pPr>
              <w:spacing w:after="0"/>
              <w:rPr>
                <w:sz w:val="14"/>
                <w:szCs w:val="14"/>
                <w:color w:val="auto"/>
              </w:rPr>
            </w:pPr>
          </w:p>
        </w:tc>
        <w:tc>
          <w:tcPr>
            <w:tcW w:w="1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gridSpan w:val="21"/>
          </w:tcPr>
          <w:p>
            <w:pPr>
              <w:spacing w:after="0"/>
              <w:rPr>
                <w:rFonts w:ascii="Arial" w:cs="Arial" w:eastAsia="Arial" w:hAnsi="Arial"/>
                <w:sz w:val="18"/>
                <w:szCs w:val="18"/>
                <w:color w:val="0000EE"/>
                <w:w w:val="96"/>
              </w:rPr>
            </w:pPr>
            <w:hyperlink w:anchor="page55">
              <w:r>
                <w:rPr>
                  <w:rFonts w:ascii="Arial" w:cs="Arial" w:eastAsia="Arial" w:hAnsi="Arial"/>
                  <w:sz w:val="18"/>
                  <w:szCs w:val="18"/>
                  <w:color w:val="0000EE"/>
                  <w:w w:val="96"/>
                </w:rPr>
                <w:t>Certification of Chief Executive Officer pursuant to Exchange Act Rule, 13a-14(a) and 15d-14(a), as</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40" w:type="dxa"/>
            <w:vAlign w:val="bottom"/>
            <w:tcBorders>
              <w:top w:val="single" w:sz="8" w:color="0000EE"/>
              <w:bottom w:val="single" w:sz="8" w:color="0000EE"/>
            </w:tcBorders>
            <w:gridSpan w:val="5"/>
          </w:tcPr>
          <w:p>
            <w:pPr>
              <w:spacing w:after="0" w:line="170"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adopted pursuant to Section 302 of the Sarbanes-Oxley Act of 2002.</w:t>
              </w:r>
            </w:hyperlink>
          </w:p>
        </w:tc>
        <w:tc>
          <w:tcPr>
            <w:tcW w:w="2320" w:type="dxa"/>
            <w:vAlign w:val="bottom"/>
            <w:tcBorders>
              <w:top w:val="single" w:sz="8" w:color="0000EE"/>
            </w:tcBorders>
            <w:gridSpan w:val="9"/>
          </w:tcPr>
          <w:p>
            <w:pPr>
              <w:spacing w:after="0"/>
              <w:rPr>
                <w:sz w:val="14"/>
                <w:szCs w:val="14"/>
                <w:color w:val="auto"/>
              </w:rPr>
            </w:pPr>
          </w:p>
        </w:tc>
        <w:tc>
          <w:tcPr>
            <w:tcW w:w="240" w:type="dxa"/>
            <w:vAlign w:val="bottom"/>
            <w:gridSpan w:val="3"/>
          </w:tcPr>
          <w:p>
            <w:pPr>
              <w:spacing w:after="0"/>
              <w:rPr>
                <w:sz w:val="14"/>
                <w:szCs w:val="14"/>
                <w:color w:val="auto"/>
              </w:rPr>
            </w:pPr>
          </w:p>
        </w:tc>
        <w:tc>
          <w:tcPr>
            <w:tcW w:w="1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gridSpan w:val="21"/>
          </w:tcPr>
          <w:p>
            <w:pPr>
              <w:spacing w:after="0"/>
              <w:rPr>
                <w:rFonts w:ascii="Arial" w:cs="Arial" w:eastAsia="Arial" w:hAnsi="Arial"/>
                <w:sz w:val="18"/>
                <w:szCs w:val="18"/>
                <w:color w:val="0000EE"/>
                <w:w w:val="97"/>
              </w:rPr>
            </w:pPr>
            <w:hyperlink w:anchor="page56">
              <w:r>
                <w:rPr>
                  <w:rFonts w:ascii="Arial" w:cs="Arial" w:eastAsia="Arial" w:hAnsi="Arial"/>
                  <w:sz w:val="18"/>
                  <w:szCs w:val="18"/>
                  <w:color w:val="0000EE"/>
                  <w:w w:val="97"/>
                </w:rPr>
                <w:t>Certification of Chief Financial Officer pursuant to Exchange Act Rule, 13a-14(a) and 15d-14(a), as</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40" w:type="dxa"/>
            <w:vAlign w:val="bottom"/>
            <w:tcBorders>
              <w:top w:val="single" w:sz="8" w:color="0000EE"/>
              <w:bottom w:val="single" w:sz="8" w:color="0000EE"/>
            </w:tcBorders>
            <w:gridSpan w:val="5"/>
          </w:tcPr>
          <w:p>
            <w:pPr>
              <w:spacing w:after="0" w:line="170"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adopted pursuant to Section 302 of the Sarbanes-Oxley Act of 2002.</w:t>
              </w:r>
            </w:hyperlink>
          </w:p>
        </w:tc>
        <w:tc>
          <w:tcPr>
            <w:tcW w:w="2300" w:type="dxa"/>
            <w:vAlign w:val="bottom"/>
            <w:tcBorders>
              <w:top w:val="single" w:sz="8" w:color="0000EE"/>
            </w:tcBorders>
            <w:gridSpan w:val="8"/>
          </w:tcPr>
          <w:p>
            <w:pPr>
              <w:spacing w:after="0"/>
              <w:rPr>
                <w:sz w:val="14"/>
                <w:szCs w:val="14"/>
                <w:color w:val="auto"/>
              </w:rPr>
            </w:pPr>
          </w:p>
        </w:tc>
        <w:tc>
          <w:tcPr>
            <w:tcW w:w="260" w:type="dxa"/>
            <w:vAlign w:val="bottom"/>
            <w:gridSpan w:val="4"/>
          </w:tcPr>
          <w:p>
            <w:pPr>
              <w:spacing w:after="0"/>
              <w:rPr>
                <w:sz w:val="14"/>
                <w:szCs w:val="14"/>
                <w:color w:val="auto"/>
              </w:rPr>
            </w:pPr>
          </w:p>
        </w:tc>
        <w:tc>
          <w:tcPr>
            <w:tcW w:w="1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gridSpan w:val="21"/>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Certification pursuant to 18 U.S.C. 1350, adopted pursuant to Section 906 of the Sarbanes-Oxley Act of</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00" w:type="dxa"/>
            <w:vAlign w:val="bottom"/>
            <w:tcBorders>
              <w:top w:val="single" w:sz="8" w:color="0000EE"/>
            </w:tcBorders>
            <w:gridSpan w:val="17"/>
          </w:tcPr>
          <w:p>
            <w:pPr>
              <w:spacing w:after="0" w:line="170" w:lineRule="exact"/>
              <w:rPr>
                <w:rFonts w:ascii="Arial" w:cs="Arial" w:eastAsia="Arial" w:hAnsi="Arial"/>
                <w:sz w:val="18"/>
                <w:szCs w:val="18"/>
                <w:color w:val="0000EE"/>
              </w:rPr>
            </w:pPr>
            <w:hyperlink w:anchor="page57">
              <w:r>
                <w:rPr>
                  <w:rFonts w:ascii="Arial" w:cs="Arial" w:eastAsia="Arial" w:hAnsi="Arial"/>
                  <w:sz w:val="18"/>
                  <w:szCs w:val="18"/>
                  <w:color w:val="0000EE"/>
                </w:rPr>
                <w:t>2002, by Chief Executive Officer and Chief Financial Officer.</w:t>
              </w:r>
            </w:hyperlink>
          </w:p>
        </w:tc>
        <w:tc>
          <w:tcPr>
            <w:tcW w:w="1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4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XBRL Instance Document.</w:t>
            </w:r>
          </w:p>
        </w:tc>
        <w:tc>
          <w:tcPr>
            <w:tcW w:w="31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764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64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7640" w:type="dxa"/>
            <w:vAlign w:val="bottom"/>
            <w:gridSpan w:val="2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64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764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-7620</wp:posOffset>
            </wp:positionV>
            <wp:extent cx="342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hanging="537"/>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APPLIED OPTOELECTRONICS, INC.</w:t>
      </w:r>
    </w:p>
    <w:p>
      <w:pPr>
        <w:spacing w:after="0" w:line="175"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7"/>
          <w:szCs w:val="17"/>
          <w:color w:val="auto"/>
        </w:rPr>
        <w:t>By: /s/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6350</wp:posOffset>
            </wp:positionV>
            <wp:extent cx="26587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line="232" w:lineRule="auto"/>
        <w:rPr>
          <w:sz w:val="20"/>
          <w:szCs w:val="20"/>
          <w:color w:val="auto"/>
        </w:rPr>
      </w:pPr>
      <w:r>
        <w:rPr>
          <w:rFonts w:ascii="Arial" w:cs="Arial" w:eastAsia="Arial" w:hAnsi="Arial"/>
          <w:sz w:val="18"/>
          <w:szCs w:val="18"/>
          <w:color w:val="auto"/>
        </w:rPr>
        <w:t>Stefan J. Murry</w:t>
      </w:r>
    </w:p>
    <w:p>
      <w:pPr>
        <w:ind w:left="4880"/>
        <w:spacing w:after="0" w:line="219" w:lineRule="auto"/>
        <w:rPr>
          <w:sz w:val="20"/>
          <w:szCs w:val="20"/>
          <w:color w:val="auto"/>
        </w:rPr>
      </w:pPr>
      <w:r>
        <w:rPr>
          <w:rFonts w:ascii="Arial" w:cs="Arial" w:eastAsia="Arial" w:hAnsi="Arial"/>
          <w:sz w:val="18"/>
          <w:szCs w:val="18"/>
          <w:color w:val="auto"/>
        </w:rPr>
        <w:t>Chief Financial Officer</w:t>
      </w:r>
    </w:p>
    <w:p>
      <w:pPr>
        <w:ind w:left="4880"/>
        <w:spacing w:after="0" w:line="220" w:lineRule="auto"/>
        <w:rPr>
          <w:sz w:val="20"/>
          <w:szCs w:val="20"/>
          <w:color w:val="auto"/>
        </w:rPr>
      </w:pPr>
      <w:r>
        <w:rPr>
          <w:rFonts w:ascii="Arial" w:cs="Arial" w:eastAsia="Arial" w:hAnsi="Arial"/>
          <w:sz w:val="18"/>
          <w:szCs w:val="18"/>
          <w:i w:val="1"/>
          <w:iCs w:val="1"/>
          <w:color w:val="auto"/>
        </w:rPr>
        <w:t>(principal financial officer and principal accounting</w:t>
      </w:r>
    </w:p>
    <w:p>
      <w:pPr>
        <w:ind w:left="488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649" w:hanging="649"/>
        <w:spacing w:after="0"/>
        <w:tabs>
          <w:tab w:leader="none" w:pos="6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left="649" w:right="80" w:hanging="649"/>
        <w:spacing w:after="0" w:line="264" w:lineRule="auto"/>
        <w:tabs>
          <w:tab w:leader="none" w:pos="6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9" w:right="140" w:hanging="649"/>
        <w:spacing w:after="0" w:line="264" w:lineRule="auto"/>
        <w:tabs>
          <w:tab w:leader="none" w:pos="6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81" w:lineRule="exact"/>
        <w:rPr>
          <w:rFonts w:ascii="Arial" w:cs="Arial" w:eastAsia="Arial" w:hAnsi="Arial"/>
          <w:sz w:val="18"/>
          <w:szCs w:val="18"/>
          <w:color w:val="auto"/>
        </w:rPr>
      </w:pPr>
    </w:p>
    <w:p>
      <w:pPr>
        <w:ind w:left="649" w:right="260" w:hanging="649"/>
        <w:spacing w:after="0" w:line="264" w:lineRule="auto"/>
        <w:tabs>
          <w:tab w:leader="none" w:pos="6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1289" w:right="40" w:hanging="316"/>
        <w:spacing w:after="0" w:line="286" w:lineRule="auto"/>
        <w:tabs>
          <w:tab w:leader="none" w:pos="1289"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289" w:right="120" w:hanging="316"/>
        <w:spacing w:after="0" w:line="264" w:lineRule="auto"/>
        <w:tabs>
          <w:tab w:leader="none" w:pos="1289"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49" w:right="380" w:hanging="649"/>
        <w:spacing w:after="0" w:line="264" w:lineRule="auto"/>
        <w:tabs>
          <w:tab w:leader="none" w:pos="6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289" w:right="380" w:hanging="316"/>
        <w:spacing w:after="0" w:line="264" w:lineRule="auto"/>
        <w:tabs>
          <w:tab w:leader="none" w:pos="128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289" w:right="760" w:hanging="316"/>
        <w:spacing w:after="0" w:line="277" w:lineRule="auto"/>
        <w:tabs>
          <w:tab w:leader="none" w:pos="128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9"/>
        <w:spacing w:after="0"/>
        <w:rPr>
          <w:sz w:val="20"/>
          <w:szCs w:val="20"/>
          <w:color w:val="auto"/>
        </w:rPr>
      </w:pPr>
      <w:r>
        <w:rPr>
          <w:rFonts w:ascii="Arial" w:cs="Arial" w:eastAsia="Arial" w:hAnsi="Arial"/>
          <w:sz w:val="18"/>
          <w:szCs w:val="18"/>
          <w:color w:val="auto"/>
        </w:rPr>
        <w:t>Date: August 8, 2018</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Arial" w:cs="Arial" w:eastAsia="Arial" w:hAnsi="Arial"/>
          <w:sz w:val="18"/>
          <w:szCs w:val="18"/>
          <w:color w:val="auto"/>
        </w:rPr>
        <w:t>/s/ CHIH-HSIANG (THOMPSON) LIN</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3020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61225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649" w:hanging="649"/>
        <w:spacing w:after="0"/>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left="649" w:right="80" w:hanging="649"/>
        <w:spacing w:after="0" w:line="264"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9" w:right="140" w:hanging="649"/>
        <w:spacing w:after="0" w:line="264"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81" w:lineRule="exact"/>
        <w:rPr>
          <w:rFonts w:ascii="Arial" w:cs="Arial" w:eastAsia="Arial" w:hAnsi="Arial"/>
          <w:sz w:val="18"/>
          <w:szCs w:val="18"/>
          <w:color w:val="auto"/>
        </w:rPr>
      </w:pPr>
    </w:p>
    <w:p>
      <w:pPr>
        <w:ind w:left="649" w:right="260" w:hanging="649"/>
        <w:spacing w:after="0" w:line="264"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1289" w:right="40" w:hanging="316"/>
        <w:spacing w:after="0" w:line="286" w:lineRule="auto"/>
        <w:tabs>
          <w:tab w:leader="none" w:pos="1289"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289" w:right="120" w:hanging="316"/>
        <w:spacing w:after="0" w:line="264" w:lineRule="auto"/>
        <w:tabs>
          <w:tab w:leader="none" w:pos="1289"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49" w:right="380" w:hanging="649"/>
        <w:spacing w:after="0" w:line="264"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289" w:right="380" w:hanging="316"/>
        <w:spacing w:after="0" w:line="264" w:lineRule="auto"/>
        <w:tabs>
          <w:tab w:leader="none" w:pos="128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289" w:right="760" w:hanging="316"/>
        <w:spacing w:after="0" w:line="277" w:lineRule="auto"/>
        <w:tabs>
          <w:tab w:leader="none" w:pos="128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
        <w:spacing w:after="0"/>
        <w:rPr>
          <w:sz w:val="20"/>
          <w:szCs w:val="20"/>
          <w:color w:val="auto"/>
        </w:rPr>
      </w:pPr>
      <w:r>
        <w:rPr>
          <w:rFonts w:ascii="Arial" w:cs="Arial" w:eastAsia="Arial" w:hAnsi="Arial"/>
          <w:sz w:val="18"/>
          <w:szCs w:val="18"/>
          <w:color w:val="auto"/>
        </w:rPr>
        <w:t>Date: August 8, 2018</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Arial" w:cs="Arial" w:eastAsia="Arial" w:hAnsi="Arial"/>
          <w:sz w:val="18"/>
          <w:szCs w:val="18"/>
          <w:color w:val="auto"/>
        </w:rPr>
        <w:t>/s/ STEFAN J. MURRY</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3020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61225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54" w:lineRule="exact"/>
        <w:rPr>
          <w:sz w:val="20"/>
          <w:szCs w:val="20"/>
          <w:color w:val="auto"/>
        </w:rPr>
      </w:pPr>
    </w:p>
    <w:p>
      <w:pPr>
        <w:jc w:val="both"/>
        <w:ind w:left="780" w:hanging="453"/>
        <w:spacing w:after="0" w:line="26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2018, to which this Certification is attached as Exhibit 32.1 (the “Quarterly Report”) fully complies with the requirements of Section 13(a) or Section 15(d) of the Exchange Act; and</w:t>
      </w:r>
    </w:p>
    <w:p>
      <w:pPr>
        <w:spacing w:after="0" w:line="181" w:lineRule="exact"/>
        <w:rPr>
          <w:rFonts w:ascii="Arial" w:cs="Arial" w:eastAsia="Arial" w:hAnsi="Arial"/>
          <w:sz w:val="18"/>
          <w:szCs w:val="18"/>
          <w:color w:val="auto"/>
        </w:rPr>
      </w:pPr>
    </w:p>
    <w:p>
      <w:pPr>
        <w:ind w:left="780" w:hanging="453"/>
        <w:spacing w:after="0" w:line="277"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the operation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8</w:t>
      </w:r>
      <w:r>
        <w:rPr>
          <w:rFonts w:ascii="Arial" w:cs="Arial" w:eastAsia="Arial" w:hAnsi="Arial"/>
          <w:sz w:val="8"/>
          <w:szCs w:val="8"/>
          <w:color w:val="auto"/>
        </w:rPr>
        <w:t>th</w:t>
      </w:r>
      <w:r>
        <w:rPr>
          <w:rFonts w:ascii="Arial" w:cs="Arial" w:eastAsia="Arial" w:hAnsi="Arial"/>
          <w:sz w:val="18"/>
          <w:szCs w:val="18"/>
          <w:color w:val="auto"/>
        </w:rPr>
        <w:t xml:space="preserve"> day of August, 2018.</w:t>
      </w:r>
    </w:p>
    <w:p>
      <w:pPr>
        <w:sectPr>
          <w:pgSz w:w="11900" w:h="16838" w:orient="portrait"/>
          <w:cols w:equalWidth="0" w:num="1">
            <w:col w:w="9060"/>
          </w:cols>
          <w:pgMar w:left="1420" w:top="121" w:right="1419" w:bottom="1440" w:gutter="0" w:footer="0" w:header="0"/>
        </w:sectPr>
      </w:pPr>
    </w:p>
    <w:p>
      <w:pPr>
        <w:spacing w:after="0" w:line="225" w:lineRule="exact"/>
        <w:rPr>
          <w:sz w:val="20"/>
          <w:szCs w:val="20"/>
          <w:color w:val="auto"/>
        </w:rPr>
      </w:pPr>
    </w:p>
    <w:p>
      <w:pPr>
        <w:ind w:right="1060"/>
        <w:spacing w:after="0" w:line="295" w:lineRule="auto"/>
        <w:rPr>
          <w:sz w:val="20"/>
          <w:szCs w:val="20"/>
          <w:color w:val="auto"/>
        </w:rPr>
      </w:pPr>
      <w:r>
        <w:rPr>
          <w:rFonts w:ascii="Arial" w:cs="Arial" w:eastAsia="Arial" w:hAnsi="Arial"/>
          <w:sz w:val="17"/>
          <w:szCs w:val="17"/>
          <w:color w:val="auto"/>
        </w:rPr>
        <w:t>/s/ CHIH-HSIANG (THOMPSON) LIN CHIH-HSIANG (THOMPSON) LIN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-310515</wp:posOffset>
            </wp:positionV>
            <wp:extent cx="27959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STEFAN J. MURRY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870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65" w:lineRule="exact"/>
        <w:rPr>
          <w:sz w:val="20"/>
          <w:szCs w:val="20"/>
          <w:color w:val="auto"/>
        </w:rPr>
      </w:pPr>
    </w:p>
    <w:p>
      <w:pPr>
        <w:sectPr>
          <w:pgSz w:w="11900" w:h="16838" w:orient="portrait"/>
          <w:cols w:equalWidth="0" w:num="2">
            <w:col w:w="3960" w:space="720"/>
            <w:col w:w="4380"/>
          </w:cols>
          <w:pgMar w:left="1420" w:top="121" w:right="1419" w:bottom="1440" w:gutter="0" w:footer="0" w:header="0"/>
          <w:type w:val="continuous"/>
        </w:sectPr>
      </w:pP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Act of 1934, as amended (whether made before or after the date of the Quarterly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8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62" Type="http://schemas.openxmlformats.org/officeDocument/2006/relationships/hyperlink" Target="http://www.sec.gov/Archives/edgar/data/1158114/000101968713004306/aaoi_10q-ex0301.htm" TargetMode="External"/><Relationship Id="rId63" Type="http://schemas.openxmlformats.org/officeDocument/2006/relationships/hyperlink" Target="http://www.sec.gov/Archives/edgar/data/1158114/000101968713004306/aaoi_10q-ex0302.htm" TargetMode="External"/><Relationship Id="rId64" Type="http://schemas.openxmlformats.org/officeDocument/2006/relationships/hyperlink" Target="http://www.sec.gov/Archives/edgar/data/1158114/000110465915051289/a15-15715_1ex4d1.htm" TargetMode="External"/><Relationship Id="rId65" Type="http://schemas.openxmlformats.org/officeDocument/2006/relationships/hyperlink" Target="http://www.sec.gov/Archives/edgar/data/1158114/000168316818001780/appliedopto_ex1001.htm" TargetMode="External"/><Relationship Id="rId66" Type="http://schemas.openxmlformats.org/officeDocument/2006/relationships/hyperlink" Target="http://www.sec.gov/Archives/edgar/data/1158114/000168316818001780/appliedopto_ex1002.htm" TargetMode="External"/><Relationship Id="rId67" Type="http://schemas.openxmlformats.org/officeDocument/2006/relationships/hyperlink" Target="http://www.sec.gov/Archives/edgar/data/1158114/000168316818001780/appliedopto_ex1003.htm" TargetMode="External"/><Relationship Id="rId68" Type="http://schemas.openxmlformats.org/officeDocument/2006/relationships/hyperlink" Target="http://www.sec.gov/Archives/edgar/data/1158114/000168316818001780/appliedopto_ex10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2019-12-28T19:53:34Z</dcterms:created>
  <dcterms:modified xsi:type="dcterms:W3CDTF">2019-12-28T19:53:34Z</dcterms:modified>
</cp:coreProperties>
</file>