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 w:lineRule="exact"/>
        <w:rPr>
          <w:sz w:val="24"/>
          <w:szCs w:val="24"/>
          <w:color w:val="auto"/>
        </w:rPr>
      </w:pPr>
    </w:p>
    <w:p>
      <w:pPr>
        <w:ind w:left="3820" w:right="1880" w:hanging="3812"/>
        <w:spacing w:after="0" w:line="490" w:lineRule="auto"/>
        <w:tabs>
          <w:tab w:leader="none" w:pos="2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20" w:right="1860" w:hanging="3412"/>
        <w:spacing w:after="0" w:line="500" w:lineRule="auto"/>
        <w:tabs>
          <w:tab w:leader="none" w:pos="21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__________ to </w:t>
      </w:r>
      <w:r>
        <w:rPr>
          <w:rFonts w:ascii="Times New Roman" w:cs="Times New Roman" w:eastAsia="Times New Roman" w:hAnsi="Times New Roman"/>
          <w:sz w:val="18"/>
          <w:szCs w:val="18"/>
          <w:color w:val="auto"/>
        </w:rPr>
        <w:t>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15" w:right="339" w:bottom="1440" w:gutter="0" w:footer="0" w:header="0"/>
        </w:sectPr>
      </w:pPr>
    </w:p>
    <w:p>
      <w:pPr>
        <w:spacing w:after="0" w:line="203"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76-0533927</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715"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13139 Jess Pirtle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ind w:left="5500" w:hanging="438"/>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295-1800</w:t>
      </w:r>
    </w:p>
    <w:p>
      <w:pPr>
        <w:spacing w:after="0" w:line="31"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(Registrant’s telephone number)</w:t>
      </w:r>
    </w:p>
    <w:p>
      <w:pPr>
        <w:spacing w:after="0" w:line="200" w:lineRule="exact"/>
        <w:rPr>
          <w:sz w:val="24"/>
          <w:szCs w:val="24"/>
          <w:color w:val="auto"/>
        </w:rPr>
      </w:pPr>
    </w:p>
    <w:p>
      <w:pPr>
        <w:spacing w:after="0" w:line="22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0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602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9"/>
              </w:rPr>
              <w:t>Trading Name of each exchange on which registered</w:t>
            </w:r>
          </w:p>
        </w:tc>
      </w:tr>
      <w:tr>
        <w:trPr>
          <w:trHeight w:val="228"/>
        </w:trPr>
        <w:tc>
          <w:tcPr>
            <w:tcW w:w="2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3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AAOI</w:t>
            </w:r>
          </w:p>
        </w:tc>
        <w:tc>
          <w:tcPr>
            <w:tcW w:w="60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79" w:lineRule="exact"/>
        <w:rPr>
          <w:sz w:val="24"/>
          <w:szCs w:val="24"/>
          <w:color w:val="auto"/>
        </w:rPr>
      </w:pPr>
    </w:p>
    <w:p>
      <w:pPr>
        <w:jc w:val="both"/>
        <w:ind w:left="280" w:right="280" w:firstLine="41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left="280" w:right="280" w:firstLine="41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left="280" w:right="260" w:firstLine="41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22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w:t>
      </w:r>
    </w:p>
    <w:p>
      <w:pPr>
        <w:spacing w:after="0" w:line="22" w:lineRule="exact"/>
        <w:rPr>
          <w:sz w:val="24"/>
          <w:szCs w:val="24"/>
          <w:color w:val="auto"/>
        </w:rPr>
      </w:pPr>
    </w:p>
    <w:p>
      <w:pPr>
        <w:ind w:left="280"/>
        <w:spacing w:after="0" w:line="207" w:lineRule="exact"/>
        <w:tabs>
          <w:tab w:leader="none" w:pos="9260" w:val="left"/>
        </w:tabs>
        <w:rPr>
          <w:sz w:val="20"/>
          <w:szCs w:val="20"/>
          <w:color w:val="auto"/>
        </w:rPr>
      </w:pPr>
      <w:r>
        <w:rPr>
          <w:rFonts w:ascii="Times New Roman" w:cs="Times New Roman" w:eastAsia="Times New Roman" w:hAnsi="Times New Roman"/>
          <w:sz w:val="18"/>
          <w:szCs w:val="18"/>
          <w:color w:val="auto"/>
        </w:rPr>
        <w:t>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2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As of May 2, 2022 there were 27,634,082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6"/>
        </w:trPr>
        <w:tc>
          <w:tcPr>
            <w:tcW w:w="9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80" w:type="dxa"/>
            <w:vAlign w:val="bottom"/>
            <w:gridSpan w:val="10"/>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980" w:type="dxa"/>
            <w:vAlign w:val="bottom"/>
            <w:gridSpan w:val="10"/>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8440" w:type="dxa"/>
            <w:vAlign w:val="bottom"/>
            <w:gridSpan w:val="12"/>
            <w:vMerge w:val="restart"/>
          </w:tcPr>
          <w:p>
            <w:pPr>
              <w:spacing w:after="0"/>
              <w:rPr>
                <w:sz w:val="24"/>
                <w:szCs w:val="24"/>
                <w:color w:val="auto"/>
              </w:rPr>
            </w:pPr>
          </w:p>
        </w:tc>
        <w:tc>
          <w:tcPr>
            <w:tcW w:w="5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2260" w:type="dxa"/>
            <w:vAlign w:val="bottom"/>
            <w:tcBorders>
              <w:bottom w:val="single" w:sz="8" w:color="0000EE"/>
            </w:tcBorders>
            <w:gridSpan w:val="8"/>
            <w:vMerge w:val="continue"/>
          </w:tcPr>
          <w:p>
            <w:pPr>
              <w:spacing w:after="0"/>
              <w:rPr>
                <w:sz w:val="14"/>
                <w:szCs w:val="14"/>
                <w:color w:val="auto"/>
              </w:rPr>
            </w:pPr>
          </w:p>
        </w:tc>
        <w:tc>
          <w:tcPr>
            <w:tcW w:w="8440" w:type="dxa"/>
            <w:vAlign w:val="bottom"/>
            <w:gridSpan w:val="12"/>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Condensed Consolidated Financial Statements (Unaudited)</w:t>
            </w:r>
          </w:p>
        </w:tc>
        <w:tc>
          <w:tcPr>
            <w:tcW w:w="5480" w:type="dxa"/>
            <w:vAlign w:val="bottom"/>
            <w:gridSpan w:val="9"/>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7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March 31, 2022 (Unaudited) and December 31, 2021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85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March 31, 2022 and 2021 (Unaudited)</w:t>
            </w:r>
          </w:p>
        </w:tc>
        <w:tc>
          <w:tcPr>
            <w:tcW w:w="1220" w:type="dxa"/>
            <w:vAlign w:val="bottom"/>
            <w:gridSpan w:val="4"/>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0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Three Months ended March 31, 2022 and 2021</w:t>
            </w:r>
          </w:p>
        </w:tc>
        <w:tc>
          <w:tcPr>
            <w:tcW w:w="700" w:type="dxa"/>
            <w:vAlign w:val="bottom"/>
            <w:gridSpan w:val="2"/>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7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Months ended March 31, 2022 and 2021 (Unaudited)</w:t>
            </w:r>
          </w:p>
        </w:tc>
        <w:tc>
          <w:tcPr>
            <w:tcW w:w="4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85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2022 and 2021 (Unaudited)</w:t>
            </w:r>
          </w:p>
        </w:tc>
        <w:tc>
          <w:tcPr>
            <w:tcW w:w="68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85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160" w:type="dxa"/>
            <w:vAlign w:val="bottom"/>
            <w:gridSpan w:val="3"/>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19</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330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25</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98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20" w:type="dxa"/>
            <w:vAlign w:val="bottom"/>
            <w:gridSpan w:val="11"/>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25</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3"/>
          </w:tcPr>
          <w:p>
            <w:pPr>
              <w:spacing w:after="0"/>
              <w:rPr>
                <w:sz w:val="24"/>
                <w:szCs w:val="24"/>
                <w:color w:val="auto"/>
              </w:rPr>
            </w:pPr>
          </w:p>
        </w:tc>
        <w:tc>
          <w:tcPr>
            <w:tcW w:w="842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25</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9140" w:type="dxa"/>
            <w:vAlign w:val="bottom"/>
            <w:gridSpan w:val="17"/>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25</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8980" w:type="dxa"/>
            <w:vAlign w:val="bottom"/>
            <w:gridSpan w:val="16"/>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27</w:t>
            </w:r>
          </w:p>
        </w:tc>
        <w:tc>
          <w:tcPr>
            <w:tcW w:w="0" w:type="dxa"/>
            <w:vAlign w:val="bottom"/>
          </w:tcPr>
          <w:p>
            <w:pPr>
              <w:spacing w:after="0"/>
              <w:rPr>
                <w:sz w:val="1"/>
                <w:szCs w:val="1"/>
                <w:color w:val="auto"/>
              </w:rPr>
            </w:pPr>
          </w:p>
        </w:tc>
      </w:tr>
      <w:tr>
        <w:trPr>
          <w:trHeight w:val="466"/>
        </w:trPr>
        <w:tc>
          <w:tcPr>
            <w:tcW w:w="960" w:type="dxa"/>
            <w:vAlign w:val="bottom"/>
          </w:tcPr>
          <w:p>
            <w:pPr>
              <w:spacing w:after="0"/>
              <w:rPr>
                <w:sz w:val="24"/>
                <w:szCs w:val="24"/>
                <w:color w:val="auto"/>
              </w:rPr>
            </w:pPr>
          </w:p>
        </w:tc>
        <w:tc>
          <w:tcPr>
            <w:tcW w:w="4940" w:type="dxa"/>
            <w:vAlign w:val="bottom"/>
            <w:gridSpan w:val="12"/>
          </w:tcPr>
          <w:p>
            <w:pPr>
              <w:jc w:val="center"/>
              <w:ind w:left="4290"/>
              <w:spacing w:after="0"/>
              <w:rPr>
                <w:sz w:val="20"/>
                <w:szCs w:val="20"/>
                <w:color w:val="auto"/>
              </w:rPr>
            </w:pPr>
            <w:r>
              <w:rPr>
                <w:rFonts w:ascii="Times New Roman" w:cs="Times New Roman" w:eastAsia="Times New Roman" w:hAnsi="Times New Roman"/>
                <w:sz w:val="18"/>
                <w:szCs w:val="18"/>
                <w:color w:val="auto"/>
                <w:w w:val="88"/>
              </w:rPr>
              <w:t>2</w:t>
            </w: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 and Subsidiaries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34,656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trade, net of allowance of $29 and $30, respectively</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47,944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Notes receivable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92,007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92,516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193,239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194,079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236,774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243,035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Land use rights, net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right of use asset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 net</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446,753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454,459</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notes payable and long-term debt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49,689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34,402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Bank acceptance payable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lease liability - operating</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lease liability - financing</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116,534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108,957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and long-term debt, less current portion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78,884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78,680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lease liability - operating</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lease liability - financing</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207,176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199,889</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5,000 shares authorized at $0.001 par value; no shares issued and outstanding at March</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2022 and December 31, 2021, respectively</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45,000 shares authorized at $0.001 par value; 27,530 and 27,323 shares issued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at March 31, 2022 and December 31, 2021, respectively</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383,474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381,143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16,071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(158,733)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(142,671)</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239,577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254,570</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446,753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454,459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56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 and Subsidiaries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and per share data)</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10"/>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5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52,242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49,701</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38,982</w:t>
            </w:r>
          </w:p>
        </w:tc>
        <w:tc>
          <w:tcPr>
            <w:tcW w:w="100" w:type="dxa"/>
            <w:vAlign w:val="bottom"/>
          </w:tcPr>
          <w:p>
            <w:pPr>
              <w:spacing w:after="0"/>
              <w:rPr>
                <w:sz w:val="18"/>
                <w:szCs w:val="18"/>
                <w:color w:val="auto"/>
              </w:rPr>
            </w:pPr>
          </w:p>
        </w:tc>
      </w:tr>
      <w:tr>
        <w:trPr>
          <w:trHeight w:val="210"/>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10,719</w:t>
            </w:r>
          </w:p>
        </w:tc>
      </w:tr>
      <w:tr>
        <w:trPr>
          <w:trHeight w:val="209"/>
        </w:trPr>
        <w:tc>
          <w:tcPr>
            <w:tcW w:w="2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10,928</w:t>
            </w:r>
          </w:p>
        </w:tc>
      </w:tr>
      <w:tr>
        <w:trPr>
          <w:trHeight w:val="216"/>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w:t>
            </w:r>
          </w:p>
        </w:tc>
      </w:tr>
      <w:tr>
        <w:trPr>
          <w:trHeight w:val="216"/>
        </w:trPr>
        <w:tc>
          <w:tcPr>
            <w:tcW w:w="2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24,757</w:t>
            </w:r>
          </w:p>
        </w:tc>
        <w:tc>
          <w:tcPr>
            <w:tcW w:w="100" w:type="dxa"/>
            <w:vAlign w:val="bottom"/>
          </w:tcPr>
          <w:p>
            <w:pPr>
              <w:spacing w:after="0"/>
              <w:rPr>
                <w:sz w:val="18"/>
                <w:szCs w:val="18"/>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(14,038)</w:t>
            </w:r>
          </w:p>
        </w:tc>
      </w:tr>
      <w:tr>
        <w:trPr>
          <w:trHeight w:val="210"/>
        </w:trPr>
        <w:tc>
          <w:tcPr>
            <w:tcW w:w="2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5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(1,431)</w:t>
            </w: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1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5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(1,584)</w:t>
            </w: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(15,622)</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(16,062)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(15,622)</w:t>
            </w:r>
          </w:p>
        </w:tc>
      </w:tr>
      <w:tr>
        <w:trPr>
          <w:trHeight w:val="197"/>
        </w:trPr>
        <w:tc>
          <w:tcPr>
            <w:tcW w:w="268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53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(0.58)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(0.59)</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5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(0.58)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(0.59)</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loss per share: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27,463,321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26,438,071</w:t>
            </w:r>
          </w:p>
        </w:tc>
      </w:tr>
      <w:tr>
        <w:trPr>
          <w:trHeight w:val="23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5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27,463,321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26,438,071</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458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 and Subsidiaries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58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(16,062)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(15,622)</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foreign currency translation adjustment</w:t>
            </w:r>
          </w:p>
        </w:tc>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(1,034)</w:t>
            </w: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3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(17,324)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(16,656)</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CONDENSED CONSOLIDATED STATEMENTS OF STOCKHOLDERS’ EQUITY Three Months ended March 31, 2022 and 2021 (Unaudited,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40" w:type="dxa"/>
            <w:vAlign w:val="bottom"/>
          </w:tcPr>
          <w:p>
            <w:pPr>
              <w:spacing w:after="0"/>
              <w:rPr>
                <w:sz w:val="18"/>
                <w:szCs w:val="18"/>
                <w:color w:val="auto"/>
              </w:rPr>
            </w:pPr>
          </w:p>
        </w:tc>
        <w:tc>
          <w:tcPr>
            <w:tcW w:w="172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220" w:type="dxa"/>
            <w:vAlign w:val="bottom"/>
          </w:tcPr>
          <w:p>
            <w:pPr>
              <w:spacing w:after="0"/>
              <w:rPr>
                <w:sz w:val="18"/>
                <w:szCs w:val="18"/>
                <w:color w:val="auto"/>
              </w:rPr>
            </w:pPr>
          </w:p>
        </w:tc>
        <w:tc>
          <w:tcPr>
            <w:tcW w:w="1960" w:type="dxa"/>
            <w:vAlign w:val="bottom"/>
            <w:gridSpan w:val="6"/>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18"/>
                <w:szCs w:val="18"/>
                <w:color w:val="auto"/>
              </w:rPr>
            </w:pPr>
          </w:p>
        </w:tc>
        <w:tc>
          <w:tcPr>
            <w:tcW w:w="172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6"/>
            <w:vMerge w:val="continue"/>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760" w:type="dxa"/>
            <w:vAlign w:val="bottom"/>
            <w:tcBorders>
              <w:top w:val="single" w:sz="8" w:color="auto"/>
            </w:tcBorders>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gridSpan w:val="2"/>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59"/>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4"/>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00" w:type="dxa"/>
            <w:vAlign w:val="bottom"/>
            <w:gridSpan w:val="4"/>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2021</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27,323</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381,143</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16,071</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(142,671)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254,570</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 net of shares</w:t>
            </w: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withheld for employee tax</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2,472</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(1,262)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(1,262)</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(16,062)</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(16,062)</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March 31, 2022</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27,530</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383,474</w:t>
            </w:r>
          </w:p>
        </w:tc>
        <w:tc>
          <w:tcPr>
            <w:tcW w:w="14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14,809</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(158,733)</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239,577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940" w:type="dxa"/>
            <w:vAlign w:val="bottom"/>
          </w:tcPr>
          <w:p>
            <w:pPr>
              <w:spacing w:after="0"/>
              <w:rPr>
                <w:sz w:val="18"/>
                <w:szCs w:val="18"/>
                <w:color w:val="auto"/>
              </w:rPr>
            </w:pPr>
          </w:p>
        </w:tc>
        <w:tc>
          <w:tcPr>
            <w:tcW w:w="172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220" w:type="dxa"/>
            <w:vAlign w:val="bottom"/>
          </w:tcPr>
          <w:p>
            <w:pPr>
              <w:spacing w:after="0"/>
              <w:rPr>
                <w:sz w:val="18"/>
                <w:szCs w:val="18"/>
                <w:color w:val="auto"/>
              </w:rPr>
            </w:pPr>
          </w:p>
        </w:tc>
        <w:tc>
          <w:tcPr>
            <w:tcW w:w="1960" w:type="dxa"/>
            <w:vAlign w:val="bottom"/>
            <w:gridSpan w:val="6"/>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760" w:type="dxa"/>
            <w:vAlign w:val="bottom"/>
            <w:tcBorders>
              <w:top w:val="single" w:sz="8" w:color="auto"/>
            </w:tcBorders>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gridSpan w:val="2"/>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59"/>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4"/>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00" w:type="dxa"/>
            <w:vAlign w:val="bottom"/>
            <w:gridSpan w:val="4"/>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2020</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25,110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354,685</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11,690</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(88,509)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277,891</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Public offering of common stock, net</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14,968</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exercised, net of shares</w:t>
            </w: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withheld for employee tax</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stock, net of shares</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withheld for employee tax</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2,519</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(1,034)</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(15,622)</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(15,622)</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March 31, 2021</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26,787</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371,920</w:t>
            </w:r>
          </w:p>
        </w:tc>
        <w:tc>
          <w:tcPr>
            <w:tcW w:w="14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10,656</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(104,131)</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278,472</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 and Subsidiaries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(16,062)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Lower of cost or market reserve adjustment to inventory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6,444</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foreign exchange gain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trade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(4,528)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(1,055)</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income tax</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(15,214)</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disposal of equipment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for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(2,422)</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of long-term debt and notes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line of credit borrowings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39,512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line of credit borrowings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(39,062)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(26,320)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bank acceptance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bank acceptance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(14,280)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payments of financing lease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of tax withholding on behalf of employees related to share-based compensation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common stock offering, net</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17,475</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40,108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49,338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(received) for: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change in accounts payable related to property and equipment additions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deposits and prepaid for equipment related to property and equipment additions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08"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Overview</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Applied Optoelectronics, Inc. (“AOI” or the “Company”) is a Delaware corporation. The Company is a leading, vertically integrated provider of fiber-optic networking products, primarily for four networking end-markets: internet data center, cable television ("CATV"), telecommunications ("telecom") and fiber-to-the-home ("FTTH"). The Company designs and manufactures a wide range of optical communications products at varying levels of integration, from components, subassemblies and modules to complete turn-key equipment.</w:t>
      </w:r>
    </w:p>
    <w:p>
      <w:pPr>
        <w:spacing w:after="0" w:line="180"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17"/>
          <w:szCs w:val="17"/>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the CATV products.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Statements</w:t>
      </w:r>
    </w:p>
    <w:p>
      <w:pPr>
        <w:spacing w:after="0" w:line="227"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The unaudited condensed consolidated financial statements of the Company as of March 31, 2022 and December 31, 2021 and for the three months ended March 31, 2022 and March 31, 2021,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2021. The results of operations for the three months ended March 31, 2022 are not necessarily indicative of the results expected for the entire fiscal year. All significant inter-company accounts and transactions have been eliminated.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credit losses, inventory reserve, product warranty costs, share-based compensation expense, estimated useful lives of property and equipment, and taxes.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for the three months ended March 31, 2022, as compared to the significant accounting policies described in its 2021 Annual Report, except as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Pronouncements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Yet to be Adopted</w:t>
      </w:r>
    </w:p>
    <w:p>
      <w:pPr>
        <w:spacing w:after="0" w:line="227"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To date, there have been no recent accounting pronouncement not yet effective that have significance, or potential significance, to our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Revenue is classified based on the location where the product is manufactured. For additional information on the disaggregated revenues by geographical region, see Note 17, "Geographic Information.”</w:t>
      </w:r>
    </w:p>
    <w:p>
      <w:pPr>
        <w:sectPr>
          <w:pgSz w:w="11900" w:h="16838" w:orient="portrait"/>
          <w:cols w:equalWidth="0" w:num="1">
            <w:col w:w="11220"/>
          </w:cols>
          <w:pgMar w:left="320" w:top="121" w:right="35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also classified by major product category and is presented below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Center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21,415</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25,939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CATV</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24,980</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18,638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Telecom</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4,479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FTTH</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52,242</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space under non-cancellable operating leases for manufacturing facilities, research and development offices and certain storage facilities and apartments. These leases do not contain contingent rent provisions. The Company also leases certain machinery, office equipment and a vehicle.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one-year and therefore, the Company has elected the practical expedient to exclude these short-term leases from its ROU asset and lease liabilities.</w:t>
      </w:r>
    </w:p>
    <w:p>
      <w:pPr>
        <w:spacing w:after="0" w:line="19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expense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lease expense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320</w:t>
            </w:r>
          </w:p>
        </w:tc>
      </w:tr>
      <w:tr>
        <w:trPr>
          <w:trHeight w:val="20"/>
        </w:trPr>
        <w:tc>
          <w:tcPr>
            <w:tcW w:w="6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lease liabilities are as follows for the future one-year periods ending March 31, 2022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1,268</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1,197</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1,218</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1,144</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2,540</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8,647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w:t>
            </w: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7,745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operating leases were as follows for the periods indicated:</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4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 - operating leases</w:t>
            </w:r>
          </w:p>
        </w:tc>
        <w:tc>
          <w:tcPr>
            <w:tcW w:w="17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6.91</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 - financing leases</w:t>
            </w:r>
          </w:p>
        </w:tc>
        <w:tc>
          <w:tcPr>
            <w:tcW w:w="17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1.58</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7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3.22%</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4"/>
              </w:rPr>
              <w:t>3.23%</w:t>
            </w: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financing leases</w:t>
            </w:r>
          </w:p>
        </w:tc>
        <w:tc>
          <w:tcPr>
            <w:tcW w:w="17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5.00%</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4"/>
              </w:rPr>
              <w:t>5.00%</w:t>
            </w:r>
          </w:p>
        </w:tc>
      </w:tr>
    </w:tbl>
    <w:p>
      <w:pPr>
        <w:spacing w:after="0" w:line="179"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5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314</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financing lease</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financing lease</w:t>
            </w:r>
          </w:p>
        </w:tc>
        <w:tc>
          <w:tcPr>
            <w:tcW w:w="2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Cash, Cash Equivalents and Restricted Cash</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statement of financial position that sum to the total of the same such amounts in the statement of cash flows (in thousands):</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31,980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34,656</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8,128</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6,480</w:t>
            </w:r>
          </w:p>
        </w:tc>
      </w:tr>
      <w:tr>
        <w:trPr>
          <w:trHeight w:val="20"/>
        </w:trPr>
        <w:tc>
          <w:tcPr>
            <w:tcW w:w="6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statement of cash flows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40,108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41,136</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Restricted cash includes guarantee deposits for customs duties, China government subsidy fund, and compensating balances required for certain credit facilities. As of March 31, 2022 and December 31, 2021, there was $4.5 million and $3.0 million of restricted cash required for bank acceptance notes issued to vendors, respectively. In addition, there was $2.5 million and $2.4 million certificate of deposit associated with credit facilities with a bank in China as of March 31, 2022 and December 31, 2021, respectively. There was $1.1 million and $1.0 million guarantee deposits for customs duties as of March 31, 2022 and December 31, 2021.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Earnings (Loss) Per Share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(16,062)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loss per share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26,438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26,438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(0.58)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(0.59)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(0.58)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(0.59)</w:t>
            </w:r>
          </w:p>
        </w:tc>
      </w:tr>
    </w:tbl>
    <w:p>
      <w:pPr>
        <w:spacing w:after="0" w:line="19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diluted net loss per share as their effect would have been antidilutive (in thousands):</w:t>
      </w:r>
    </w:p>
    <w:p>
      <w:pPr>
        <w:spacing w:after="0" w:line="158"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for convertible senior notes</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antidilutive shares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4,620</w:t>
            </w:r>
          </w:p>
        </w:tc>
      </w:tr>
      <w:tr>
        <w:trPr>
          <w:trHeight w:val="20"/>
        </w:trPr>
        <w:tc>
          <w:tcPr>
            <w:tcW w:w="8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net of inventory write-downs, consist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29,469</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 and sub-assemblies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41,344</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41,528</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21,519</w:t>
            </w:r>
          </w:p>
        </w:tc>
      </w:tr>
      <w:tr>
        <w:trPr>
          <w:trHeight w:val="20"/>
        </w:trPr>
        <w:tc>
          <w:tcPr>
            <w:tcW w:w="6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92,007</w:t>
            </w:r>
          </w:p>
        </w:tc>
        <w:tc>
          <w:tcPr>
            <w:tcW w:w="18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92,516</w:t>
            </w:r>
          </w:p>
        </w:tc>
      </w:tr>
      <w:tr>
        <w:trPr>
          <w:trHeight w:val="20"/>
        </w:trPr>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lower of cost or market adjustment expensed for inventory for the three months ended March 31, 2022 and 2021 was $2.0 million and $0.9 million, respectively.</w:t>
      </w:r>
    </w:p>
    <w:p>
      <w:pPr>
        <w:spacing w:after="0" w:line="16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the direct inventory write-offs related to scrap, discontinued products, and damaged inventories were $1.0 million and $6.0 million,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Plant &amp;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89,248</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89,698</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264,554</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266,386</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5,658</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12,517</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12,727</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w:t>
            </w:r>
          </w:p>
        </w:tc>
      </w:tr>
      <w:tr>
        <w:trPr>
          <w:trHeight w:val="20"/>
        </w:trPr>
        <w:tc>
          <w:tcPr>
            <w:tcW w:w="6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373,501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376,001</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(171,505)</w:t>
            </w: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(167,772)</w:t>
            </w:r>
          </w:p>
        </w:tc>
      </w:tr>
      <w:tr>
        <w:trPr>
          <w:trHeight w:val="20"/>
        </w:trPr>
        <w:tc>
          <w:tcPr>
            <w:tcW w:w="6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201,996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208,229</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33,677</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33,705</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1,101</w:t>
            </w:r>
          </w:p>
        </w:tc>
      </w:tr>
      <w:tr>
        <w:trPr>
          <w:trHeight w:val="20"/>
        </w:trPr>
        <w:tc>
          <w:tcPr>
            <w:tcW w:w="6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236,774</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243,035</w:t>
            </w:r>
          </w:p>
        </w:tc>
      </w:tr>
      <w:tr>
        <w:trPr>
          <w:trHeight w:val="20"/>
        </w:trPr>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4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the depreciation expense of property, plant and equipment was $6.0 million and $6.3 million, respectively. For the three months ended March 31, 2022 and 2021, the capitalized interest was each $0.1 million.</w:t>
      </w:r>
    </w:p>
    <w:p>
      <w:pPr>
        <w:spacing w:after="0" w:line="160"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As of March 31,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concluded that its continued loss history constitutes a triggering event as described in ASC </w:t>
      </w:r>
      <w:r>
        <w:rPr>
          <w:rFonts w:ascii="Times New Roman" w:cs="Times New Roman" w:eastAsia="Times New Roman" w:hAnsi="Times New Roman"/>
          <w:sz w:val="18"/>
          <w:szCs w:val="18"/>
          <w:i w:val="1"/>
          <w:iCs w:val="1"/>
          <w:color w:val="auto"/>
        </w:rPr>
        <w:t>360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35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21,Property, Plant, and Equipment</w:t>
      </w:r>
      <w:r>
        <w:rPr>
          <w:rFonts w:ascii="Times New Roman" w:cs="Times New Roman" w:eastAsia="Times New Roman" w:hAnsi="Times New Roman"/>
          <w:sz w:val="18"/>
          <w:szCs w:val="18"/>
          <w:color w:val="auto"/>
        </w:rPr>
        <w:t>. The Company performed a recoverability test and concluded that future undiscounted cash flows exceed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Company’s long-lived assets and therefore no impairment charge was recorded.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58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6"/>
                <w:szCs w:val="16"/>
                <w:color w:val="auto"/>
              </w:rPr>
            </w:pPr>
          </w:p>
        </w:tc>
        <w:tc>
          <w:tcPr>
            <w:tcW w:w="130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assets, net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3,773</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6"/>
                <w:szCs w:val="16"/>
                <w:color w:val="auto"/>
              </w:rPr>
            </w:pPr>
          </w:p>
        </w:tc>
        <w:tc>
          <w:tcPr>
            <w:tcW w:w="15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6"/>
                <w:szCs w:val="16"/>
                <w:color w:val="auto"/>
              </w:rPr>
            </w:pPr>
          </w:p>
        </w:tc>
        <w:tc>
          <w:tcPr>
            <w:tcW w:w="130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assets, net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3,836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amortization expense for intangible assets, included in general and administrative expenses on the income statement, was each $0.1 million. The remaining weighted average amortization period for intangible assets is approximately 6 years.</w:t>
      </w:r>
    </w:p>
    <w:p>
      <w:pPr>
        <w:sectPr>
          <w:pgSz w:w="11900" w:h="16838" w:orient="portrait"/>
          <w:cols w:equalWidth="0" w:num="1">
            <w:col w:w="11180"/>
          </w:cols>
          <w:pgMar w:left="320" w:top="121" w:right="399" w:bottom="1041" w:gutter="0" w:footer="0" w:header="0"/>
        </w:sectPr>
      </w:pP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041"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At March 31, 2022, future amortization expense for intangible assets is estimated to be (in thousands):</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vMerge w:val="continue"/>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4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of Financial Instruments​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summary of the Company’s financial instruments measured at fair value on a recurring basis for the periods indicated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As of March 31, 2022</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31,980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34,656</w:t>
            </w:r>
          </w:p>
        </w:tc>
      </w:tr>
      <w:tr>
        <w:trPr>
          <w:trHeight w:val="216"/>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8,128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6,480</w:t>
            </w: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receivable</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tcPr>
          <w:p>
            <w:pPr>
              <w:spacing w:after="0"/>
              <w:rPr>
                <w:sz w:val="18"/>
                <w:szCs w:val="18"/>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8,148</w:t>
            </w:r>
          </w:p>
        </w:tc>
      </w:tr>
      <w:tr>
        <w:trPr>
          <w:trHeight w:val="20"/>
        </w:trPr>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40,108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41,136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49,284</w:t>
            </w:r>
          </w:p>
        </w:tc>
      </w:tr>
      <w:tr>
        <w:trPr>
          <w:trHeight w:val="197"/>
        </w:trPr>
        <w:tc>
          <w:tcPr>
            <w:tcW w:w="23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acceptance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8,198</w:t>
            </w: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68,667</w:t>
            </w:r>
          </w:p>
        </w:tc>
        <w:tc>
          <w:tcPr>
            <w:tcW w:w="10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68,667</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67,588</w:t>
            </w:r>
          </w:p>
        </w:tc>
        <w:tc>
          <w:tcPr>
            <w:tcW w:w="100" w:type="dxa"/>
            <w:vAlign w:val="bottom"/>
          </w:tcPr>
          <w:p>
            <w:pPr>
              <w:spacing w:after="0"/>
              <w:rPr>
                <w:sz w:val="18"/>
                <w:szCs w:val="18"/>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67,588</w:t>
            </w:r>
          </w:p>
        </w:tc>
      </w:tr>
      <w:tr>
        <w:trPr>
          <w:trHeight w:val="20"/>
        </w:trPr>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78,622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75,786</w:t>
            </w: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carrying value amounts of accounts receivable, prepaid expenses and other current assets, accounts payable, accrued expenses and other current liabilities approximate fair value because of the short-term maturity of these instruments. The carrying value amounts of note receivable and bank acceptances approximate fair value due to the short-term nature of the debt since it renews frequently at current interest rates. The Company believes that the interest rates in effect at each period end represent the current market rates for similar borrowings.</w:t>
      </w:r>
    </w:p>
    <w:p>
      <w:pPr>
        <w:spacing w:after="0" w:line="180" w:lineRule="exact"/>
        <w:rPr>
          <w:sz w:val="20"/>
          <w:szCs w:val="20"/>
          <w:color w:val="auto"/>
        </w:rPr>
      </w:pPr>
    </w:p>
    <w:p>
      <w:pPr>
        <w:ind w:left="140" w:right="38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its convertible senior debt is measured for disclosure purpose. The fair value is based on observable market prices for this debt, which is traded in less active markets and are therefore classified as a Level 2 fair value measurement.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Notes Payable and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191"/>
        </w:trPr>
        <w:tc>
          <w:tcPr>
            <w:tcW w:w="80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Revolving line of credit with a U.S. bank up to $20,000 with interest at SOFR plus 1.56% , maturing April</w:t>
            </w: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15, 2023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14,373</w:t>
            </w:r>
          </w:p>
        </w:tc>
      </w:tr>
      <w:tr>
        <w:trPr>
          <w:trHeight w:val="198"/>
        </w:trPr>
        <w:tc>
          <w:tcPr>
            <w:tcW w:w="8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Notes payable to a finance company due in monthly installments with 3.1% interest, maturing January 21,</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198"/>
        </w:trPr>
        <w:tc>
          <w:tcPr>
            <w:tcW w:w="8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China bank up to $25,449 with interest from 2.8% to 4.57%, maturing May</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24, 2024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19,133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19,595</w:t>
            </w:r>
          </w:p>
        </w:tc>
      </w:tr>
      <w:tr>
        <w:trPr>
          <w:trHeight w:val="198"/>
        </w:trPr>
        <w:tc>
          <w:tcPr>
            <w:tcW w:w="8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Credit facility with a China bank up to $14,125 with interest of from 2.6% to 4.5%, maturing January 5,</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13,044</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with a China bank up to $7,167 with interest of 5.7%, maturing on June 27, 2022</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54,711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Grand total</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54,689</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(52,233)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(49,689)</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8"/>
                <w:szCs w:val="18"/>
                <w:b w:val="1"/>
                <w:bCs w:val="1"/>
                <w:color w:val="auto"/>
              </w:rPr>
              <w:t>Bank Acceptance Notes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acceptance notes issued to vendors with a zero percent interest 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8,198</w:t>
            </w:r>
          </w:p>
        </w:tc>
      </w:tr>
    </w:tbl>
    <w:p>
      <w:pPr>
        <w:spacing w:after="0" w:line="198"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portion of long-term debt is the amount payable within one year of the balance sheet date of March 31, 2022.</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long-term debt are as follows for the future one-year periods ending March 31, (in thousands):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52,233</w:t>
            </w: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Beyond one year</w:t>
            </w: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57,233</w:t>
            </w:r>
          </w:p>
        </w:tc>
      </w:tr>
      <w:tr>
        <w:trPr>
          <w:trHeight w:val="20"/>
        </w:trPr>
        <w:tc>
          <w:tcPr>
            <w:tcW w:w="18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September 28, 2017, the Company entered into a Loan Agreement (“Loan Agreement”), a Promissory Note, an Addendum to the Promissory Note, a Truist Bank Security Agreement, a Trademark Security Agreement, and a Patent Security Agreement (together the “Credit Facility”) with Truist Bank. The Company’s obligations under the Credit Facility are secured by the Company’s accounts receivable, inventory, intellectual property, and all business assets with the exception of real estate and equipment.</w:t>
      </w:r>
    </w:p>
    <w:p>
      <w:pPr>
        <w:spacing w:after="0" w:line="17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December 29,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executed a Sixth Amendment to the Loan Agreement (the "Sixth Amendment") and a Fifth Amendment to Security Agreement, a Note Modification Agreement, and an Addendum to Promissory Note (together the "Sixth Amended Credit Facility") with Truist Bank. The Sixth Amended Credit Facility extends the $20 million line of credit, originally entered into on September 28, 2017, until April 15,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Borrowings will bear interest at a rate equal to the Secured Overnight Financing Rate (SOFR) plus 1.56%, with a SOFR floor of 0.75%. As of March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2022, the Company had $19.6 million of outstanding borrowings and was in compliance with all covenants under the Sixth Amended Credit Facility.</w:t>
      </w:r>
    </w:p>
    <w:p>
      <w:pPr>
        <w:spacing w:after="0" w:line="20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September 15, 2020, Prime World entered into an Amendment to the Finance Lease Agreements dated November 29, 2018 and January 21, 2019 (the “Amendment”) with Chailease Finance Co., Ltd. (“Chailease”). The Amendment amends the Finance Lease Agreements, dated November 29, 2018 and January 21, 2019 (hereafter collectively referred to as the “Original Finance Agreements”). Pursuant to the Amendment, Prime World agrees to pay Chailease NT$22,311,381, or approximately $0.8 million for certain leased equipment listed in the Amendment (the “Leased Equipment”). This payment includes all outstanding lease payments, costs and expenses; simultaneously, Chailease agrees to transfer title of such Leased Equipment back to Prime World. Regarding all other equipment contemplated in the Original Finance Agreements but not listed in the Amendment, pursuant to the terms and conditions made under the Original Finance Agreements, Prime World is obligated to pay Chailease monthly lease payments which total NT$159,027,448, or approximately $5.5 million (the “Lease Payments”). The Lease Payments began on September 21, 2020 with the last Lease Payment due on January 21, 2022, title of all other equipment contemplated under the Original Finance Agreements but not listed in the Amendment transferred to Prime World upon completion of the Lease Payments and expiration of the Original Finance Agreements. As of March 31, 2022, the Company has fully repaid the Original Finance Agreements and Amendment.</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May 24, 2019, the Company’s China subsidiary, Global, entered into a five-year revolving credit line agreement, totaling 180,000,000 RMB (the “SPD Credit Line”), or approximately $25.4 million, and a mortgage security agreement (the “Security Agreement”), with Shanghai Pudong Development Bank Co., Ltd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and $2 million credit facility entered into on May 8, 2019.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March 31, 2022, $19.1 million was outstanding under the SPD Credit Line and the outstanding balance of bank acceptance notes issued to vendors was $2.2 million.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21, 2019, the Company’s China subsidiary, Global, entered into an 18 month credit facility totaling 100,000,000 RMB (the “¥100M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or approximately $14.1 million, with China Zheshang Bank Co., Ltd., in Ningbo City, China (“CZB”). Borrowing under the ¥100M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will be used by Global for general corporate purposes. On January 6, 2021, the ¥100M Credit Facility with CZB was extended for three (3 )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until January 5, 2024. Global may draw upon the ¥100M Credit Facility from June 21, 2019 until January 5, 2024 (the “¥100M Credit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¥100M Credit Period, Global may request to draw upon the ¥100M Credit Facility on an as-needed basis; however, draws under the ¥100M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may become due and repayable to CZB at CZB’s discretion due to changes in Chinese government regulations and/or changes in Global’s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operational condition. Each draw will bear interest equal to CZB’s commercial banking interest rate effective on the day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draw. Global’s obligations under the ¥100M Credit Facility will be secured by real property owned by Global and mortgaged to CZB under the terms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Security Agreement. The agreements for the ¥100M Credit Facility and the Real Estate Security Agreement also contain rights and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and warranties, and events of default applicable to the Company that are customary for agreements of this type. As of March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million was outstanding under the ¥100M Credit Facility and the outstanding balance of bank acceptance notes issued to vendors was $7.7 million.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21, 2019, the Company’s China subsidiary, Global, entered into a three-year credit facility totaling 50,000,000 RMB (the “¥50M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or approximately $7.1 million, with CZB. Borrowing under the ¥50M Credit Facility will be used by Global for general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Global may draw upon the ¥50M Credit Facility from June 21, 2019 until June 20, 2022 (the “¥50M Credit Period”). During the ¥50M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Global may request to draw upon the ¥50M Credit Facility on an as-needed basis; however, draws under the ¥50M Credit Facility may become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repayable to CZB at CZB’s discretion due to changes in Chinese government regulations and/or changes in Global’s financial and operational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Each draw will bear interest equal to CZB’s commercial banking interest rate effective on the day of the applicable draw. Global’s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¥50M Credit Facility will be secured by machinery and equipment owned by Global and mortgaged to CZB under the terms of the Machinery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Equipment Security Agreement. As of March 31, 2022, $7.6 million was outstanding under the ¥50M Credit Facility.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2022 and December 31, 2021, the Company had $4.3 million and $7.4 million of unused borrowing capacity, respectively.</w:t>
      </w:r>
    </w:p>
    <w:p>
      <w:pPr>
        <w:spacing w:after="0" w:line="22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there was $7.0 million and $5.4 million of restricted cash, investments or security deposits associated with the loan facilities, respectively.</w:t>
      </w:r>
    </w:p>
    <w:p>
      <w:pPr>
        <w:sectPr>
          <w:pgSz w:w="11900" w:h="16838" w:orient="portrait"/>
          <w:cols w:equalWidth="0" w:num="1">
            <w:col w:w="11200"/>
          </w:cols>
          <w:pgMar w:left="320" w:top="121" w:right="379" w:bottom="528" w:gutter="0" w:footer="0" w:header="0"/>
        </w:sectPr>
      </w:pP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528"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Convertible Senior Notes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March 5, 2019, the Company issued $80.5 million of 5% convertible senior notes due 2024 (the “Notes”). The Notes were issued pursuant to an indenture, dated as of March 5, 2019 (the “Indenture”), between the Company and Wells Fargo Bank, National Association, as trustee, paying agent, and conversion agent (the “Trustee”). The Notes bear interest at a rate of 5.00% per year, payable in cash semi-annually in arrears on March 15 and September 15 of each year, beginning on September 15, 2019. The Notes will mature on March 15, 2024, unless earlier repurchased, redeemed or converted in accordance with their terms.</w:t>
      </w:r>
    </w:p>
    <w:p>
      <w:pPr>
        <w:spacing w:after="0" w:line="183"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Truist Bank and the remainder will be used for general corporate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carrying value of the Notes for the periods indicated (in thousands):</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p>
    <w:tbl>
      <w:tblPr>
        <w:tblLayout w:type="fixed"/>
        <w:tblInd w:w="84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420"/>
              <w:spacing w:after="0" w:line="203"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7"/>
                <w:szCs w:val="17"/>
                <w:color w:val="auto"/>
              </w:rPr>
            </w:pPr>
          </w:p>
        </w:tc>
        <w:tc>
          <w:tcPr>
            <w:tcW w:w="1440" w:type="dxa"/>
            <w:vAlign w:val="bottom"/>
            <w:gridSpan w:val="2"/>
          </w:tcPr>
          <w:p>
            <w:pPr>
              <w:jc w:val="center"/>
              <w:ind w:right="240"/>
              <w:spacing w:after="0" w:line="203"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80,500</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(1,616)</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(1,820)</w:t>
            </w:r>
          </w:p>
        </w:tc>
      </w:tr>
      <w:tr>
        <w:trPr>
          <w:trHeight w:val="20"/>
        </w:trPr>
        <w:tc>
          <w:tcPr>
            <w:tcW w:w="6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78,884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78,680</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are convertible at the option of holders of the Notes at any time until the close of business on the scheduled trading day immediately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preceding the maturity date. Upon conversion, holders of the Notes will receive shares of the Company’s common stock, together, if applicable, with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lieu of any fractional share, at the then-applicable conversion rate. The initial conversion rate is 56.9801 shares of the Company’s common stock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principal amount of Notes (representing an initial conversion price of approximately $17.55 per share of common stock, which represents an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premium of approximately 30% above the closing price of $13.50 per share of the Company’s common stock on February 28, 2019),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adjustments. If a make-whole fundamental change (as defined in the Indenture) occurs, and in connection with certain other conversions before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2022, the Company will in certain circumstances increase the conversion rate for a specified period of time.</w:t>
      </w:r>
    </w:p>
    <w:p>
      <w:pPr>
        <w:spacing w:after="0" w:line="20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Initially there are no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spacing w:after="0" w:line="19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Holders may require the Company to repurchase their Notes upon the occurrence of a fundamental change (as defined in the Indenture) at a cash purchase price equal to the principal amount thereof plus accrued and unpaid interest, if any.</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was not permitted to redeem the Notes prior to March 15, 2022. The Company currently may redeem for cash all or part of the Notes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guidance in ASC 815-40, Contracts in Entity’s Own Equity, the Company evaluated whether the conversion feature of the note needed to be bifurcated from the host instrument as a freestanding financial instrument. Under ASC 815-40,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contained in ASC 815-40-25-7 and 815-40-25-10. Accordingly, the conversion option is not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470-20, Debt with Conversion and Other Options. The Company determined that notes should be accounted for in their entirety as a liability.</w:t>
      </w:r>
    </w:p>
    <w:p>
      <w:pPr>
        <w:sectPr>
          <w:pgSz w:w="11900" w:h="16838" w:orient="portrait"/>
          <w:cols w:equalWidth="0" w:num="1">
            <w:col w:w="11220"/>
          </w:cols>
          <w:pgMar w:left="320" w:top="121" w:right="359" w:bottom="144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interest expense information related to the Notes (in thousands):</w:t>
            </w: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1,006</w:t>
            </w:r>
          </w:p>
        </w:tc>
        <w:tc>
          <w:tcPr>
            <w:tcW w:w="18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1,210</w:t>
            </w:r>
          </w:p>
        </w:tc>
        <w:tc>
          <w:tcPr>
            <w:tcW w:w="180" w:type="dxa"/>
            <w:vAlign w:val="bottom"/>
            <w:tcBorders>
              <w:right w:val="single" w:sz="8" w:color="CCEEFF"/>
            </w:tcBorders>
            <w:shd w:val="clear" w:color="auto" w:fill="CCEEFF"/>
          </w:tcPr>
          <w:p>
            <w:pPr>
              <w:spacing w:after="0"/>
              <w:rPr>
                <w:sz w:val="19"/>
                <w:szCs w:val="19"/>
                <w:color w:val="auto"/>
              </w:rPr>
            </w:pPr>
          </w:p>
        </w:tc>
        <w:tc>
          <w:tcPr>
            <w:tcW w:w="104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shd w:val="clear" w:color="auto" w:fill="CCEEFF"/>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0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657"/>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Accrued Liabilities​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for the periods indicated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Pr>
          <w:p>
            <w:pPr>
              <w:spacing w:after="0"/>
              <w:rPr>
                <w:sz w:val="24"/>
                <w:szCs w:val="24"/>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Pr>
          <w:p>
            <w:pPr>
              <w:spacing w:after="0"/>
              <w:rPr>
                <w:sz w:val="24"/>
                <w:szCs w:val="24"/>
                <w:color w:val="auto"/>
              </w:rPr>
            </w:pPr>
          </w:p>
        </w:tc>
      </w:tr>
      <w:tr>
        <w:trPr>
          <w:trHeight w:val="209"/>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6,157</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6,516</w:t>
            </w: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3,245</w:t>
            </w:r>
          </w:p>
        </w:tc>
        <w:tc>
          <w:tcPr>
            <w:tcW w:w="10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3,471</w:t>
            </w:r>
          </w:p>
        </w:tc>
      </w:tr>
      <w:tr>
        <w:trPr>
          <w:trHeight w:val="216"/>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state and local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973</w:t>
            </w:r>
          </w:p>
        </w:tc>
        <w:tc>
          <w:tcPr>
            <w:tcW w:w="10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1,897</w:t>
            </w: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335</w:t>
            </w:r>
          </w:p>
        </w:tc>
        <w:tc>
          <w:tcPr>
            <w:tcW w:w="10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1,475</w:t>
            </w:r>
          </w:p>
        </w:tc>
      </w:tr>
      <w:tr>
        <w:trPr>
          <w:trHeight w:val="216"/>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423</w:t>
            </w:r>
          </w:p>
        </w:tc>
        <w:tc>
          <w:tcPr>
            <w:tcW w:w="10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product warranty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171</w:t>
            </w:r>
          </w:p>
        </w:tc>
        <w:tc>
          <w:tcPr>
            <w:tcW w:w="10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commission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1,024</w:t>
            </w:r>
          </w:p>
        </w:tc>
        <w:tc>
          <w:tcPr>
            <w:tcW w:w="10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1,003</w:t>
            </w: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336</w:t>
            </w:r>
          </w:p>
        </w:tc>
        <w:tc>
          <w:tcPr>
            <w:tcW w:w="10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shipping and tariff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554</w:t>
            </w:r>
          </w:p>
        </w:tc>
        <w:tc>
          <w:tcPr>
            <w:tcW w:w="10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388</w:t>
            </w:r>
          </w:p>
        </w:tc>
      </w:tr>
      <w:tr>
        <w:trPr>
          <w:trHeight w:val="20"/>
        </w:trPr>
        <w:tc>
          <w:tcPr>
            <w:tcW w:w="8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13,237</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15,587</w:t>
            </w:r>
          </w:p>
        </w:tc>
      </w:tr>
      <w:tr>
        <w:trPr>
          <w:trHeight w:val="20"/>
        </w:trPr>
        <w:tc>
          <w:tcPr>
            <w:tcW w:w="840" w:type="dxa"/>
            <w:vAlign w:val="bottom"/>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Other Income and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and (expense) consisted of the following for the periods indicated (in thousands):</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Foreign exchange transaction loss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Government subsidy income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non-operating gain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Gain on disposal of assets</w:t>
      </w:r>
    </w:p>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18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(523)</w:t>
            </w:r>
          </w:p>
        </w:tc>
        <w:tc>
          <w:tcPr>
            <w:tcW w:w="20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-719455</wp:posOffset>
            </wp:positionV>
            <wp:extent cx="64122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-445135</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-162560</wp:posOffset>
            </wp:positionV>
            <wp:extent cx="641223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600"/>
          </w:cols>
          <w:pgMar w:left="320" w:top="121"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2006 Share Incentive Plan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2013 Equity Incentive Plan (“2013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Equity Incentive Plan (“2021 Plan”)</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third-party valuation specialists.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Options have been granted to the Company’s employees under the two incentive plans and generally become exercisable as to 25% of the shares on the first anniversary date following the date of grant and 12.5% on a semi-annual basis thereafter. All options expire ten years after the date of grant.</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option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 Price</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3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on Date of</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324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8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3"/>
              </w:rPr>
              <w:t>except price data)</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10.32</w:t>
            </w: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March 31, 2022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10.32</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March 31, 2022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10.32</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10.32</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2022, there was no unrecognized stock option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Based Incentive Plan</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June 2021, the Company approved to grant performance restricted stock units (“PSUs”) to senior executives as a part of our long-term equity compensation program. The number of shares of common stock that will ultimately be issued to settle PSUs granted ranges from 0% to 200% of the number granted and is determined based on certain performance criteria over a -three-year measurement period. The performance criteria for the PSUs are based on a combination of the performance of our stock price and the Total Shareholder Return (“TSR”) for the performance period compared with the TSR of certain peer companies or index for the performance period. PSUs granted vest 100% on the third anniversary of their grant, assuming achievement of the applicable performance criteria. We estimated the fair value of the PSUs using a Monte Carlo simulation model on the date of grant. Compensation expense is recognized ratably over the explicit service period. The company recognized $0.3 million expenses in the first quarter of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Units/Awards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RSU/RSA activity, inclusive of performance based incentive plan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Share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on Date</w:t>
            </w: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Release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except price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6,928</w:t>
            </w:r>
          </w:p>
        </w:tc>
      </w:tr>
      <w:tr>
        <w:trPr>
          <w:trHeight w:val="196"/>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10.75</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6,928</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there was $17.9 million of unrecognized compensation expense related to these RSUs and RSAs. This expense is expected to be recognized over 2.3 years.</w:t>
      </w:r>
    </w:p>
    <w:p>
      <w:pPr>
        <w:sectPr>
          <w:pgSz w:w="11900" w:h="16838" w:orient="portrait"/>
          <w:cols w:equalWidth="0" w:num="1">
            <w:col w:w="11240"/>
          </w:cols>
          <w:pgMar w:left="320" w:top="121" w:right="339" w:bottom="1055"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55"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 share-based compensation expenses recognized for the periods indicated (in thousands):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 by expense type</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jc w:val="both"/>
        <w:ind w:left="260"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2022 and 2021 was 0%. For the three months ended March 31, 2022 and 2021, the effective tax rate varied from the federal statutory rate of 21% primarily due to the change of the valuation allowance on federal, state, Taiwan, and China deferred tax assets ("DTA").</w:t>
      </w:r>
    </w:p>
    <w:p>
      <w:pPr>
        <w:spacing w:after="0" w:line="176" w:lineRule="exact"/>
        <w:rPr>
          <w:sz w:val="20"/>
          <w:szCs w:val="20"/>
          <w:color w:val="auto"/>
        </w:rPr>
      </w:pPr>
    </w:p>
    <w:p>
      <w:pPr>
        <w:ind w:left="260"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continually monitors and performs an assessment of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not”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March 31, 2022 was appropriate.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Geographic Information</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76" w:lineRule="exact"/>
        <w:rPr>
          <w:sz w:val="20"/>
          <w:szCs w:val="20"/>
          <w:color w:val="auto"/>
        </w:rPr>
      </w:pPr>
    </w:p>
    <w:p>
      <w:pPr>
        <w:jc w:val="both"/>
        <w:ind w:right="180"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6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460" w:type="dxa"/>
            <w:vAlign w:val="bottom"/>
            <w:gridSpan w:val="2"/>
          </w:tcPr>
          <w:p>
            <w:pPr>
              <w:ind w:left="3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2,559</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3,316</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27,779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26,395</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21,904</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19,990</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52,242</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49,701</w:t>
            </w:r>
          </w:p>
        </w:tc>
        <w:tc>
          <w:tcPr>
            <w:tcW w:w="86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3"/>
        </w:trPr>
        <w:tc>
          <w:tcPr>
            <w:tcW w:w="8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As of the period ended</w:t>
            </w:r>
          </w:p>
        </w:tc>
        <w:tc>
          <w:tcPr>
            <w:tcW w:w="860" w:type="dxa"/>
            <w:vAlign w:val="bottom"/>
          </w:tcPr>
          <w:p>
            <w:pPr>
              <w:spacing w:after="0"/>
              <w:rPr>
                <w:sz w:val="24"/>
                <w:szCs w:val="24"/>
                <w:color w:val="auto"/>
              </w:rPr>
            </w:pPr>
          </w:p>
        </w:tc>
      </w:tr>
      <w:tr>
        <w:trPr>
          <w:trHeight w:val="209"/>
        </w:trPr>
        <w:tc>
          <w:tcPr>
            <w:tcW w:w="84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460" w:type="dxa"/>
            <w:vAlign w:val="bottom"/>
            <w:gridSpan w:val="2"/>
          </w:tcPr>
          <w:p>
            <w:pPr>
              <w:ind w:left="3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85,756</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87,709</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59,995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63,644</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107,335</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108,509</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49"/>
        </w:trPr>
        <w:tc>
          <w:tcPr>
            <w:tcW w:w="840" w:type="dxa"/>
            <w:vAlign w:val="bottom"/>
          </w:tcPr>
          <w:p>
            <w:pPr>
              <w:spacing w:after="0"/>
              <w:rPr>
                <w:sz w:val="21"/>
                <w:szCs w:val="21"/>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253,086</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259,862</w:t>
            </w:r>
          </w:p>
        </w:tc>
        <w:tc>
          <w:tcPr>
            <w:tcW w:w="860" w:type="dxa"/>
            <w:vAlign w:val="bottom"/>
          </w:tcPr>
          <w:p>
            <w:pPr>
              <w:spacing w:after="0"/>
              <w:rPr>
                <w:sz w:val="21"/>
                <w:szCs w:val="21"/>
                <w:color w:val="auto"/>
              </w:rPr>
            </w:pPr>
          </w:p>
        </w:tc>
      </w:tr>
      <w:tr>
        <w:trPr>
          <w:trHeight w:val="413"/>
        </w:trPr>
        <w:tc>
          <w:tcPr>
            <w:tcW w:w="840" w:type="dxa"/>
            <w:vAlign w:val="bottom"/>
          </w:tcPr>
          <w:p>
            <w:pPr>
              <w:spacing w:after="0"/>
              <w:rPr>
                <w:sz w:val="24"/>
                <w:szCs w:val="24"/>
                <w:color w:val="auto"/>
              </w:rPr>
            </w:pPr>
          </w:p>
        </w:tc>
        <w:tc>
          <w:tcPr>
            <w:tcW w:w="300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jc w:val="right"/>
              <w:ind w:right="125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Except for the lawsuits described below, the Company believes that there are no claims or actions pending or threatened against it, the ultimate disposition of which would have a material adverse effect on 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i w:val="1"/>
          <w:iCs w:val="1"/>
          <w:color w:val="auto"/>
        </w:rPr>
        <w:t>August 9, 2021,</w:t>
      </w:r>
      <w:r>
        <w:rPr>
          <w:rFonts w:ascii="Times New Roman" w:cs="Times New Roman" w:eastAsia="Times New Roman" w:hAnsi="Times New Roman"/>
          <w:sz w:val="18"/>
          <w:szCs w:val="18"/>
          <w:color w:val="auto"/>
        </w:rPr>
        <w:t xml:space="preserve"> the Company has received a Taxes Notification of Audit Result (“Notice”) from the Texas Comptroller’s Office (the “Comptroller”), for fiscal years between </w:t>
      </w:r>
      <w:r>
        <w:rPr>
          <w:rFonts w:ascii="Times New Roman" w:cs="Times New Roman" w:eastAsia="Times New Roman" w:hAnsi="Times New Roman"/>
          <w:sz w:val="18"/>
          <w:szCs w:val="18"/>
          <w:i w:val="1"/>
          <w:iCs w:val="1"/>
          <w:color w:val="auto"/>
        </w:rPr>
        <w:t>2016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2019,</w:t>
      </w:r>
      <w:r>
        <w:rPr>
          <w:rFonts w:ascii="Times New Roman" w:cs="Times New Roman" w:eastAsia="Times New Roman" w:hAnsi="Times New Roman"/>
          <w:sz w:val="18"/>
          <w:szCs w:val="18"/>
          <w:color w:val="auto"/>
        </w:rPr>
        <w:t xml:space="preserve"> informing the Company that the Comptroller believes the Company did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qualify for certain sales and use tax exemptions on various Research and Development purchases and accordingly the Company is liable for Sale and Use Tax in the amount of approximately $1.0 million including interest charges. The Company paid $0.4 million for the tax notice but challenged the remaining tax assessments and vigorously defended its position. The Comptroller’s office has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made final assessments after the Company’s defenses. However, the management estimated the additional tax assessment will be in the range of $0.2 million to $0.4 million including interest charges.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repaid its revolving bank line of credit with Truist Bank in the amount of $16.6 million in April 2022.</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March 31, 2022 and the audited consolidated financial statements and notes thereto and management’s discussion and analysis of financial condition and results of operations for the fiscal year ended December 31, 2021 included in our Annual Report. References to “Applied Optoelectronics,” “we,” “our” and “us” are to Applied Optoelectronics, Inc. and its subsidiaries unless otherwise specified or the context otherwise requires.</w:t>
      </w:r>
    </w:p>
    <w:p>
      <w:pPr>
        <w:spacing w:after="0" w:line="18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2021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We are a leading, vertically integrated provider of fiber-optic networking products. We target four networking end-markets: internet data centers, CATV, telecom and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9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100 Gbps and above, as well as the movement to open internet data center architectures and the increasing use of in-house equipment design among leading internet companies. Within the CATV market, we benefit from a number of ongoing trends including the build-out of CATV infrastructure in the US and other countries, the move to higher bandwidth networks among CATV service providers and the outsourcing of system design among CATV networking equipment companies. In the FTTH market, we benefit from continuing PON deployments and system upgrades among telecom service providers. In the telecom market, we benefit from deployment of new high-speed fiber-optic networks by telecom network operators, including 5G networks.</w:t>
      </w:r>
    </w:p>
    <w:p>
      <w:pPr>
        <w:spacing w:after="0" w:line="19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offices are located at 13139 Jess Pirtle Blvd., Sugar Land, TX 77478, and our telephone number is (281) 295-1800.</w:t>
      </w:r>
    </w:p>
    <w:p>
      <w:pPr>
        <w:sectPr>
          <w:pgSz w:w="11900" w:h="16838" w:orient="portrait"/>
          <w:cols w:equalWidth="0" w:num="1">
            <w:col w:w="11240"/>
          </w:cols>
          <w:pgMar w:left="320" w:top="121" w:right="339" w:bottom="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risks and uncertainties as a result of the COVID-19 pandemic. The extent of the impact of the COVID-19 pandemic on our business is highly uncertain and difficult to predict as coronavirus continues to spread around the world. In March 2020, we instituted travel restrictions and implemented sanitation and disinfection procedures to safeguard the health and safety of our employees which continue today. Recently, we began allowing certain employee travel, but continue strict sanitation procedures in our facilities. With increased vaccinations and the potential significant reduction of infections, we have implemented procedures for a safe return to the office environment for all of our employees.</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spread of COVID-19 has impacted our supply chain operations through restrictions, reduced capacity and shutdown of business activities by suppliers whom we rely on for sourcing components and materials and third-party partners whom we rely on for manufacturing, warehousing and logistics services. Currently, the suppliers who are responsible for most of our supply-chain constraints in 2021 have begun the process of returning to normal operations and have expressed optimism that their deliveries in 2022 will return to normal. However, late in the first quarter of 2022, certain areas of China began to experience severe restrictions due to COVID-19 outbreaks there. Currently, it is not possible to estimate the impact (if any) of these restrictions because it is not clear how long the restrictions will be in place or the extent to which the restrictions will curtail production by our suppliers in the affected areas. In order to minimize the impact of these and any similar disruptions, we have added additional suppliers for many key components, where it is practical to do so. We believe that these additional suppliers will be able to augment our supply of needed components, although in some cases these new suppliers' materials are more expensive than the pre-existing suppliers so a switch to these alternate suppliers could have a negative impact on gross margins and profitability. However, this is uncertain and we also cannot predict if other suppliers could encounter similar difficulties.</w:t>
      </w:r>
    </w:p>
    <w:p>
      <w:pPr>
        <w:spacing w:after="0" w:line="194"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Although demand for many of our products has been strong in the short-term as subscribers seek more bandwidth, customers’ purchasing decisions over the long-term may be impacted by the pandemic and its impact on the economy, which could in turn impact our revenue and results of operations. The extent to which the COVID-19 pandemic may materially impact our financial condition, liquidity or results of operations is therefore uncertain.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 forth our consolidated results of operations for the periods presented and as a percentage of our revenue for those periods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5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52,242</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100.0%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49,701</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43,217</w:t>
            </w:r>
          </w:p>
        </w:tc>
        <w:tc>
          <w:tcPr>
            <w:tcW w:w="7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82.7%</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38,982</w:t>
            </w:r>
          </w:p>
        </w:tc>
        <w:tc>
          <w:tcPr>
            <w:tcW w:w="6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78.4%</w:t>
            </w:r>
          </w:p>
        </w:tc>
      </w:tr>
      <w:tr>
        <w:trPr>
          <w:trHeight w:val="20"/>
        </w:trPr>
        <w:tc>
          <w:tcPr>
            <w:tcW w:w="5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9,025</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10,719</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r>
      <w:tr>
        <w:trPr>
          <w:trHeight w:val="210"/>
        </w:trPr>
        <w:tc>
          <w:tcPr>
            <w:tcW w:w="5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9,486</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10,928</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2,558</w:t>
            </w:r>
          </w:p>
        </w:tc>
        <w:tc>
          <w:tcPr>
            <w:tcW w:w="7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2,960</w:t>
            </w:r>
          </w:p>
        </w:tc>
        <w:tc>
          <w:tcPr>
            <w:tcW w:w="6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11,220</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10,869</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5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23,264</w:t>
            </w:r>
          </w:p>
        </w:tc>
        <w:tc>
          <w:tcPr>
            <w:tcW w:w="7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24,757</w:t>
            </w:r>
          </w:p>
        </w:tc>
        <w:tc>
          <w:tcPr>
            <w:tcW w:w="6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r>
      <w:tr>
        <w:trPr>
          <w:trHeight w:val="20"/>
        </w:trPr>
        <w:tc>
          <w:tcPr>
            <w:tcW w:w="5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(14,239)</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(14,038)</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0"/>
        </w:trPr>
        <w:tc>
          <w:tcPr>
            <w:tcW w:w="5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(1,401)</w:t>
            </w:r>
          </w:p>
        </w:tc>
        <w:tc>
          <w:tcPr>
            <w:tcW w:w="7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(1,431)</w:t>
            </w:r>
          </w:p>
        </w:tc>
        <w:tc>
          <w:tcPr>
            <w:tcW w:w="6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5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(1,823)</w:t>
            </w:r>
          </w:p>
        </w:tc>
        <w:tc>
          <w:tcPr>
            <w:tcW w:w="7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(1,584)</w:t>
            </w:r>
          </w:p>
        </w:tc>
        <w:tc>
          <w:tcPr>
            <w:tcW w:w="6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(16,062)</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(15,622)</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(16,062)</w:t>
            </w:r>
          </w:p>
        </w:tc>
        <w:tc>
          <w:tcPr>
            <w:tcW w:w="7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(15,622)</w:t>
            </w:r>
          </w:p>
        </w:tc>
        <w:tc>
          <w:tcPr>
            <w:tcW w:w="6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through the sale of our products to equipment providers and network operators for the internet data center, CATV, telecom and FTTH markets. We derive a significant portion of our revenue from our top ten customers, and we anticipate that we will continue to do so for the foreseeable future. The following charts provide the revenue contribution from each of the markets we served for the three months ended March 31, 2022 and 2021 (in thousands, except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Center</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21,415</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25,939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(4,524)</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CATV</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24,980</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18,638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6,342</w:t>
            </w: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0"/>
        </w:trPr>
        <w:tc>
          <w:tcPr>
            <w:tcW w:w="3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52,242</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49,701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2,541</w:t>
            </w: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366"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66"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increase in revenue during the three months ended March 31, 2022 was driven primarily by increased demand for CATV products. The increase in demand from CATV multiple-system operators ("MSOs") resulted in strong demand for our CATV products, especially those products that are related to architecture improvements to enable delivery of additional bandwidth to consumers. This increase in bandwidth demand is particularly acute in the upstream direction, and sales of products associated with increased return-path bandwidth were notably strong in the quarter. Based on forecasts and current order bookings, we believe that this elevated CATV demand will likely continue through 2022. The increased demand in CATV was offset by decrease demand for datacenter products; this slowdown was related to inventory normalization following the surge in demand that was driven by the shift to working from home during the early stage of COVID-19. In the three months ended March 31, 2022, we began to increase manufacture of our latest generation 400G products for the datacenter. This increase in production is necessary to satisfy orders we began to receive from our customers for these products. We anticipate that as customers begin to order more 400G products, our datacenter business will resume growth.</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and 2021, our top ten customers represented 88.6% and 90.5%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We continue to prioritize new customer acquisition and growth of diverse revenue streams.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43,217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38,982</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78.4%  $</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9,025</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10,719</w:t>
            </w: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Cost of goods sold increased by $4.2 million, or 10.9%, for the three months ended March 31, 2022 as compared to the three months ended March 31, 2021, primarily due to a 5.1% increase in sales during the period.</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Gross margin decreased for the three months ended March 31, 2022 as compared to the three months ended March 31, 2021 primarily as a result of changes in the mix of our datacenter and CATV products. In particular, we saw an increase in sales of certain CATV products relative to sales of transceivers. In addition, we experienced higher costs of certain raw materials and global supply chain disruptions due to COVID-19 closures of ports and factories in Asia (see the section above on the COVID-19 pandemic for more details of these challenges).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10,928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(1,442)</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2,960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w:t>
            </w:r>
          </w:p>
        </w:tc>
        <w:tc>
          <w:tcPr>
            <w:tcW w:w="4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10,869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24,757</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(1,493)</w:t>
            </w:r>
          </w:p>
        </w:tc>
        <w:tc>
          <w:tcPr>
            <w:tcW w:w="4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decreased by $1.4 million, or 13.2% for the three months ended March 31, 2022 as compared to the three months ended March 31, 2021. Research and development costs consist of R&amp;D work orders, R&amp;D material usage and other project related costs related to 100 Gbps, 200/400 Gbps data center products, DOCSIS 3.1 capable CATV products and other new product development, and depreciation expense resulting from R&amp;D equipment investments. These decreases were primarily due to a decrease in personnel-related costs,share-based compensation expense, and less materials and supplies used in R&amp;D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decreased by $0.4 million, or 13.6% for the three months ended March 31, 2022 as compared to the three months ended March 31, 2021. These decreases were primarily due to a decrease in personnel-related costs, commission expenses, duties and freight. These decreases were partially offset by a increase in trade show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$0.4 million, or 3.2% for the three months ended March 31, 2022 compared to the three months ended March 31, 2021. These increases were primarily due to an increase in depreciation expense and performance based incentive expenses. These increases were partially offset by a decrease in personnel-related costs and professional service fees.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5"/>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(1,401)</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(1,431)</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(1,823)</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(1,584)</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Interest income increased slightly for the three months ended March 31, 2022 compared to the three months ended March 31, 2021. The changes are similar to expected rates of fluctuation with the interest rates and cash balances.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decreased slightly for the three months ended March 31, 2022 compared to the three months ended March 31, 2021. This decrease was due to lower average debt balances during the period.</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Other expense increased by $0.3 million, or 166.3%, for the three months ended ended March 31, 2022 as compared to the three months ended March 31, 2021. This increase was mainly due to loss in foreign currency transaction.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Benefit (provision) for income taxes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5"/>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980" w:type="dxa"/>
            <w:vAlign w:val="bottom"/>
          </w:tcPr>
          <w:p>
            <w:pPr>
              <w:spacing w:after="0"/>
              <w:rPr>
                <w:sz w:val="18"/>
                <w:szCs w:val="18"/>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1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90"/>
              </w:rPr>
              <w:t>except percentages)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2022 and 2021 was 0%. For the three months ended March 31, 2022 and 2021, the effective tax rate varied from the federal statutory rate of 21% primarily due to the change of the valuation allowance on federal, state, Taiwan, and China deferred tax assets ("DTA").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2022, we had $4.3 million of unused borrowing capacity from all of our loan agreements. As of March 31, 2022, our cash, cash equivalents and restricted cash totaled $40.1 million. Cash and cash equivalents are held for working capital purposes and are invested primarily in money market or time deposit funds. We do not enter into investments for trading or speculative purposes.</w:t>
      </w:r>
    </w:p>
    <w:p>
      <w:pPr>
        <w:spacing w:after="0" w:line="176" w:lineRule="exact"/>
        <w:rPr>
          <w:sz w:val="20"/>
          <w:szCs w:val="20"/>
          <w:color w:val="auto"/>
        </w:rPr>
      </w:pPr>
    </w:p>
    <w:p>
      <w:pPr>
        <w:ind w:right="480" w:firstLine="693"/>
        <w:spacing w:after="0" w:line="266" w:lineRule="auto"/>
        <w:rPr>
          <w:sz w:val="20"/>
          <w:szCs w:val="20"/>
          <w:color w:val="auto"/>
        </w:rPr>
      </w:pPr>
      <w:r>
        <w:rPr>
          <w:rFonts w:ascii="Times New Roman" w:cs="Times New Roman" w:eastAsia="Times New Roman" w:hAnsi="Times New Roman"/>
          <w:sz w:val="18"/>
          <w:szCs w:val="18"/>
          <w:color w:val="auto"/>
        </w:rPr>
        <w:t>On October 24, 2019, we filed a Registration Statement on Form S-3 with the Securities and Exchange Commission, which was declared effective on January 9, 2020, providing for the public offer and sale of certain securities of the Company from time to time, at our discretion, up to an aggregate amount of $250 million.</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February 28, 2020, we entered into an Equity Distribution Agreement with Raymond James &amp; Associates, Inc. (the “Sales Agent”) pursuant to which the Company may issue and sell shares of the Company’s common stock having an aggregate offering price of up to $55 million (the “Initial ATM Offering”), from time to time through the Sales Agent. In January 2021, the Company completed its Initial ATM Offering and sold 5.9 million shares at a weighted average price of $9.12 per share, providing proceeds of $53.9 million, net of expenses and underwriting discounts and commissions.</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February 26, 2021, we entered into another Equity Distribution Agreement (the “Agreement”) with the Sales Agent pursuant to which the Company may issue and sell shares of the Company’s common stock, par value $0.001 per share (the “Shares”) having an aggregate offering price of up to $35 million (the “Second ATM Offering”),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sectPr>
          <w:pgSz w:w="11900" w:h="16838" w:orient="portrait"/>
          <w:cols w:equalWidth="0" w:num="1">
            <w:col w:w="11240"/>
          </w:cols>
          <w:pgMar w:left="320" w:top="108"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Agreement provides that the Sales Agent will be entitled to compensation of up to 2% of the gross sales price of the Shares sold through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Agent from time to time. The Company has also agreed to reimburse the Sales Agent for certain specified expenses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of Shares under state blue sky laws and any filing with, and clearance of the offering by, the Financial Industry Regulatory Authority Inc.,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exceed $10,000 in the aggregate, and any associated application fees incurred. Additionally, if the Agreement is terminated under certain circumstances,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Company fails to sell a minimum amount of the Shares as set forth in the Agreement, then the Company has agreed to reimburse the Sales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reasonable out-of-pocket expenses, including the reasonable fees and disbursements of counsel incurred by the Sales Agent, up to a maximum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 in the aggregate. The Company agreed to indemnify the Sales Agent against certain liabilities, including liabilities under the Securities Act,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contribute to payments that the Sales Agent may be required to make because of any of those liabilities.</w:t>
      </w:r>
    </w:p>
    <w:p>
      <w:pPr>
        <w:spacing w:after="0" w:line="20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March 2021, we commenced sales of common stock through the Second ATM Offering. As of March 31, 2022, the total gross sales were $1.0 million and thus remaining amount of common stock we have available to sell under the ATM Offering is $34.0 million.</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March 5, 2019, the Company issued $80.5 million of 5% convertible senior notes due 2024 (the "Notes"), bearing interest at a rate of 5% per year maturing on March 15, 2024, unless earlier repurchased, redeemed or converted in accordance with their terms. The sale of the Notes generated net proceeds of $76.4 million, after expenses. Also refer to Note 12 “Convertible Senior Notes” to the consolidated financial statements for further discussion of the Notes.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selected cash flow data for the periods presented (in thousands):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0604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06044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ind w:left="860" w:right="1620"/>
        <w:spacing w:after="0" w:line="356" w:lineRule="auto"/>
        <w:rPr>
          <w:sz w:val="20"/>
          <w:szCs w:val="20"/>
          <w:color w:val="auto"/>
        </w:rPr>
      </w:pPr>
      <w:r>
        <w:rPr>
          <w:rFonts w:ascii="Times New Roman" w:cs="Times New Roman" w:eastAsia="Times New Roman" w:hAnsi="Times New Roman"/>
          <w:sz w:val="17"/>
          <w:szCs w:val="17"/>
          <w:color w:val="auto"/>
        </w:rPr>
        <w:t>Effect of exchange rates on cash and cash equivalents 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-221615</wp:posOffset>
            </wp:positionV>
            <wp:extent cx="606044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(3,603)</w:t>
            </w:r>
          </w:p>
        </w:tc>
        <w:tc>
          <w:tcPr>
            <w:tcW w:w="180" w:type="dxa"/>
            <w:vAlign w:val="bottom"/>
          </w:tcPr>
          <w:p>
            <w:pPr>
              <w:spacing w:after="0"/>
              <w:rPr>
                <w:sz w:val="16"/>
                <w:szCs w:val="16"/>
                <w:color w:val="auto"/>
              </w:rPr>
            </w:pPr>
          </w:p>
        </w:tc>
        <w:tc>
          <w:tcPr>
            <w:tcW w:w="36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(15,214)</w:t>
            </w:r>
          </w:p>
        </w:tc>
        <w:tc>
          <w:tcPr>
            <w:tcW w:w="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(1,051)</w:t>
            </w: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16"/>
        </w:trPr>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3,736</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17,475</w:t>
            </w:r>
          </w:p>
        </w:tc>
      </w:tr>
      <w:tr>
        <w:trPr>
          <w:trHeight w:val="234"/>
        </w:trPr>
        <w:tc>
          <w:tcPr>
            <w:tcW w:w="3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3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09"/>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6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340" w:space="720"/>
            <w:col w:w="4160"/>
          </w:cols>
          <w:pgMar w:left="320" w:top="121" w:right="359" w:bottom="1440" w:gutter="0" w:footer="0" w:header="0"/>
          <w:type w:val="continuous"/>
        </w:sectPr>
      </w:pPr>
    </w:p>
    <w:p>
      <w:pPr>
        <w:spacing w:after="0" w:line="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net cash used in operating activities was $3.6 million. Net cash used in operating activities consisted of our net loss of $16.1 million after exclusion of non-cash items of $11.8 million. Cash decreased due to a decrease in accrued liabilities of $2.3 million and an increase in inventory of $2.0 million , offset with an decrease in trade receivables from our customers of $7.0 million.</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2021, net cash used in operating activities was $15.2 million. Net cash used in operating activities consisted of our net loss of $15.6 million after exclusion of non-cash items of $11.0 million, cash decreased due to a decrease in accrued liabilities of $4.5 million, a decrease in accounts payable to our vendors of $3.3 million, and an increase in accounts receivable from our customers of $4.5 million, offset by a decrease in inventory of $2.8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net cash used in investing activities was $1.1 million, mainly from the purchase of additional plant, machinery and equipment.</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2021, net cash used in investing activities was $2.4 million, mainly from the purchase of additional plant, machinery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our financing activities provided $3.7 million in cash. This increase in cash was due to $2.3 million net proceeds from lines of credit and $1.7 million net proceeds from acceptances payable.</w:t>
      </w:r>
    </w:p>
    <w:p>
      <w:pPr>
        <w:spacing w:after="0" w:line="16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2021, our financing activities provided $17.5 million in cash. This increase in cash was due to $15.1 million of net proceeds from our At The Market (ATM) Offerings, $13.2 million net proceeds from lines of credit offset by net loan repayment of $1.0 million and net repayment of acceptances payable of $9.5 million.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commitments</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 the US, we have a revolving line of credit with Truist Bank. The line of credit contains financial covenants that may limit the amount and types of debt that we may incur. As of March 31, 2022, we were in compliance with these covenants.</w:t>
      </w:r>
    </w:p>
    <w:p>
      <w:pPr>
        <w:spacing w:after="0" w:line="17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In Taiwan, we do not currently have banking facilities for Prime World’s Taiwan Branch. In China, we have revolving lines of credit with Shanghai Pudong Development Bank Co., Ltd. and credit facilities with China Zheshang Bank Co., Ltd. for our China Subsidiary, Global .</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2022, we had $4.3 million of unused borrowing capacity.</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On March 5, 2019, we issued $80.5 million of 5% convertible senior notes due 2024. The Notes will mature on March 15, 2024, unless earlier repurchased, redeemed or converted in accordance with their terms.</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See Note 11 “Notes Payable and Long-term Debt” and Note 12 “Convertible Senior Notes” of our Condensed Consolidated Financial Statements for a description of our notes payable and long-term debt and convertible senior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factory construction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8, 2018, we entered into a construction contract with Zhejiang Xinyu Construction Group Co., Ltd. for the construction of a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factory and other facilities at our Ningbo, China location. Construction costs for these facilities under this contract are estimated to total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$27.5 million. As of September 30, 2020, construction of the building is complete, and approximately $27.4 million of this total cost has been paid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portion will be paid in yearly installments for three years after final inspection. We anticipate additional expenses for building improvements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factory and we are in the process of evaluating the timing of these expenditures and obtaining bids for any such work. Based on forecasts, we believe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factory will be placed in service in second half of 2022 or early 2023, and at this time the factory property will be transferred from construction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progress to building and improvements.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liquidity needs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and other facilities at our Ningbo, China location,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Please refer to Item 7 "Mangement's Discussion and Analysis of Financial Condition and Results of Operations" in the Company's Annual Report on Form 10-K for the fiscal year ended December 31, 2021 for a complete discussion of its contractual obligations and commitments.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annual inflation rate in the US and Taiwan accelerated more than 7% in 2021. Cost inflation included increases in shipping costs, labor rates, and in costs of some raw materials. We currently believe these increases are related to the COVID-19 pandemic (see the section above on the COVID-19 pandemic for more details of these challenges), however we cannot be sure when or if prices will return to pre-pandemic levels. There is no guarantee that we can increase selling prices or reduce costs to fully mitigate the effect of inflation on our costs, which may adversely impact our sales margins and profitability. Compared to other major economies in the world, China has a stable level of inflation, which has not had a significant impact on our sales or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our Annual Report for the year ended December 31, 2021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the Company, see Item 7A – Quantitative and Qualitative Disclosures about Market Risk in our Annual Report for the fiscal year ended December 31, 2021. We do not believe the Company’s exposure to market risk has changed materially since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8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2022. Based upon that evaluation, our Chief Executive Officer and Chief Financial Officer concluded that, as of the end of the period covered by this report, our disclosure controls and procedures were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7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Information with respect to legal proceedings can be found under the heading "Contingencies" in Note 18 to the Condensed Consolidated Financial Statements contained in Part 1, Item 1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Investing in our common stock involves a high degree of risk. See Part I, Item 1A, Risk Factors, of our Annual Report on Form 10-K for the year ended December 31, 2020 for a detailed discussion of the risk factors affecting our Company. As of March 31, 2022, there have been no material changes to those risk factors. </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8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48"/>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60" w:type="dxa"/>
            <w:vAlign w:val="bottom"/>
          </w:tcPr>
          <w:p>
            <w:pPr>
              <w:spacing w:after="0"/>
              <w:rPr>
                <w:sz w:val="24"/>
                <w:szCs w:val="24"/>
                <w:color w:val="auto"/>
              </w:rPr>
            </w:pPr>
          </w:p>
        </w:tc>
        <w:tc>
          <w:tcPr>
            <w:tcW w:w="95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auto"/>
            </w:tcBorders>
            <w:gridSpan w:val="16"/>
          </w:tcPr>
          <w:p>
            <w:pPr>
              <w:spacing w:after="0" w:line="169"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Amended and Restated Certificate of Incorporation, as currently in effect (filed as Exhibit 3.1 to the Registrant’s Quarterly Report</w:t>
              </w:r>
            </w:hyperlink>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on Form 10-Q filed with the Securities and Exchange Commission on November 14, 2013).</w:t>
              </w:r>
            </w:hyperlink>
          </w:p>
        </w:tc>
        <w:tc>
          <w:tcPr>
            <w:tcW w:w="2740" w:type="dxa"/>
            <w:vAlign w:val="bottom"/>
            <w:tcBorders>
              <w:top w:val="single" w:sz="8" w:color="0000EE"/>
            </w:tcBorders>
            <w:gridSpan w:val="3"/>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Pr>
          <w:p>
            <w:pPr>
              <w:spacing w:after="0"/>
              <w:rPr>
                <w:sz w:val="24"/>
                <w:szCs w:val="24"/>
                <w:color w:val="auto"/>
              </w:rPr>
            </w:pPr>
          </w:p>
        </w:tc>
        <w:tc>
          <w:tcPr>
            <w:tcW w:w="94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Amended and Restated Bylaws, as currently in effect (filed as Exhibit 3.2 to the Registrant’s Quarterly Report on Form 10-Q filed</w:t>
              </w:r>
            </w:hyperlink>
          </w:p>
        </w:tc>
        <w:tc>
          <w:tcPr>
            <w:tcW w:w="180" w:type="dxa"/>
            <w:vAlign w:val="bottom"/>
            <w:gridSpan w:val="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with the Securities and Exchange Commission on November 14, 2013).</w:t>
              </w:r>
            </w:hyperlink>
          </w:p>
        </w:tc>
        <w:tc>
          <w:tcPr>
            <w:tcW w:w="4400" w:type="dxa"/>
            <w:vAlign w:val="bottom"/>
            <w:gridSpan w:val="10"/>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Pr>
          <w:p>
            <w:pPr>
              <w:spacing w:after="0"/>
              <w:rPr>
                <w:sz w:val="24"/>
                <w:szCs w:val="24"/>
                <w:color w:val="auto"/>
              </w:rPr>
            </w:pPr>
          </w:p>
        </w:tc>
        <w:tc>
          <w:tcPr>
            <w:tcW w:w="89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Common Stock Specimen (filed as Exhibit 4.1 to the Registrant’s Current Report on Form 8-K filed with the Securities and</w:t>
              </w:r>
            </w:hyperlink>
          </w:p>
        </w:tc>
        <w:tc>
          <w:tcPr>
            <w:tcW w:w="680" w:type="dxa"/>
            <w:vAlign w:val="bottom"/>
            <w:gridSpan w:val="8"/>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Exchange Commission on July 15, 2015).</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6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Indenture, dated as of March 5, 2019 between Applied Optoelectronics, Inc. and Wells Fargo Bank, National Association, as trustee,</w:t>
              </w:r>
            </w:hyperlink>
          </w:p>
        </w:tc>
        <w:tc>
          <w:tcPr>
            <w:tcW w:w="40" w:type="dxa"/>
            <w:vAlign w:val="bottom"/>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paying agent, and conversion agent (filed as Exhibit 4.1 to the Registrant’s Current Report on Form 8-K filed with the Securities and</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Exchange Commission on March 5, 2019).</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Form of Note representing the Company’s 5.00% Convertible Senior Notes due 2024 (included as Exhibit A to the Indenture filed as</w:t>
              </w:r>
            </w:hyperlink>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Exhibit 4.1 to the Registrant’s Current Report on Form 8-K filed with the Securities and Exchange Commission on March 5, 2019).</w:t>
              </w:r>
            </w:hyperlink>
          </w:p>
        </w:tc>
        <w:tc>
          <w:tcPr>
            <w:tcW w:w="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tcPr>
          <w:p>
            <w:pPr>
              <w:spacing w:after="0"/>
              <w:rPr>
                <w:sz w:val="24"/>
                <w:szCs w:val="24"/>
                <w:color w:val="auto"/>
              </w:rPr>
            </w:pPr>
          </w:p>
        </w:tc>
        <w:tc>
          <w:tcPr>
            <w:tcW w:w="9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Exchange Act Rule, 13a-14(a) and 15d-14(a), as adopted pursuant to Section</w:t>
            </w:r>
          </w:p>
        </w:tc>
        <w:tc>
          <w:tcPr>
            <w:tcW w:w="260" w:type="dxa"/>
            <w:vAlign w:val="bottom"/>
            <w:gridSpan w:val="7"/>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60" w:type="dxa"/>
            <w:vAlign w:val="bottom"/>
          </w:tcPr>
          <w:p>
            <w:pPr>
              <w:spacing w:after="0"/>
              <w:rPr>
                <w:sz w:val="24"/>
                <w:szCs w:val="24"/>
                <w:color w:val="auto"/>
              </w:rPr>
            </w:pPr>
          </w:p>
        </w:tc>
        <w:tc>
          <w:tcPr>
            <w:tcW w:w="95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Exchange Act Rule, 13a-14(a) and 15d-14(a), as adopted pursuant to Section 302</w:t>
            </w: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gridSpan w:val="9"/>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60" w:type="dxa"/>
            <w:vAlign w:val="bottom"/>
          </w:tcPr>
          <w:p>
            <w:pPr>
              <w:spacing w:after="0"/>
              <w:rPr>
                <w:sz w:val="24"/>
                <w:szCs w:val="24"/>
                <w:color w:val="auto"/>
              </w:rPr>
            </w:pPr>
          </w:p>
        </w:tc>
        <w:tc>
          <w:tcPr>
            <w:tcW w:w="93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1350, adopted pursuant to Section 906 of the Sarbanes-Oxley Act of 2002, by Chief Executive</w:t>
            </w:r>
          </w:p>
        </w:tc>
        <w:tc>
          <w:tcPr>
            <w:tcW w:w="200" w:type="dxa"/>
            <w:vAlign w:val="bottom"/>
            <w:gridSpan w:val="5"/>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Officer and Chief Financial Officer.</w:t>
            </w:r>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7000" w:type="dxa"/>
            <w:vAlign w:val="bottom"/>
            <w:gridSpan w:val="14"/>
          </w:tcPr>
          <w:p>
            <w:pPr>
              <w:spacing w:after="0" w:line="20" w:lineRule="exact"/>
              <w:rPr>
                <w:sz w:val="1"/>
                <w:szCs w:val="1"/>
                <w:color w:val="auto"/>
              </w:rPr>
            </w:pPr>
          </w:p>
        </w:tc>
      </w:tr>
      <w:tr>
        <w:trPr>
          <w:trHeight w:val="4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60" w:type="dxa"/>
            <w:vAlign w:val="bottom"/>
          </w:tcPr>
          <w:p>
            <w:pPr>
              <w:spacing w:after="0"/>
              <w:rPr>
                <w:sz w:val="24"/>
                <w:szCs w:val="24"/>
                <w:color w:val="auto"/>
              </w:rPr>
            </w:pPr>
          </w:p>
        </w:tc>
        <w:tc>
          <w:tcPr>
            <w:tcW w:w="9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w:t>
            </w:r>
          </w:p>
        </w:tc>
      </w:tr>
      <w:tr>
        <w:trPr>
          <w:trHeight w:val="234"/>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60" w:type="dxa"/>
            <w:vAlign w:val="bottom"/>
          </w:tcPr>
          <w:p>
            <w:pPr>
              <w:spacing w:after="0"/>
              <w:rPr>
                <w:sz w:val="24"/>
                <w:szCs w:val="24"/>
                <w:color w:val="auto"/>
              </w:rPr>
            </w:pPr>
          </w:p>
        </w:tc>
        <w:tc>
          <w:tcPr>
            <w:tcW w:w="9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60" w:type="dxa"/>
            <w:vAlign w:val="bottom"/>
          </w:tcPr>
          <w:p>
            <w:pPr>
              <w:spacing w:after="0"/>
              <w:rPr>
                <w:sz w:val="24"/>
                <w:szCs w:val="24"/>
                <w:color w:val="auto"/>
              </w:rPr>
            </w:pPr>
          </w:p>
        </w:tc>
        <w:tc>
          <w:tcPr>
            <w:tcW w:w="9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60" w:type="dxa"/>
            <w:vAlign w:val="bottom"/>
          </w:tcPr>
          <w:p>
            <w:pPr>
              <w:spacing w:after="0"/>
              <w:rPr>
                <w:sz w:val="24"/>
                <w:szCs w:val="24"/>
                <w:color w:val="auto"/>
              </w:rPr>
            </w:pPr>
          </w:p>
        </w:tc>
        <w:tc>
          <w:tcPr>
            <w:tcW w:w="9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60" w:type="dxa"/>
            <w:vAlign w:val="bottom"/>
          </w:tcPr>
          <w:p>
            <w:pPr>
              <w:spacing w:after="0"/>
              <w:rPr>
                <w:sz w:val="24"/>
                <w:szCs w:val="24"/>
                <w:color w:val="auto"/>
              </w:rPr>
            </w:pPr>
          </w:p>
        </w:tc>
        <w:tc>
          <w:tcPr>
            <w:tcW w:w="9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60" w:type="dxa"/>
            <w:vAlign w:val="bottom"/>
          </w:tcPr>
          <w:p>
            <w:pPr>
              <w:spacing w:after="0"/>
              <w:rPr>
                <w:sz w:val="24"/>
                <w:szCs w:val="24"/>
                <w:color w:val="auto"/>
              </w:rPr>
            </w:pPr>
          </w:p>
        </w:tc>
        <w:tc>
          <w:tcPr>
            <w:tcW w:w="9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9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2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83" w:lineRule="exact"/>
        <w:rPr>
          <w:sz w:val="20"/>
          <w:szCs w:val="20"/>
          <w:color w:val="auto"/>
        </w:rPr>
      </w:pPr>
    </w:p>
    <w:p>
      <w:pPr>
        <w:ind w:right="6700" w:firstLine="8"/>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indicated filing. ** Filed herewith.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STEFAN J. MURRY</w:t>
            </w:r>
          </w:p>
        </w:tc>
      </w:tr>
      <w:tr>
        <w:trPr>
          <w:trHeight w:val="191"/>
        </w:trPr>
        <w:tc>
          <w:tcPr>
            <w:tcW w:w="35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tc>
      </w:tr>
      <w:tr>
        <w:trPr>
          <w:trHeight w:val="214"/>
        </w:trPr>
        <w:tc>
          <w:tcPr>
            <w:tcW w:w="3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28" w:name="page29"/>
    <w:bookmarkEnd w:id="2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Chih-Hsiang (Thompson) Lin,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Optoelectronics,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29" w:name="page30"/>
    <w:bookmarkEnd w:id="29"/>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Stefan J. Murry,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Optoelectronics,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STEFAN J. MURRY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30" w:name="page31"/>
    <w:bookmarkEnd w:id="30"/>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80"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2022, to which this Certification is attached as Exhibit 32.1 (the “Quarterly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set their hands hereto as of the 5th day of May 2022.</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34544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STEFAN J. MURRY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ectPr>
          <w:pgSz w:w="11900" w:h="16838" w:orient="portrait"/>
          <w:cols w:equalWidth="0" w:num="2">
            <w:col w:w="5080" w:space="720"/>
            <w:col w:w="5440"/>
          </w:cols>
          <w:pgMar w:left="320" w:top="117" w:right="339" w:bottom="1440" w:gutter="0" w:footer="0" w:header="0"/>
          <w:type w:val="continuous"/>
        </w:sectPr>
      </w:pPr>
    </w:p>
    <w:p>
      <w:pPr>
        <w:spacing w:after="0" w:line="22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28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39" Type="http://schemas.openxmlformats.org/officeDocument/2006/relationships/hyperlink" Target="http://www.sec.gov/Archives/edgar/data/1158114/000101968713004306/aaoi_10q-ex0301.htm" TargetMode="External"/><Relationship Id="rId40" Type="http://schemas.openxmlformats.org/officeDocument/2006/relationships/hyperlink" Target="http://www.sec.gov/Archives/edgar/data/1158114/000101968713004306/aaoi_10q-ex0302.htm" TargetMode="External"/><Relationship Id="rId41" Type="http://schemas.openxmlformats.org/officeDocument/2006/relationships/hyperlink" Target="http://www.sec.gov/Archives/edgar/data/1158114/000110465915051289/a15-15715_1ex4d1.htm" TargetMode="External"/><Relationship Id="rId42" Type="http://schemas.openxmlformats.org/officeDocument/2006/relationships/hyperlink" Target="http://www.sec.gov/Archives/edgar/data/1158114/000110465919012900/a19-4821_4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2022-05-05T16:32:06Z</dcterms:created>
  <dcterms:modified xsi:type="dcterms:W3CDTF">2022-05-05T16:32:06Z</dcterms:modified>
</cp:coreProperties>
</file>