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3660" w:right="1880" w:hanging="3652"/>
        <w:spacing w:after="0" w:line="493"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20" w:right="1860" w:hanging="3412"/>
        <w:spacing w:after="0" w:line="500" w:lineRule="auto"/>
        <w:tabs>
          <w:tab w:leader="none" w:pos="21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For the transition period from __________ to </w:t>
      </w:r>
      <w:r>
        <w:rPr>
          <w:rFonts w:ascii="Arial" w:cs="Arial" w:eastAsia="Arial" w:hAnsi="Arial"/>
          <w:sz w:val="18"/>
          <w:szCs w:val="18"/>
          <w:color w:val="auto"/>
        </w:rPr>
        <w:t>__________</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908" w:right="339" w:bottom="659" w:gutter="0" w:footer="0" w:header="0"/>
        </w:sectPr>
      </w:pPr>
    </w:p>
    <w:p>
      <w:pPr>
        <w:spacing w:after="0" w:line="20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340" w:space="720"/>
            <w:col w:w="4180"/>
          </w:cols>
          <w:pgMar w:left="320" w:top="908" w:right="339" w:bottom="659"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13139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ind w:left="5500" w:hanging="438"/>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43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00" w:lineRule="exact"/>
        <w:rPr>
          <w:sz w:val="24"/>
          <w:szCs w:val="24"/>
          <w:color w:val="auto"/>
        </w:rPr>
      </w:pPr>
    </w:p>
    <w:p>
      <w:pPr>
        <w:spacing w:after="0" w:line="22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Title of each class</w:t>
            </w:r>
          </w:p>
        </w:tc>
        <w:tc>
          <w:tcPr>
            <w:tcW w:w="23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92"/>
              </w:rPr>
              <w:t>Trading Symbol(s)</w:t>
            </w:r>
          </w:p>
        </w:tc>
        <w:tc>
          <w:tcPr>
            <w:tcW w:w="60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color w:val="auto"/>
                <w:w w:val="89"/>
              </w:rPr>
              <w:t>Trading Name of each exchange on which registered</w:t>
            </w:r>
          </w:p>
        </w:tc>
      </w:tr>
      <w:tr>
        <w:trPr>
          <w:trHeight w:val="224"/>
        </w:trPr>
        <w:tc>
          <w:tcPr>
            <w:tcW w:w="2920" w:type="dxa"/>
            <w:vAlign w:val="bottom"/>
          </w:tcPr>
          <w:p>
            <w:pPr>
              <w:jc w:val="center"/>
              <w:ind w:left="10"/>
              <w:spacing w:after="0"/>
              <w:rPr>
                <w:sz w:val="20"/>
                <w:szCs w:val="20"/>
                <w:color w:val="auto"/>
              </w:rPr>
            </w:pPr>
            <w:r>
              <w:rPr>
                <w:rFonts w:ascii="Arial" w:cs="Arial" w:eastAsia="Arial" w:hAnsi="Arial"/>
                <w:sz w:val="18"/>
                <w:szCs w:val="18"/>
                <w:color w:val="auto"/>
                <w:w w:val="89"/>
              </w:rPr>
              <w:t>Common Stock, Par value $0.001</w:t>
            </w:r>
          </w:p>
        </w:tc>
        <w:tc>
          <w:tcPr>
            <w:tcW w:w="2300" w:type="dxa"/>
            <w:vAlign w:val="bottom"/>
          </w:tcPr>
          <w:p>
            <w:pPr>
              <w:jc w:val="center"/>
              <w:ind w:right="490"/>
              <w:spacing w:after="0"/>
              <w:rPr>
                <w:sz w:val="20"/>
                <w:szCs w:val="20"/>
                <w:color w:val="auto"/>
              </w:rPr>
            </w:pPr>
            <w:r>
              <w:rPr>
                <w:rFonts w:ascii="Arial" w:cs="Arial" w:eastAsia="Arial" w:hAnsi="Arial"/>
                <w:sz w:val="18"/>
                <w:szCs w:val="18"/>
                <w:color w:val="auto"/>
              </w:rPr>
              <w:t>AAOI</w:t>
            </w:r>
          </w:p>
        </w:tc>
        <w:tc>
          <w:tcPr>
            <w:tcW w:w="6020" w:type="dxa"/>
            <w:vAlign w:val="bottom"/>
          </w:tcPr>
          <w:p>
            <w:pPr>
              <w:jc w:val="center"/>
              <w:ind w:right="590"/>
              <w:spacing w:after="0"/>
              <w:rPr>
                <w:sz w:val="20"/>
                <w:szCs w:val="20"/>
                <w:color w:val="auto"/>
              </w:rPr>
            </w:pPr>
            <w:r>
              <w:rPr>
                <w:rFonts w:ascii="Arial" w:cs="Arial" w:eastAsia="Arial" w:hAnsi="Arial"/>
                <w:sz w:val="18"/>
                <w:szCs w:val="18"/>
                <w:color w:val="auto"/>
                <w:w w:val="96"/>
              </w:rPr>
              <w:t>NASDAQ Global Market</w:t>
            </w:r>
          </w:p>
        </w:tc>
      </w:tr>
    </w:tbl>
    <w:p>
      <w:pPr>
        <w:spacing w:after="0" w:line="187" w:lineRule="exact"/>
        <w:rPr>
          <w:sz w:val="24"/>
          <w:szCs w:val="24"/>
          <w:color w:val="auto"/>
        </w:rPr>
      </w:pPr>
    </w:p>
    <w:p>
      <w:pPr>
        <w:jc w:val="both"/>
        <w:ind w:left="280" w:right="280"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0" w:lineRule="exact"/>
        <w:rPr>
          <w:sz w:val="24"/>
          <w:szCs w:val="24"/>
          <w:color w:val="auto"/>
        </w:rPr>
      </w:pPr>
    </w:p>
    <w:p>
      <w:pPr>
        <w:jc w:val="both"/>
        <w:ind w:left="280" w:right="280"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both"/>
        <w:ind w:left="280" w:right="260" w:firstLine="41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7" w:lineRule="exact"/>
        <w:rPr>
          <w:sz w:val="24"/>
          <w:szCs w:val="24"/>
          <w:color w:val="auto"/>
        </w:rPr>
      </w:pPr>
    </w:p>
    <w:tbl>
      <w:tblPr>
        <w:tblLayout w:type="fixed"/>
        <w:tblInd w:w="22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Non-accelerated filer</w:t>
            </w:r>
          </w:p>
        </w:tc>
        <w:tc>
          <w:tcPr>
            <w:tcW w:w="18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1860" w:type="dxa"/>
            <w:vAlign w:val="bottom"/>
          </w:tcPr>
          <w:p>
            <w:pPr>
              <w:ind w:left="1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98" w:lineRule="exact"/>
        <w:rPr>
          <w:sz w:val="24"/>
          <w:szCs w:val="24"/>
          <w:color w:val="auto"/>
        </w:rPr>
      </w:pPr>
    </w:p>
    <w:p>
      <w:pPr>
        <w:ind w:left="68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w:t>
      </w:r>
    </w:p>
    <w:p>
      <w:pPr>
        <w:spacing w:after="0" w:line="30" w:lineRule="exact"/>
        <w:rPr>
          <w:sz w:val="24"/>
          <w:szCs w:val="24"/>
          <w:color w:val="auto"/>
        </w:rPr>
      </w:pPr>
    </w:p>
    <w:p>
      <w:pPr>
        <w:ind w:left="280"/>
        <w:spacing w:after="0" w:line="207" w:lineRule="exact"/>
        <w:tabs>
          <w:tab w:leader="none" w:pos="9260" w:val="left"/>
        </w:tabs>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16" w:lineRule="exact"/>
        <w:rPr>
          <w:sz w:val="24"/>
          <w:szCs w:val="24"/>
          <w:color w:val="auto"/>
        </w:rPr>
      </w:pPr>
    </w:p>
    <w:p>
      <w:pPr>
        <w:ind w:left="6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2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left="680"/>
        <w:spacing w:after="0"/>
        <w:rPr>
          <w:sz w:val="20"/>
          <w:szCs w:val="20"/>
          <w:color w:val="auto"/>
        </w:rPr>
      </w:pPr>
      <w:r>
        <w:rPr>
          <w:rFonts w:ascii="Arial" w:cs="Arial" w:eastAsia="Arial" w:hAnsi="Arial"/>
          <w:sz w:val="18"/>
          <w:szCs w:val="18"/>
          <w:color w:val="auto"/>
        </w:rPr>
        <w:t>As of November 2, 2020, there were 22,976,246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659"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gridSpan w:val="4"/>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80" w:type="dxa"/>
            <w:vAlign w:val="bottom"/>
          </w:tcPr>
          <w:p>
            <w:pPr>
              <w:jc w:val="center"/>
              <w:ind w:left="930"/>
              <w:spacing w:after="0"/>
              <w:rPr>
                <w:sz w:val="20"/>
                <w:szCs w:val="20"/>
                <w:color w:val="auto"/>
              </w:rPr>
            </w:pPr>
            <w:r>
              <w:rPr>
                <w:rFonts w:ascii="Arial" w:cs="Arial" w:eastAsia="Arial" w:hAnsi="Arial"/>
                <w:sz w:val="18"/>
                <w:szCs w:val="18"/>
                <w:b w:val="1"/>
                <w:bCs w:val="1"/>
                <w:color w:val="auto"/>
                <w:w w:val="89"/>
              </w:rPr>
              <w:t>Applied Optoelectronics,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80" w:type="dxa"/>
            <w:vAlign w:val="bottom"/>
          </w:tcPr>
          <w:p>
            <w:pPr>
              <w:jc w:val="center"/>
              <w:ind w:left="930"/>
              <w:spacing w:after="0"/>
              <w:rPr>
                <w:sz w:val="20"/>
                <w:szCs w:val="20"/>
                <w:color w:val="auto"/>
              </w:rPr>
            </w:pPr>
            <w:r>
              <w:rPr>
                <w:rFonts w:ascii="Arial" w:cs="Arial" w:eastAsia="Arial" w:hAnsi="Arial"/>
                <w:sz w:val="18"/>
                <w:szCs w:val="18"/>
                <w:b w:val="1"/>
                <w:bCs w:val="1"/>
                <w:color w:val="auto"/>
                <w:w w:val="89"/>
              </w:rPr>
              <w:t>Table of Contents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4"/>
            <w:vMerge w:val="restart"/>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 Financial Information</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210"/>
        </w:trPr>
        <w:tc>
          <w:tcPr>
            <w:tcW w:w="800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7040" w:type="dxa"/>
            <w:vAlign w:val="bottom"/>
            <w:gridSpan w:val="3"/>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Consolidated Financial Statements (Unaudited)</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8620" w:type="dxa"/>
            <w:vAlign w:val="bottom"/>
            <w:gridSpan w:val="6"/>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Consolidated Balance Sheets as of September 30, 2020 (Unaudited) and December 31, 2019</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9660" w:type="dxa"/>
            <w:vAlign w:val="bottom"/>
            <w:gridSpan w:val="11"/>
          </w:tcPr>
          <w:p>
            <w:pPr>
              <w:spacing w:after="0"/>
              <w:rPr>
                <w:rFonts w:ascii="Arial" w:cs="Arial" w:eastAsia="Arial" w:hAnsi="Arial"/>
                <w:sz w:val="18"/>
                <w:szCs w:val="18"/>
                <w:u w:val="single" w:color="auto"/>
                <w:color w:val="0000EE"/>
                <w:w w:val="90"/>
              </w:rPr>
            </w:pPr>
            <w:hyperlink w:anchor="page3">
              <w:r>
                <w:rPr>
                  <w:rFonts w:ascii="Arial" w:cs="Arial" w:eastAsia="Arial" w:hAnsi="Arial"/>
                  <w:sz w:val="18"/>
                  <w:szCs w:val="18"/>
                  <w:u w:val="single" w:color="auto"/>
                  <w:color w:val="0000EE"/>
                  <w:w w:val="90"/>
                </w:rPr>
                <w:t>Condensed Consolidated Statements of Operations for the Three and Nine months ended September 30, 2020 and 2019 (Unaudited)</w:t>
              </w:r>
            </w:hyperlink>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91"/>
        </w:trPr>
        <w:tc>
          <w:tcPr>
            <w:tcW w:w="960" w:type="dxa"/>
            <w:vAlign w:val="bottom"/>
          </w:tcPr>
          <w:p>
            <w:pPr>
              <w:spacing w:after="0"/>
              <w:rPr>
                <w:sz w:val="24"/>
                <w:szCs w:val="24"/>
                <w:color w:val="auto"/>
              </w:rPr>
            </w:pPr>
          </w:p>
        </w:tc>
        <w:tc>
          <w:tcPr>
            <w:tcW w:w="9660" w:type="dxa"/>
            <w:vAlign w:val="bottom"/>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Income (Loss) for the Three and Nine Months ended September 30, 2020 and</w:t>
              </w:r>
            </w:hyperlink>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0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2019 (Unaudited)</w:t>
              </w:r>
            </w:hyperlink>
          </w:p>
        </w:tc>
        <w:tc>
          <w:tcPr>
            <w:tcW w:w="1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8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spacing w:after="0"/>
              <w:rPr>
                <w:sz w:val="24"/>
                <w:szCs w:val="24"/>
                <w:color w:val="auto"/>
              </w:rPr>
            </w:pPr>
          </w:p>
        </w:tc>
        <w:tc>
          <w:tcPr>
            <w:tcW w:w="9660" w:type="dxa"/>
            <w:vAlign w:val="bottom"/>
            <w:gridSpan w:val="11"/>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Stockholders’ Equity for the Three and Nine Months ended September 30, 2020 and 2019</w:t>
              </w:r>
            </w:hyperlink>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0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14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2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60" w:type="dxa"/>
            <w:vAlign w:val="bottom"/>
          </w:tcPr>
          <w:p>
            <w:pPr>
              <w:spacing w:after="0"/>
              <w:rPr>
                <w:sz w:val="24"/>
                <w:szCs w:val="24"/>
                <w:color w:val="auto"/>
              </w:rPr>
            </w:pPr>
          </w:p>
        </w:tc>
        <w:tc>
          <w:tcPr>
            <w:tcW w:w="8880" w:type="dxa"/>
            <w:vAlign w:val="bottom"/>
            <w:gridSpan w:val="8"/>
          </w:tcPr>
          <w:p>
            <w:pPr>
              <w:spacing w:after="0"/>
              <w:rPr>
                <w:rFonts w:ascii="Arial" w:cs="Arial" w:eastAsia="Arial" w:hAnsi="Arial"/>
                <w:sz w:val="18"/>
                <w:szCs w:val="18"/>
                <w:u w:val="single" w:color="auto"/>
                <w:color w:val="0000EE"/>
                <w:w w:val="90"/>
              </w:rPr>
            </w:pPr>
            <w:hyperlink w:anchor="page5">
              <w:r>
                <w:rPr>
                  <w:rFonts w:ascii="Arial" w:cs="Arial" w:eastAsia="Arial" w:hAnsi="Arial"/>
                  <w:sz w:val="18"/>
                  <w:szCs w:val="18"/>
                  <w:u w:val="single" w:color="auto"/>
                  <w:color w:val="0000EE"/>
                  <w:w w:val="90"/>
                </w:rPr>
                <w:t>Condensed Consolidated Statements of Cash Flows for the Nine Months ended September 30, 2020 and 2019 (Unaudited)</w:t>
              </w:r>
            </w:hyperlink>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7040" w:type="dxa"/>
            <w:vAlign w:val="bottom"/>
            <w:gridSpan w:val="3"/>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Notes To Condensed Consolidated Financial Statements (Unaudited)</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7040" w:type="dxa"/>
            <w:vAlign w:val="bottom"/>
            <w:gridSpan w:val="3"/>
          </w:tcPr>
          <w:p>
            <w:pPr>
              <w:spacing w:after="0"/>
              <w:rPr>
                <w:rFonts w:ascii="Arial" w:cs="Arial" w:eastAsia="Arial" w:hAnsi="Arial"/>
                <w:sz w:val="18"/>
                <w:szCs w:val="18"/>
                <w:u w:val="single" w:color="auto"/>
                <w:color w:val="0000EE"/>
                <w:w w:val="99"/>
              </w:rPr>
            </w:pPr>
            <w:hyperlink w:anchor="page25">
              <w:r>
                <w:rPr>
                  <w:rFonts w:ascii="Arial" w:cs="Arial" w:eastAsia="Arial" w:hAnsi="Arial"/>
                  <w:sz w:val="18"/>
                  <w:szCs w:val="18"/>
                  <w:u w:val="single" w:color="auto"/>
                  <w:color w:val="0000EE"/>
                  <w:w w:val="99"/>
                </w:rPr>
                <w:t>Management’s Discussion and Analysis of Financial Condition and Results of Operations</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7040" w:type="dxa"/>
            <w:vAlign w:val="bottom"/>
            <w:gridSpan w:val="3"/>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Quantitative and Qualitative Disclosures About Market Risk</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7040" w:type="dxa"/>
            <w:vAlign w:val="bottom"/>
            <w:gridSpan w:val="3"/>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Controls and Procedures</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8"/>
        </w:trPr>
        <w:tc>
          <w:tcPr>
            <w:tcW w:w="8000" w:type="dxa"/>
            <w:vAlign w:val="bottom"/>
            <w:gridSpan w:val="4"/>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Part II. Other Information</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7040" w:type="dxa"/>
            <w:vAlign w:val="bottom"/>
            <w:gridSpan w:val="3"/>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Legal Proceedings</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7040" w:type="dxa"/>
            <w:vAlign w:val="bottom"/>
            <w:gridSpan w:val="3"/>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704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Unregistered Sales of Equity Securities and Use of Proceeds</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704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Defaults Upon Senior Securities</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704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Mine Safety Disclosures</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704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Information</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704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Exhibits</w:t>
              </w:r>
            </w:hyperlink>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7040" w:type="dxa"/>
            <w:vAlign w:val="bottom"/>
            <w:gridSpan w:val="3"/>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Signatures</w:t>
              </w:r>
            </w:hyperlink>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688"/>
        </w:trPr>
        <w:tc>
          <w:tcPr>
            <w:tcW w:w="960" w:type="dxa"/>
            <w:vAlign w:val="bottom"/>
          </w:tcPr>
          <w:p>
            <w:pPr>
              <w:spacing w:after="0"/>
              <w:rPr>
                <w:sz w:val="24"/>
                <w:szCs w:val="24"/>
                <w:color w:val="auto"/>
              </w:rPr>
            </w:pPr>
          </w:p>
        </w:tc>
        <w:tc>
          <w:tcPr>
            <w:tcW w:w="7040" w:type="dxa"/>
            <w:vAlign w:val="bottom"/>
            <w:gridSpan w:val="3"/>
          </w:tcPr>
          <w:p>
            <w:pPr>
              <w:jc w:val="center"/>
              <w:ind w:left="2190"/>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20" w:type="dxa"/>
            <w:vAlign w:val="bottom"/>
            <w:tcBorders>
              <w:bottom w:val="single" w:sz="8" w:color="9A9A9A"/>
            </w:tcBorders>
            <w:gridSpan w:val="2"/>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8000" w:type="dxa"/>
            <w:vAlign w:val="bottom"/>
            <w:gridSpan w:val="4"/>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80" w:type="dxa"/>
            <w:vAlign w:val="bottom"/>
          </w:tcPr>
          <w:p>
            <w:pPr>
              <w:jc w:val="center"/>
              <w:ind w:left="930"/>
              <w:spacing w:after="0"/>
              <w:rPr>
                <w:sz w:val="20"/>
                <w:szCs w:val="20"/>
                <w:color w:val="auto"/>
              </w:rPr>
            </w:pPr>
            <w:r>
              <w:rPr>
                <w:rFonts w:ascii="Arial" w:cs="Arial" w:eastAsia="Arial" w:hAnsi="Arial"/>
                <w:sz w:val="18"/>
                <w:szCs w:val="18"/>
                <w:b w:val="1"/>
                <w:bCs w:val="1"/>
                <w:color w:val="auto"/>
                <w:w w:val="94"/>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4"/>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80" w:type="dxa"/>
            <w:vAlign w:val="bottom"/>
          </w:tcPr>
          <w:p>
            <w:pPr>
              <w:jc w:val="center"/>
              <w:ind w:left="93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8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8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(Unaudited, 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09"/>
        </w:trPr>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59,977</w:t>
            </w:r>
          </w:p>
        </w:tc>
        <w:tc>
          <w:tcPr>
            <w:tcW w:w="0" w:type="dxa"/>
            <w:vAlign w:val="bottom"/>
          </w:tcPr>
          <w:p>
            <w:pPr>
              <w:spacing w:after="0"/>
              <w:rPr>
                <w:sz w:val="1"/>
                <w:szCs w:val="1"/>
                <w:color w:val="auto"/>
              </w:rPr>
            </w:pPr>
          </w:p>
        </w:tc>
      </w:tr>
      <w:tr>
        <w:trPr>
          <w:trHeight w:val="216"/>
        </w:trPr>
        <w:tc>
          <w:tcPr>
            <w:tcW w:w="8000" w:type="dxa"/>
            <w:vAlign w:val="bottom"/>
            <w:gridSpan w:val="4"/>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11,296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7,051</w:t>
            </w: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 of allowance of $30 and $30, respectively</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34,655</w:t>
            </w:r>
          </w:p>
        </w:tc>
        <w:tc>
          <w:tcPr>
            <w:tcW w:w="0" w:type="dxa"/>
            <w:vAlign w:val="bottom"/>
          </w:tcPr>
          <w:p>
            <w:pPr>
              <w:spacing w:after="0"/>
              <w:rPr>
                <w:sz w:val="1"/>
                <w:szCs w:val="1"/>
                <w:color w:val="auto"/>
              </w:rPr>
            </w:pPr>
          </w:p>
        </w:tc>
      </w:tr>
      <w:tr>
        <w:trPr>
          <w:trHeight w:val="216"/>
        </w:trPr>
        <w:tc>
          <w:tcPr>
            <w:tcW w:w="8000" w:type="dxa"/>
            <w:vAlign w:val="bottom"/>
            <w:gridSpan w:val="4"/>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111,427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85,028</w:t>
            </w: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Prepaid income tax</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8000" w:type="dxa"/>
            <w:vAlign w:val="bottom"/>
            <w:gridSpan w:val="4"/>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192,804</w:t>
            </w:r>
          </w:p>
        </w:tc>
        <w:tc>
          <w:tcPr>
            <w:tcW w:w="0" w:type="dxa"/>
            <w:vAlign w:val="bottom"/>
          </w:tcPr>
          <w:p>
            <w:pPr>
              <w:spacing w:after="0"/>
              <w:rPr>
                <w:sz w:val="1"/>
                <w:szCs w:val="1"/>
                <w:color w:val="auto"/>
              </w:rPr>
            </w:pPr>
          </w:p>
        </w:tc>
      </w:tr>
      <w:tr>
        <w:trPr>
          <w:trHeight w:val="216"/>
        </w:trPr>
        <w:tc>
          <w:tcPr>
            <w:tcW w:w="8000" w:type="dxa"/>
            <w:vAlign w:val="bottom"/>
            <w:gridSpan w:val="4"/>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249,740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6"/>
          </w:tcPr>
          <w:p>
            <w:pPr>
              <w:jc w:val="right"/>
              <w:ind w:right="100"/>
              <w:spacing w:after="0"/>
              <w:rPr>
                <w:sz w:val="20"/>
                <w:szCs w:val="20"/>
                <w:color w:val="auto"/>
              </w:rPr>
            </w:pPr>
            <w:r>
              <w:rPr>
                <w:rFonts w:ascii="Arial" w:cs="Arial" w:eastAsia="Arial" w:hAnsi="Arial"/>
                <w:sz w:val="18"/>
                <w:szCs w:val="18"/>
                <w:color w:val="auto"/>
              </w:rPr>
              <w:t>248,444</w:t>
            </w: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Land use rights, net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6"/>
        </w:trPr>
        <w:tc>
          <w:tcPr>
            <w:tcW w:w="8000" w:type="dxa"/>
            <w:vAlign w:val="bottom"/>
            <w:gridSpan w:val="4"/>
          </w:tcPr>
          <w:p>
            <w:pPr>
              <w:ind w:left="180"/>
              <w:spacing w:after="0"/>
              <w:rPr>
                <w:sz w:val="20"/>
                <w:szCs w:val="20"/>
                <w:color w:val="auto"/>
              </w:rPr>
            </w:pPr>
            <w:r>
              <w:rPr>
                <w:rFonts w:ascii="Arial" w:cs="Arial" w:eastAsia="Arial" w:hAnsi="Arial"/>
                <w:sz w:val="18"/>
                <w:szCs w:val="18"/>
                <w:color w:val="auto"/>
              </w:rPr>
              <w:t>Operating right of use asset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7,792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7,768</w:t>
            </w: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Financing right of use asset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8000" w:type="dxa"/>
            <w:vAlign w:val="bottom"/>
            <w:gridSpan w:val="4"/>
          </w:tcPr>
          <w:p>
            <w:pPr>
              <w:ind w:left="18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16"/>
        </w:trPr>
        <w:tc>
          <w:tcPr>
            <w:tcW w:w="8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Deferred income tax assets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16"/>
        </w:trPr>
        <w:tc>
          <w:tcPr>
            <w:tcW w:w="8000" w:type="dxa"/>
            <w:vAlign w:val="bottom"/>
            <w:gridSpan w:val="4"/>
          </w:tcPr>
          <w:p>
            <w:pPr>
              <w:ind w:left="180"/>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497,787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466,825</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gridSpan w:val="4"/>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-4488180</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-4497070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bookmarkStart w:id="2" w:name="page3"/>
    <w:bookmarkEnd w:id="2"/>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notes payable and long-term debt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44,292</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33,371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56,134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Bank acceptance payable</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13,366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lease liability - operating</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lease liability - financing</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132,318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91,355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and long-term debt, less current portion</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14,564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Convertible senior notes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77,646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77,041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lease liability - operating</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Non-current lease liability - financing</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232,621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193,031</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Preferred Stock; 5,000 shares authorized at $0.001 par value; no shares issued and outstanding at</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2020 and December 31, 2019, respectively</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6"/>
              </w:rPr>
              <w:t>Common Stock; 45,000 shares authorized at $0.001 par value; 22,887 and 20,140 shares issued and</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outstanding at September 30, 2020 and December 31, 2019, respectively</w:t>
            </w:r>
          </w:p>
        </w:tc>
        <w:tc>
          <w:tcPr>
            <w:tcW w:w="4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335,035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303,401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other comprehensive (loss) and income</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5,178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(75,070)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(30,057)</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265,166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273,794</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497,787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466,825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9"/>
              </w:rPr>
              <w:t>Three months ended September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76,608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46,084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182,298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142,214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57,418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34,108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143,034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107,349</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19,190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11,976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34,865</w:t>
            </w:r>
          </w:p>
        </w:tc>
      </w:tr>
      <w:tr>
        <w:trPr>
          <w:trHeight w:val="209"/>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11,206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32,567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32,802</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4,491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2,518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10,858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7,444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10,272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31,312</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25,969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22,972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74,945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71,558</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(6,779)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(10,996)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(36,693)</w:t>
            </w:r>
          </w:p>
        </w:tc>
      </w:tr>
      <w:tr>
        <w:trPr>
          <w:trHeight w:val="210"/>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(1,480)</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(1,517)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(4,424)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(4,003)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(2,108)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(1,532)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(7,367)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(38,225)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(2,249)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1,940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(7,224)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7,605</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(30,620)</w:t>
            </w:r>
          </w:p>
        </w:tc>
      </w:tr>
      <w:tr>
        <w:trPr>
          <w:trHeight w:val="196"/>
        </w:trPr>
        <w:tc>
          <w:tcPr>
            <w:tcW w:w="598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Net loss per share</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22,744,361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20,022,520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21,275,778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19,939,605</w:t>
            </w: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22,744,361</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20,022,520</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21,275,778</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19,939,605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p>
      <w:pPr>
        <w:ind w:left="6000"/>
        <w:spacing w:after="0"/>
        <w:tabs>
          <w:tab w:leader="none" w:pos="8720" w:val="left"/>
        </w:tabs>
        <w:rPr>
          <w:sz w:val="20"/>
          <w:szCs w:val="20"/>
          <w:color w:val="auto"/>
        </w:rPr>
      </w:pPr>
      <w:r>
        <w:rPr>
          <w:rFonts w:ascii="Arial" w:cs="Arial" w:eastAsia="Arial" w:hAnsi="Arial"/>
          <w:sz w:val="18"/>
          <w:szCs w:val="18"/>
          <w:b w:val="1"/>
          <w:bCs w:val="1"/>
          <w:color w:val="auto"/>
        </w:rPr>
        <w:t>Three months ended September</w:t>
      </w:r>
      <w:r>
        <w:rPr>
          <w:sz w:val="20"/>
          <w:szCs w:val="20"/>
          <w:color w:val="auto"/>
        </w:rPr>
        <w:tab/>
      </w:r>
      <w:r>
        <w:rPr>
          <w:rFonts w:ascii="Arial" w:cs="Arial" w:eastAsia="Arial" w:hAnsi="Arial"/>
          <w:sz w:val="16"/>
          <w:szCs w:val="16"/>
          <w:b w:val="1"/>
          <w:bCs w:val="1"/>
          <w:color w:val="auto"/>
        </w:rPr>
        <w:t>Nine months ended September</w:t>
      </w:r>
    </w:p>
    <w:p>
      <w:pPr>
        <w:sectPr>
          <w:pgSz w:w="11900" w:h="16891" w:orient="portrait"/>
          <w:cols w:equalWidth="0" w:num="1">
            <w:col w:w="11240"/>
          </w:cols>
          <w:pgMar w:left="320" w:top="140" w:right="339" w:bottom="0" w:gutter="0" w:footer="0" w:header="0"/>
        </w:sectPr>
      </w:pPr>
    </w:p>
    <w:bookmarkStart w:id="3" w:name="page4"/>
    <w:bookmarkEnd w:id="3"/>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(30,620)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(Gain) loss on foreign currency translation adjustment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5,696</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4,748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(4,434)</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(35,054)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STOCKHOLDERS’ EQUITY Three and Nine Months ended September 30, 2020 and 2019 (Unaudited,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ind w:left="2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860" w:type="dxa"/>
            <w:vAlign w:val="bottom"/>
            <w:gridSpan w:val="3"/>
          </w:tcPr>
          <w:p>
            <w:pPr>
              <w:ind w:left="80"/>
              <w:spacing w:after="0" w:line="182" w:lineRule="exact"/>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5"/>
          </w:tcPr>
          <w:p>
            <w:pPr>
              <w:jc w:val="center"/>
              <w:ind w:right="200"/>
              <w:spacing w:after="0" w:line="182" w:lineRule="exact"/>
              <w:rPr>
                <w:sz w:val="20"/>
                <w:szCs w:val="20"/>
                <w:color w:val="auto"/>
              </w:rPr>
            </w:pPr>
            <w:r>
              <w:rPr>
                <w:rFonts w:ascii="Arial" w:cs="Arial" w:eastAsia="Arial" w:hAnsi="Arial"/>
                <w:sz w:val="16"/>
                <w:szCs w:val="16"/>
                <w:b w:val="1"/>
                <w:bCs w:val="1"/>
                <w:color w:val="auto"/>
                <w:w w:val="88"/>
              </w:rPr>
              <w:t>comprehensive</w:t>
            </w:r>
          </w:p>
        </w:tc>
        <w:tc>
          <w:tcPr>
            <w:tcW w:w="112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5"/>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2"/>
              </w:rPr>
              <w:t>of 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capital</w:t>
            </w:r>
          </w:p>
        </w:tc>
        <w:tc>
          <w:tcPr>
            <w:tcW w:w="22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87"/>
              </w:rPr>
              <w:t>gain (loss)</w:t>
            </w:r>
          </w:p>
        </w:tc>
        <w:tc>
          <w:tcPr>
            <w:tcW w:w="20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June 30, 2020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21,940</w:t>
            </w: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323,405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(65,454)</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257,455</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8,703</w:t>
            </w:r>
          </w:p>
        </w:tc>
        <w:tc>
          <w:tcPr>
            <w:tcW w:w="0" w:type="dxa"/>
            <w:vAlign w:val="bottom"/>
          </w:tcPr>
          <w:p>
            <w:pPr>
              <w:spacing w:after="0"/>
              <w:rPr>
                <w:sz w:val="1"/>
                <w:szCs w:val="1"/>
                <w:color w:val="auto"/>
              </w:rPr>
            </w:pPr>
          </w:p>
        </w:tc>
      </w:tr>
      <w:tr>
        <w:trPr>
          <w:trHeight w:val="19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net of shares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(348)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5,696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5,696</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(9,616)</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(9,616)</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Pr>
          <w:p>
            <w:pPr>
              <w:spacing w:after="0"/>
              <w:rPr>
                <w:sz w:val="20"/>
                <w:szCs w:val="20"/>
                <w:color w:val="auto"/>
              </w:rPr>
            </w:pPr>
            <w:r>
              <w:rPr>
                <w:rFonts w:ascii="Arial" w:cs="Arial" w:eastAsia="Arial" w:hAnsi="Arial"/>
                <w:sz w:val="16"/>
                <w:szCs w:val="16"/>
                <w:color w:val="auto"/>
              </w:rPr>
              <w:t>September 30, 2020</w:t>
            </w: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22,887</w:t>
            </w:r>
          </w:p>
        </w:tc>
        <w:tc>
          <w:tcPr>
            <w:tcW w:w="140" w:type="dxa"/>
            <w:vAlign w:val="bottom"/>
          </w:tcPr>
          <w:p>
            <w:pPr>
              <w:spacing w:after="0"/>
              <w:rPr>
                <w:sz w:val="17"/>
                <w:szCs w:val="17"/>
                <w:color w:val="auto"/>
              </w:rPr>
            </w:pPr>
          </w:p>
        </w:tc>
        <w:tc>
          <w:tcPr>
            <w:tcW w:w="2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4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23</w:t>
            </w:r>
          </w:p>
        </w:tc>
        <w:tc>
          <w:tcPr>
            <w:tcW w:w="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335,035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(75,070)</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265,166</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w w:val="92"/>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vMerge w:val="restart"/>
          </w:tcPr>
          <w:p>
            <w:pPr>
              <w:jc w:val="center"/>
              <w:ind w:left="239"/>
              <w:spacing w:after="0"/>
              <w:rPr>
                <w:sz w:val="20"/>
                <w:szCs w:val="20"/>
                <w:color w:val="auto"/>
              </w:rPr>
            </w:pPr>
            <w:r>
              <w:rPr>
                <w:rFonts w:ascii="Arial" w:cs="Arial" w:eastAsia="Arial" w:hAnsi="Arial"/>
                <w:sz w:val="16"/>
                <w:szCs w:val="16"/>
                <w:b w:val="1"/>
                <w:bCs w:val="1"/>
                <w:color w:val="auto"/>
                <w:w w:val="91"/>
              </w:rPr>
              <w:t>Common Stock</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80"/>
              <w:spacing w:after="0" w:line="182" w:lineRule="exact"/>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ind w:left="60"/>
              <w:spacing w:after="0" w:line="182"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5"/>
          </w:tcPr>
          <w:p>
            <w:pPr>
              <w:ind w:left="140"/>
              <w:spacing w:after="0" w:line="182" w:lineRule="exact"/>
              <w:rPr>
                <w:sz w:val="20"/>
                <w:szCs w:val="20"/>
                <w:color w:val="auto"/>
              </w:rPr>
            </w:pPr>
            <w:r>
              <w:rPr>
                <w:rFonts w:ascii="Arial" w:cs="Arial" w:eastAsia="Arial" w:hAnsi="Arial"/>
                <w:sz w:val="16"/>
                <w:szCs w:val="16"/>
                <w:b w:val="1"/>
                <w:bCs w:val="1"/>
                <w:color w:val="auto"/>
                <w:w w:val="91"/>
              </w:rPr>
              <w:t>comprehensive</w:t>
            </w:r>
          </w:p>
        </w:tc>
        <w:tc>
          <w:tcPr>
            <w:tcW w:w="140" w:type="dxa"/>
            <w:vAlign w:val="bottom"/>
          </w:tcPr>
          <w:p>
            <w:pPr>
              <w:spacing w:after="0"/>
              <w:rPr>
                <w:sz w:val="15"/>
                <w:szCs w:val="15"/>
                <w:color w:val="auto"/>
              </w:rPr>
            </w:pPr>
          </w:p>
        </w:tc>
        <w:tc>
          <w:tcPr>
            <w:tcW w:w="980" w:type="dxa"/>
            <w:vAlign w:val="bottom"/>
            <w:gridSpan w:val="3"/>
          </w:tcPr>
          <w:p>
            <w:pPr>
              <w:ind w:left="80"/>
              <w:spacing w:after="0" w:line="182" w:lineRule="exact"/>
              <w:rPr>
                <w:sz w:val="20"/>
                <w:szCs w:val="20"/>
                <w:color w:val="auto"/>
              </w:rPr>
            </w:pPr>
            <w:r>
              <w:rPr>
                <w:rFonts w:ascii="Arial" w:cs="Arial" w:eastAsia="Arial" w:hAnsi="Arial"/>
                <w:sz w:val="16"/>
                <w:szCs w:val="16"/>
                <w:b w:val="1"/>
                <w:bCs w:val="1"/>
                <w:color w:val="auto"/>
              </w:rPr>
              <w:t>Retained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2"/>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5"/>
              </w:rPr>
              <w:t>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7"/>
              </w:rPr>
              <w:t>gain (loss)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June 30, 2019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19,951</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297,922</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(379)</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14,152</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311,715</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Arial" w:cs="Arial" w:eastAsia="Arial" w:hAnsi="Arial"/>
                <w:sz w:val="16"/>
                <w:szCs w:val="16"/>
                <w:color w:val="auto"/>
              </w:rPr>
              <w:t>Stock options exercised,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2,978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2,978</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(3,453)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(8,780)</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(8,780)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September 30, 2019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20,061</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300,725</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(3,832)</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5,372</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302,285</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5"/>
          </w:tcPr>
          <w:p>
            <w:pPr>
              <w:ind w:left="20"/>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9"/>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860" w:type="dxa"/>
            <w:vAlign w:val="bottom"/>
            <w:gridSpan w:val="3"/>
          </w:tcPr>
          <w:p>
            <w:pPr>
              <w:ind w:left="80"/>
              <w:spacing w:after="0" w:line="182" w:lineRule="exact"/>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5"/>
          </w:tcPr>
          <w:p>
            <w:pPr>
              <w:jc w:val="center"/>
              <w:ind w:right="200"/>
              <w:spacing w:after="0" w:line="182" w:lineRule="exact"/>
              <w:rPr>
                <w:sz w:val="20"/>
                <w:szCs w:val="20"/>
                <w:color w:val="auto"/>
              </w:rPr>
            </w:pPr>
            <w:r>
              <w:rPr>
                <w:rFonts w:ascii="Arial" w:cs="Arial" w:eastAsia="Arial" w:hAnsi="Arial"/>
                <w:sz w:val="16"/>
                <w:szCs w:val="16"/>
                <w:b w:val="1"/>
                <w:bCs w:val="1"/>
                <w:color w:val="auto"/>
                <w:w w:val="88"/>
              </w:rPr>
              <w:t>comprehensive</w:t>
            </w:r>
          </w:p>
        </w:tc>
        <w:tc>
          <w:tcPr>
            <w:tcW w:w="1120" w:type="dxa"/>
            <w:vAlign w:val="bottom"/>
            <w:gridSpan w:val="4"/>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5"/>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2"/>
              </w:rPr>
              <w:t>of 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Amount</w:t>
            </w:r>
          </w:p>
        </w:tc>
        <w:tc>
          <w:tcPr>
            <w:tcW w:w="22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capital</w:t>
            </w:r>
          </w:p>
        </w:tc>
        <w:tc>
          <w:tcPr>
            <w:tcW w:w="22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w w:val="87"/>
              </w:rPr>
              <w:t>gain (loss)</w:t>
            </w:r>
          </w:p>
        </w:tc>
        <w:tc>
          <w:tcPr>
            <w:tcW w:w="200" w:type="dxa"/>
            <w:vAlign w:val="bottom"/>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deficit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January 1, 2020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20,140</w:t>
            </w:r>
          </w:p>
        </w:tc>
        <w:tc>
          <w:tcPr>
            <w:tcW w:w="140" w:type="dxa"/>
            <w:vAlign w:val="bottom"/>
            <w:shd w:val="clear" w:color="auto" w:fill="CCEEFF"/>
          </w:tcPr>
          <w:p>
            <w:pPr>
              <w:spacing w:after="0"/>
              <w:rPr>
                <w:sz w:val="17"/>
                <w:szCs w:val="17"/>
                <w:color w:val="auto"/>
              </w:rPr>
            </w:pPr>
          </w:p>
        </w:tc>
        <w:tc>
          <w:tcPr>
            <w:tcW w:w="2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303,401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(30,057)</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273,794</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Public offering of common stock, net</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2,362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22,629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22,631</w:t>
            </w:r>
          </w:p>
        </w:tc>
        <w:tc>
          <w:tcPr>
            <w:tcW w:w="0" w:type="dxa"/>
            <w:vAlign w:val="bottom"/>
          </w:tcPr>
          <w:p>
            <w:pPr>
              <w:spacing w:after="0"/>
              <w:rPr>
                <w:sz w:val="1"/>
                <w:szCs w:val="1"/>
                <w:color w:val="auto"/>
              </w:rPr>
            </w:pPr>
          </w:p>
        </w:tc>
      </w:tr>
      <w:tr>
        <w:trPr>
          <w:trHeight w:val="19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Stock options exercised, net of shares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(813)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05"/>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9,804</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tcPr>
          <w:p>
            <w:pPr>
              <w:spacing w:after="0"/>
              <w:rPr>
                <w:sz w:val="17"/>
                <w:szCs w:val="17"/>
                <w:color w:val="auto"/>
              </w:rPr>
            </w:pPr>
          </w:p>
        </w:tc>
        <w:tc>
          <w:tcPr>
            <w:tcW w:w="7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4,748</w:t>
            </w:r>
          </w:p>
        </w:tc>
        <w:tc>
          <w:tcPr>
            <w:tcW w:w="0" w:type="dxa"/>
            <w:vAlign w:val="bottom"/>
          </w:tcPr>
          <w:p>
            <w:pPr>
              <w:spacing w:after="0"/>
              <w:rPr>
                <w:sz w:val="1"/>
                <w:szCs w:val="1"/>
                <w:color w:val="auto"/>
              </w:rPr>
            </w:pPr>
          </w:p>
        </w:tc>
      </w:tr>
      <w:tr>
        <w:trPr>
          <w:trHeight w:val="203"/>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660" w:type="dxa"/>
            <w:vAlign w:val="bottom"/>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jc w:val="right"/>
              <w:ind w:right="22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(45,013)</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(45,013)</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September 30, 2020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22,887</w:t>
            </w:r>
          </w:p>
        </w:tc>
        <w:tc>
          <w:tcPr>
            <w:tcW w:w="14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335,035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(75,070)</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265,166</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vMerge w:val="restart"/>
          </w:tcPr>
          <w:p>
            <w:pPr>
              <w:ind w:left="320"/>
              <w:spacing w:after="0"/>
              <w:rPr>
                <w:sz w:val="20"/>
                <w:szCs w:val="20"/>
                <w:color w:val="auto"/>
              </w:rPr>
            </w:pPr>
            <w:r>
              <w:rPr>
                <w:rFonts w:ascii="Arial" w:cs="Arial" w:eastAsia="Arial" w:hAnsi="Arial"/>
                <w:sz w:val="16"/>
                <w:szCs w:val="16"/>
                <w:b w:val="1"/>
                <w:bCs w:val="1"/>
                <w:color w:val="auto"/>
                <w:w w:val="92"/>
              </w:rPr>
              <w:t>Preferred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vMerge w:val="restart"/>
          </w:tcPr>
          <w:p>
            <w:pPr>
              <w:jc w:val="center"/>
              <w:ind w:left="239"/>
              <w:spacing w:after="0"/>
              <w:rPr>
                <w:sz w:val="20"/>
                <w:szCs w:val="20"/>
                <w:color w:val="auto"/>
              </w:rPr>
            </w:pPr>
            <w:r>
              <w:rPr>
                <w:rFonts w:ascii="Arial" w:cs="Arial" w:eastAsia="Arial" w:hAnsi="Arial"/>
                <w:sz w:val="16"/>
                <w:szCs w:val="16"/>
                <w:b w:val="1"/>
                <w:bCs w:val="1"/>
                <w:color w:val="auto"/>
                <w:w w:val="91"/>
              </w:rPr>
              <w:t>Common Stock</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Arial" w:cs="Arial" w:eastAsia="Arial" w:hAnsi="Arial"/>
                <w:sz w:val="16"/>
                <w:szCs w:val="16"/>
                <w:b w:val="1"/>
                <w:bCs w:val="1"/>
                <w:color w:val="auto"/>
              </w:rPr>
              <w:t>Additional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80"/>
              <w:spacing w:after="0" w:line="182" w:lineRule="exact"/>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100"/>
              <w:spacing w:after="0" w:line="182" w:lineRule="exact"/>
              <w:rPr>
                <w:sz w:val="20"/>
                <w:szCs w:val="20"/>
                <w:color w:val="auto"/>
              </w:rPr>
            </w:pPr>
            <w:r>
              <w:rPr>
                <w:rFonts w:ascii="Arial" w:cs="Arial" w:eastAsia="Arial" w:hAnsi="Arial"/>
                <w:sz w:val="16"/>
                <w:szCs w:val="16"/>
                <w:b w:val="1"/>
                <w:bCs w:val="1"/>
                <w:color w:val="auto"/>
              </w:rPr>
              <w:t>Number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ind w:left="60"/>
              <w:spacing w:after="0" w:line="182" w:lineRule="exact"/>
              <w:rPr>
                <w:sz w:val="20"/>
                <w:szCs w:val="20"/>
                <w:color w:val="auto"/>
              </w:rPr>
            </w:pPr>
            <w:r>
              <w:rPr>
                <w:rFonts w:ascii="Arial" w:cs="Arial" w:eastAsia="Arial" w:hAnsi="Arial"/>
                <w:sz w:val="16"/>
                <w:szCs w:val="16"/>
                <w:b w:val="1"/>
                <w:bCs w:val="1"/>
                <w:color w:val="auto"/>
              </w:rPr>
              <w:t>paid-in</w:t>
            </w:r>
          </w:p>
        </w:tc>
        <w:tc>
          <w:tcPr>
            <w:tcW w:w="1240" w:type="dxa"/>
            <w:vAlign w:val="bottom"/>
            <w:gridSpan w:val="5"/>
          </w:tcPr>
          <w:p>
            <w:pPr>
              <w:ind w:left="140"/>
              <w:spacing w:after="0" w:line="182" w:lineRule="exact"/>
              <w:rPr>
                <w:sz w:val="20"/>
                <w:szCs w:val="20"/>
                <w:color w:val="auto"/>
              </w:rPr>
            </w:pPr>
            <w:r>
              <w:rPr>
                <w:rFonts w:ascii="Arial" w:cs="Arial" w:eastAsia="Arial" w:hAnsi="Arial"/>
                <w:sz w:val="16"/>
                <w:szCs w:val="16"/>
                <w:b w:val="1"/>
                <w:bCs w:val="1"/>
                <w:color w:val="auto"/>
                <w:w w:val="91"/>
              </w:rPr>
              <w:t>comprehensive</w:t>
            </w:r>
          </w:p>
        </w:tc>
        <w:tc>
          <w:tcPr>
            <w:tcW w:w="140" w:type="dxa"/>
            <w:vAlign w:val="bottom"/>
          </w:tcPr>
          <w:p>
            <w:pPr>
              <w:spacing w:after="0"/>
              <w:rPr>
                <w:sz w:val="15"/>
                <w:szCs w:val="15"/>
                <w:color w:val="auto"/>
              </w:rPr>
            </w:pPr>
          </w:p>
        </w:tc>
        <w:tc>
          <w:tcPr>
            <w:tcW w:w="980" w:type="dxa"/>
            <w:vAlign w:val="bottom"/>
            <w:gridSpan w:val="3"/>
          </w:tcPr>
          <w:p>
            <w:pPr>
              <w:ind w:left="80"/>
              <w:spacing w:after="0" w:line="182" w:lineRule="exact"/>
              <w:rPr>
                <w:sz w:val="20"/>
                <w:szCs w:val="20"/>
                <w:color w:val="auto"/>
              </w:rPr>
            </w:pPr>
            <w:r>
              <w:rPr>
                <w:rFonts w:ascii="Arial" w:cs="Arial" w:eastAsia="Arial" w:hAnsi="Arial"/>
                <w:sz w:val="16"/>
                <w:szCs w:val="16"/>
                <w:b w:val="1"/>
                <w:bCs w:val="1"/>
                <w:color w:val="auto"/>
              </w:rPr>
              <w:t>Retained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2"/>
              </w:rPr>
              <w:t>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5"/>
              </w:rPr>
              <w:t>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7"/>
              </w:rPr>
              <w:t>gain (loss)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January 1, 2019</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19,810</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292,480</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35,992</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329,094</w:t>
            </w:r>
          </w:p>
        </w:tc>
        <w:tc>
          <w:tcPr>
            <w:tcW w:w="0" w:type="dxa"/>
            <w:vAlign w:val="bottom"/>
          </w:tcPr>
          <w:p>
            <w:pPr>
              <w:spacing w:after="0"/>
              <w:rPr>
                <w:sz w:val="1"/>
                <w:szCs w:val="1"/>
                <w:color w:val="auto"/>
              </w:rPr>
            </w:pPr>
          </w:p>
        </w:tc>
      </w:tr>
      <w:tr>
        <w:trPr>
          <w:trHeight w:val="193"/>
        </w:trPr>
        <w:tc>
          <w:tcPr>
            <w:tcW w:w="2940" w:type="dxa"/>
            <w:vAlign w:val="bottom"/>
          </w:tcPr>
          <w:p>
            <w:pPr>
              <w:spacing w:after="0"/>
              <w:rPr>
                <w:sz w:val="20"/>
                <w:szCs w:val="20"/>
                <w:color w:val="auto"/>
              </w:rPr>
            </w:pPr>
            <w:r>
              <w:rPr>
                <w:rFonts w:ascii="Arial" w:cs="Arial" w:eastAsia="Arial" w:hAnsi="Arial"/>
                <w:sz w:val="16"/>
                <w:szCs w:val="16"/>
                <w:color w:val="auto"/>
              </w:rPr>
              <w:t>Stock options exercised, net of shares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tcPr>
          <w:p>
            <w:pPr>
              <w:spacing w:after="0"/>
              <w:rPr>
                <w:sz w:val="18"/>
                <w:szCs w:val="18"/>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w w:val="98"/>
              </w:rPr>
              <w:t>Issuance of restricted stock, net of shares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withheld for employee tax</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8,939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8,939</w:t>
            </w:r>
          </w:p>
        </w:tc>
        <w:tc>
          <w:tcPr>
            <w:tcW w:w="0" w:type="dxa"/>
            <w:vAlign w:val="bottom"/>
          </w:tcPr>
          <w:p>
            <w:pPr>
              <w:spacing w:after="0"/>
              <w:rPr>
                <w:sz w:val="1"/>
                <w:szCs w:val="1"/>
                <w:color w:val="auto"/>
              </w:rPr>
            </w:pPr>
          </w:p>
        </w:tc>
      </w:tr>
      <w:tr>
        <w:trPr>
          <w:trHeight w:val="202"/>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(4,434)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(4,434)</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760" w:type="dxa"/>
            <w:vAlign w:val="bottom"/>
            <w:gridSpan w:val="2"/>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(30,620)</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(30,620)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6"/>
                <w:szCs w:val="16"/>
                <w:color w:val="auto"/>
              </w:rPr>
              <w:t>September 30, 2019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w w:val="87"/>
              </w:rPr>
              <w:t>—</w:t>
            </w: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20,061</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300,725</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(3,832)</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5,372</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302,285</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58" w:orient="portrait"/>
          <w:cols w:equalWidth="0" w:num="1">
            <w:col w:w="11240"/>
          </w:cols>
          <w:pgMar w:left="320" w:top="121" w:right="3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58" w:orient="portrait"/>
          <w:cols w:equalWidth="0" w:num="1">
            <w:col w:w="11240"/>
          </w:cols>
          <w:pgMar w:left="320" w:top="121" w:right="339"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6"/>
              </w:rPr>
              <w:t>Nine months ended September 30,</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(45,013)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(30,620)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Lower of cost or market reserve adjustment to inventory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6,615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18,350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Loss on disposal of assets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Unrealized foreign exchange gain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receivable, trade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(16,799)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Prepaid income tax</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(27,303)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5,577</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right of use asset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23,306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(1,836)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Lease liability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(777)</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(29,905)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Investing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(12,132)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(25,982)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disposal of equipment</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 and prepaid for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(497)</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(15,075)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(26,997)</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notes payable and long-term debt, net of debt issuance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Principal payments of long-term debt and notes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(4,066)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(42,272)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line of credit borrowings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73,700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59,296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Repayments of line of credit borrowings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(67,430)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(66,299)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bank acceptance payable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26,341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Repayments of bank acceptance payable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(19,598)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(8,682)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convertible senior notes, net of debt issuance costs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76,362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Principal payments of financing lease</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Payments of tax withholding on behalf of employees related to share-based compensation</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(702)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common stock offering, net</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22,632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36,978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39,586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(8,960)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14,372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67,028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58,068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72,376</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paid (received) for: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net of amounts capitalized</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change in accounts payable related to property and equipment additions</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(4,626)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deposits and prepaid for equipment related to property and equipment additions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Applied Optoelectronics, Inc. and Subsidiaries 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ectPr>
          <w:pgSz w:w="11900" w:h="16838" w:orient="portrait"/>
          <w:cols w:equalWidth="0" w:num="1">
            <w:col w:w="11240"/>
          </w:cols>
          <w:pgMar w:left="320" w:top="341" w:right="339" w:bottom="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Applied Optoelectronics, Inc. (“AOI” or the “Company”) is a Delaware corporation. The Company is a leading, vertically integrated provider of fiber-optic networking products, primarily for four networking end-markets: internet data center,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spacing w:after="0" w:line="18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The Company has manufacturing and research and development facilities located in the U.S., Taiwan and China. In the U.S., at its corporate headquarters and manufacturing facilities in Sugar Land, Texas, the Company primarily manufactures lasers and laser components and performs research and development activities for laser component and optical module products. In addition, the Company also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transceivers and performs research and development activities for the transceiver products. Prime World is also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the CATV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unaudited condensed consolidated financial statements of the Company as of September 30, 2020 and December 31, 2019 and for the three and nine months ended September 30, 2020 and September 30, 2019, have been prepared in accordance with accounting principles generally accepted in the United States of America (“GAAP”) for interim information and with the instructions on Form 10-Q and Rule 10-01 of Regulation S-X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10-K (“Annual Report”) for the fiscal year ended December 31, 2019. The results of operations for the three and nine months ended September 30, 2020 are not necessarily indicative of the results expected for the entire fiscal year. All significant inter-company accounts and transactions have been eliminated.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credit losses, inventory reserve, product warranty costs, share-based compensation expense, estimated useful lives of property and equipment, and taxes.</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There have been no changes in the Company’s significant accounting policies for the three and nine months ended September 30, 2020, as compared to the significant accounting policies described in its 2019 Annual Report, except as described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 in 2020</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Measurement of Credit Losses on Financial Instruments, which changes the way entities measure credit losses for most financial assets and certain other instruments that are not measured at fair value through net earnings. The Company adopted this ASU as of January 1, 2020. The adoption of the new standard did not have a material impact on the Company's condensed consolidated financial statements as current processes for estimating expected credit losses for trade receivables align with the expected credit loss model. The Company estimates its allowance for credit losses based on historical collection trends, the age of outstanding receivables, geographical location of the customer, existing economic conditions and reasonable forecasts. If events or changes in circumstances indicate that specific receivable balances may be impaired, further consideration is given to the collectability of those balances and the allowance is adjusted accordingly.</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March 2020, the FASB issued ASU 2020-03, “Codification Improvements to Financial Instruments”, which improves and clarifies various financial instruments topics. This ASU includes seven different issues that describe the areas of improvement and the related amendments to GAAP, and is intended to make the standards easier to understand and apply by eliminating inconsistencies and providing clarifications. The Company adopted ASU 2020-03 upon issuance, which did not have a material effect on the Company’s current financial position, results of operations or financial statement disclosures.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Yet to be Adopted</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w:t>
      </w:r>
      <w:r>
        <w:rPr>
          <w:rFonts w:ascii="Arial" w:cs="Arial" w:eastAsia="Arial" w:hAnsi="Arial"/>
          <w:sz w:val="18"/>
          <w:szCs w:val="18"/>
          <w:i w:val="1"/>
          <w:iCs w:val="1"/>
          <w:color w:val="auto"/>
        </w:rPr>
        <w:t>.</w:t>
      </w:r>
      <w:r>
        <w:rPr>
          <w:rFonts w:ascii="Arial" w:cs="Arial" w:eastAsia="Arial" w:hAnsi="Arial"/>
          <w:sz w:val="18"/>
          <w:szCs w:val="18"/>
          <w:color w:val="auto"/>
        </w:rPr>
        <w:t xml:space="preserve"> The Accounting Standards Codification (“ASC”) aims to identify, evaluate, and improve areas of GAAP for which cost and complexity can be reduced while maintaining or improving the usefulness of the information provided to users of financial statements. The Company is currently assessing the impact of this pronouncement to the financial statements.</w:t>
      </w:r>
    </w:p>
    <w:p>
      <w:pPr>
        <w:spacing w:after="0" w:line="187"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which provides temporary optional expedients and exceptions to the GAAP guidance on contract modifications and hedge accounting to ease the financial reporting burdens related to the expected market transition from the London Interbank Offered Rate (“LIBOR”) and other interbank offered rates to alternative reference rates. This ASU is effective beginning on March 12, 2020, and the Company may elect to apply the amendments prospectively through December 31, 2022. The Company is currently assessing the impact of this pronouncement to the financial statements.</w:t>
      </w:r>
    </w:p>
    <w:p>
      <w:pPr>
        <w:spacing w:after="0" w:line="16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August 2020, the FASB issued ASU 2020-06, “Debt - Debt with Conversion and Other Options (Subtopic 470-20)” and “Derivatives and Hedging - Contracts in Entities Own Equity” (Subtopic 815-40). This ASU simplifies accounting for convertible instruments by eliminating two of the three models in ASC 470-20 that requires separating embedded conversion features from convertible instruments. The guidance is effective for fiscal years beginning after December 15, 2021. The Company is currently assessing the impact of this pronouncement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 is classified based on the location where the product is manufactured. For additional information on the disaggregated revenues by geographical region, see Note 17, "Geographic Information.”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also classified by major product category and is presented below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b w:val="1"/>
                <w:bCs w:val="1"/>
                <w:color w:val="auto"/>
                <w:w w:val="88"/>
              </w:rPr>
              <w:t>Three months ended September 30,</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r>
      <w:tr>
        <w:trPr>
          <w:trHeight w:val="20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55,336</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CATV</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11,642</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8,797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8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76,608</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46,084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w w:val="90"/>
              </w:rPr>
              <w:t>Nine months ended September 30,</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60" w:type="dxa"/>
            <w:vAlign w:val="bottom"/>
          </w:tcPr>
          <w:p>
            <w:pPr>
              <w:spacing w:after="0"/>
              <w:rPr>
                <w:sz w:val="16"/>
                <w:szCs w:val="16"/>
                <w:color w:val="auto"/>
              </w:rPr>
            </w:pPr>
          </w:p>
        </w:tc>
      </w:tr>
      <w:tr>
        <w:trPr>
          <w:trHeight w:val="234"/>
        </w:trPr>
        <w:tc>
          <w:tcPr>
            <w:tcW w:w="3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r>
      <w:tr>
        <w:trPr>
          <w:trHeight w:val="20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141,133</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104,311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CATV</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22,007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30,577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Telecom</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6,236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FTTH</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3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8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182,298</w:t>
            </w: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142,214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leases space under non-cancellable operating leases for manufacturing facilities, research and development offices and certain storage facilities and apartments. These leases do not contain contingent rent provisions. The Company also leases certain machinery, office equipment and a vehicle.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included or excluded from the calculation of the lease liability of the right of use ("ROU") asset based on management’s intentions and individual fact patterns. Several warehouses and apartments have non-cancellable lease terms of less than one-year and therefore, the Company has elected the practical expedient to exclude these short-term leases from its ROU asset and lease liabilities.</w:t>
      </w:r>
    </w:p>
    <w:p>
      <w:pPr>
        <w:spacing w:after="0" w:line="178"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900" w:type="dxa"/>
            <w:vAlign w:val="bottom"/>
            <w:gridSpan w:val="6"/>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740" w:type="dxa"/>
            <w:vAlign w:val="bottom"/>
            <w:gridSpan w:val="6"/>
          </w:tcPr>
          <w:p>
            <w:pPr>
              <w:ind w:left="20"/>
              <w:spacing w:after="0"/>
              <w:rPr>
                <w:sz w:val="20"/>
                <w:szCs w:val="20"/>
                <w:color w:val="auto"/>
              </w:rPr>
            </w:pPr>
            <w:r>
              <w:rPr>
                <w:rFonts w:ascii="Arial" w:cs="Arial" w:eastAsia="Arial" w:hAnsi="Arial"/>
                <w:sz w:val="18"/>
                <w:szCs w:val="18"/>
                <w:b w:val="1"/>
                <w:bCs w:val="1"/>
                <w:color w:val="auto"/>
                <w:w w:val="91"/>
              </w:rPr>
              <w:t>Nine months ended September 30,</w:t>
            </w: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Financing lease expense</w:t>
            </w:r>
          </w:p>
        </w:tc>
        <w:tc>
          <w:tcPr>
            <w:tcW w:w="9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expense</w:t>
            </w: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3340" w:type="dxa"/>
            <w:vAlign w:val="bottom"/>
          </w:tcPr>
          <w:p>
            <w:pPr>
              <w:ind w:left="180"/>
              <w:spacing w:after="0"/>
              <w:rPr>
                <w:sz w:val="20"/>
                <w:szCs w:val="20"/>
                <w:color w:val="auto"/>
              </w:rPr>
            </w:pPr>
            <w:r>
              <w:rPr>
                <w:rFonts w:ascii="Arial" w:cs="Arial" w:eastAsia="Arial" w:hAnsi="Arial"/>
                <w:sz w:val="18"/>
                <w:szCs w:val="18"/>
                <w:color w:val="auto"/>
              </w:rPr>
              <w:t>Total lease expense</w:t>
            </w: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1,018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1,029</w:t>
            </w:r>
          </w:p>
        </w:tc>
        <w:tc>
          <w:tcPr>
            <w:tcW w:w="114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9"/>
        </w:trPr>
        <w:tc>
          <w:tcPr>
            <w:tcW w:w="11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3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are as follows for the future one-year periods ending September 30, 2020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Operating</w:t>
            </w: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Financing</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1,305</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1,225</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1,162</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2026 and thereafter</w:t>
            </w: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4,352</w:t>
            </w: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(1,531)</w:t>
            </w:r>
          </w:p>
        </w:tc>
        <w:tc>
          <w:tcPr>
            <w:tcW w:w="2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0"/>
        </w:trPr>
        <w:tc>
          <w:tcPr>
            <w:tcW w:w="6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lease term and discount rate for operating leases were as follows for the periods indicated:</w:t>
      </w:r>
    </w:p>
    <w:p>
      <w:pPr>
        <w:spacing w:after="0" w:line="221"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September 30,</w:t>
      </w:r>
    </w:p>
    <w:p>
      <w:pPr>
        <w:spacing w:after="0" w:line="27"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8"/>
                <w:szCs w:val="18"/>
                <w:color w:val="auto"/>
              </w:rPr>
            </w:pPr>
          </w:p>
        </w:tc>
      </w:tr>
      <w:tr>
        <w:trPr>
          <w:trHeight w:val="209"/>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 - operating leases</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8.41</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9.46</w:t>
            </w:r>
          </w:p>
        </w:tc>
      </w:tr>
      <w:tr>
        <w:trPr>
          <w:trHeight w:val="216"/>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 (Years) - financing leases</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3.08</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3.23%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30"/>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 - financing leases</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5.00%</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operating leases was as follows for the periods indicated (in thousands):</w:t>
      </w:r>
    </w:p>
    <w:p>
      <w:pPr>
        <w:spacing w:after="0" w:line="22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Nine months ended September 30,</w:t>
      </w:r>
    </w:p>
    <w:p>
      <w:pPr>
        <w:spacing w:after="0" w:line="27"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9"/>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983</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1,002</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financing lease</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Financing cash flows from financing lease</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Cash Equivalents and Restricted Cash</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46,772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59,977</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11,296</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7,051</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Total cash, cash equivalents and restricted cash shown in the statement of cash flows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67,028</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Restricted cash includes guarantee deposits for customs duties, China government subsidy fund, and compensating balances required for certain credit facilities. As of September 30, 2020 and December 31, 2019, there was $4.1 million and $1.9 million of restricted cash required for bank acceptance notes issued to vendors, respectively. In addition, there was $5.9 million and $4.2 million certificate of deposit associated with credit facilities with a bank in China as of September 30, 2020 and December 31, 2019 respectively.</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(Loss) Per Share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the basic and diluted net loss per share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89"/>
              </w:rPr>
              <w:t>Three months ended September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(9,616)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(8,780)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(45,013)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(30,620)</w:t>
            </w: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22,744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22,744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20,023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21,276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19,940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r>
    </w:tbl>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the diluted net loss per share as their effect would have been antidilutive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Three months ended September</w:t>
            </w: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4"/>
        </w:trPr>
        <w:tc>
          <w:tcPr>
            <w:tcW w:w="59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30,</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for convertible senior notes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4,587</w:t>
            </w:r>
          </w:p>
        </w:tc>
      </w:tr>
      <w:tr>
        <w:trPr>
          <w:trHeight w:val="20"/>
        </w:trPr>
        <w:tc>
          <w:tcPr>
            <w:tcW w:w="5980" w:type="dxa"/>
            <w:vAlign w:val="bottom"/>
            <w:shd w:val="clear" w:color="auto" w:fill="CCEEFF"/>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 antidilutive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4,751</w:t>
            </w:r>
          </w:p>
        </w:tc>
        <w:tc>
          <w:tcPr>
            <w:tcW w:w="2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4,622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4,623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4,637</w:t>
            </w: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net of inventory write-downs, consist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September 30, 2020</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December 31, 2019</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33,222</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15,570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Work in process and sub-assemblies</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58,515</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50,787</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18,671</w:t>
            </w:r>
          </w:p>
        </w:tc>
      </w:tr>
      <w:tr>
        <w:trPr>
          <w:trHeight w:val="20"/>
        </w:trPr>
        <w:tc>
          <w:tcPr>
            <w:tcW w:w="6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111,427</w:t>
            </w:r>
          </w:p>
        </w:tc>
        <w:tc>
          <w:tcPr>
            <w:tcW w:w="18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85,028</w:t>
            </w:r>
          </w:p>
        </w:tc>
      </w:tr>
      <w:tr>
        <w:trPr>
          <w:trHeight w:val="20"/>
        </w:trPr>
        <w:tc>
          <w:tcPr>
            <w:tcW w:w="6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The lower of cost or market adjustment expensed for inventory for the three months ended September 30, 2020 and 2019 was $0.4 million and $1.4 million, respectively. The lower of cost or market adjustment expensed for inventory for the nine months ended September 30, 2020 and 2019 was $3.3 million and $6.6 million, respectively.</w:t>
      </w:r>
    </w:p>
    <w:p>
      <w:pPr>
        <w:spacing w:after="0" w:line="184"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color w:val="auto"/>
        </w:rPr>
        <w:t>For the three months ended September 30, 2020 and 2019, the direct inventory write-offs related to scrap, discontinued products, and damaged inventories were $8.4 million and $3.1 million, respectively. For the nine months ended September 30, 2020 and 2019, the direct inventory write-offs related to scrap, discontinued products, and damaged inventories were $14.7 million and $8.4 million,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September 30, 2020</w:t>
            </w: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0"/>
              </w:rPr>
              <w:t>December 31, 2019</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4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86,524</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83,846</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244,976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237,464</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5,105</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Transportation equipment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658</w:t>
            </w:r>
          </w:p>
        </w:tc>
      </w:tr>
      <w:tr>
        <w:trPr>
          <w:trHeight w:val="20"/>
        </w:trPr>
        <w:tc>
          <w:tcPr>
            <w:tcW w:w="6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349,781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338,385</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4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(133,561)</w:t>
            </w: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(116,979)</w:t>
            </w:r>
          </w:p>
        </w:tc>
      </w:tr>
      <w:tr>
        <w:trPr>
          <w:trHeight w:val="20"/>
        </w:trPr>
        <w:tc>
          <w:tcPr>
            <w:tcW w:w="6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216,220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221,406</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4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32,419</w:t>
            </w: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25,937</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1,101</w:t>
            </w:r>
          </w:p>
        </w:tc>
      </w:tr>
      <w:tr>
        <w:trPr>
          <w:trHeight w:val="20"/>
        </w:trPr>
        <w:tc>
          <w:tcPr>
            <w:tcW w:w="6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color w:val="auto"/>
              </w:rPr>
              <w:t>Total property, plant and equipment, net</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249,740</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248,444</w:t>
            </w:r>
          </w:p>
        </w:tc>
      </w:tr>
      <w:tr>
        <w:trPr>
          <w:trHeight w:val="20"/>
        </w:trPr>
        <w:tc>
          <w:tcPr>
            <w:tcW w:w="6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three months ended September 30, 2020 and 2019, depreciation expense of property, plant and equipment was $6.1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$5.9 million, respectively. For the nine months ended September 30, 2020 and 2019, depreciation expense of property, plant and equipment was $17.9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$17.6 million, respectively. For the three and nine months ended September 30, 2020, the capitalized interest was $0.1 million and $0.3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11"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As of September 30, 2020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concluded that its continued loss history constitutes a triggering event as described in ASC </w:t>
      </w:r>
      <w:r>
        <w:rPr>
          <w:rFonts w:ascii="Arial" w:cs="Arial" w:eastAsia="Arial" w:hAnsi="Arial"/>
          <w:sz w:val="18"/>
          <w:szCs w:val="18"/>
          <w:i w:val="1"/>
          <w:iCs w:val="1"/>
          <w:color w:val="auto"/>
        </w:rPr>
        <w:t>360</w:t>
      </w:r>
      <w:r>
        <w:rPr>
          <w:rFonts w:ascii="Arial" w:cs="Arial" w:eastAsia="Arial" w:hAnsi="Arial"/>
          <w:sz w:val="18"/>
          <w:szCs w:val="18"/>
          <w:color w:val="auto"/>
        </w:rPr>
        <w:t>-</w:t>
      </w:r>
      <w:r>
        <w:rPr>
          <w:rFonts w:ascii="Arial" w:cs="Arial" w:eastAsia="Arial" w:hAnsi="Arial"/>
          <w:sz w:val="18"/>
          <w:szCs w:val="18"/>
          <w:i w:val="1"/>
          <w:iCs w:val="1"/>
          <w:color w:val="auto"/>
        </w:rPr>
        <w:t>10</w:t>
      </w:r>
      <w:r>
        <w:rPr>
          <w:rFonts w:ascii="Arial" w:cs="Arial" w:eastAsia="Arial" w:hAnsi="Arial"/>
          <w:sz w:val="18"/>
          <w:szCs w:val="18"/>
          <w:color w:val="auto"/>
        </w:rPr>
        <w:t>-</w:t>
      </w:r>
      <w:r>
        <w:rPr>
          <w:rFonts w:ascii="Arial" w:cs="Arial" w:eastAsia="Arial" w:hAnsi="Arial"/>
          <w:sz w:val="18"/>
          <w:szCs w:val="18"/>
          <w:i w:val="1"/>
          <w:iCs w:val="1"/>
          <w:color w:val="auto"/>
        </w:rPr>
        <w:t>35</w:t>
      </w:r>
      <w:r>
        <w:rPr>
          <w:rFonts w:ascii="Arial" w:cs="Arial" w:eastAsia="Arial" w:hAnsi="Arial"/>
          <w:sz w:val="18"/>
          <w:szCs w:val="18"/>
          <w:color w:val="auto"/>
        </w:rPr>
        <w:t>-</w:t>
      </w:r>
      <w:r>
        <w:rPr>
          <w:rFonts w:ascii="Arial" w:cs="Arial" w:eastAsia="Arial" w:hAnsi="Arial"/>
          <w:sz w:val="18"/>
          <w:szCs w:val="18"/>
          <w:i w:val="1"/>
          <w:iCs w:val="1"/>
          <w:color w:val="auto"/>
        </w:rPr>
        <w:t>21,Property, Plant, and Equipment</w:t>
      </w:r>
      <w:r>
        <w:rPr>
          <w:rFonts w:ascii="Arial" w:cs="Arial" w:eastAsia="Arial" w:hAnsi="Arial"/>
          <w:sz w:val="18"/>
          <w:szCs w:val="18"/>
          <w:color w:val="auto"/>
        </w:rPr>
        <w:t>. The Company performed a recoverability test and concluded that future undiscounted cash flows exceed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Company’s long-lived assets and therefore no impairment charge was recorded.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8"/>
              </w:rPr>
              <w:t>September 30, 2020</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1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Intangible</w:t>
            </w:r>
          </w:p>
        </w:tc>
        <w:tc>
          <w:tcPr>
            <w:tcW w:w="8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assets, net</w:t>
            </w:r>
          </w:p>
        </w:tc>
        <w:tc>
          <w:tcPr>
            <w:tcW w:w="80" w:type="dxa"/>
            <w:vAlign w:val="bottom"/>
          </w:tcPr>
          <w:p>
            <w:pPr>
              <w:spacing w:after="0"/>
              <w:rPr>
                <w:sz w:val="20"/>
                <w:szCs w:val="20"/>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8,029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4,024</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r>
      <w:tr>
        <w:trPr>
          <w:trHeight w:val="20"/>
        </w:trPr>
        <w:tc>
          <w:tcPr>
            <w:tcW w:w="4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8,051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4,031</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0"/>
              </w:rPr>
              <w:t>December 31, 2019</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500" w:type="dxa"/>
            <w:vAlign w:val="bottom"/>
          </w:tcPr>
          <w:p>
            <w:pPr>
              <w:spacing w:after="0"/>
              <w:rPr>
                <w:sz w:val="16"/>
                <w:szCs w:val="16"/>
                <w:color w:val="auto"/>
              </w:rPr>
            </w:pPr>
          </w:p>
        </w:tc>
        <w:tc>
          <w:tcPr>
            <w:tcW w:w="110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6"/>
                <w:szCs w:val="16"/>
                <w:color w:val="auto"/>
              </w:rPr>
            </w:pPr>
          </w:p>
        </w:tc>
        <w:tc>
          <w:tcPr>
            <w:tcW w:w="130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Intangible</w:t>
            </w:r>
          </w:p>
        </w:tc>
        <w:tc>
          <w:tcPr>
            <w:tcW w:w="8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amortization</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assets, net</w:t>
            </w:r>
          </w:p>
        </w:tc>
        <w:tc>
          <w:tcPr>
            <w:tcW w:w="80" w:type="dxa"/>
            <w:vAlign w:val="bottom"/>
          </w:tcPr>
          <w:p>
            <w:pPr>
              <w:spacing w:after="0"/>
              <w:rPr>
                <w:sz w:val="20"/>
                <w:szCs w:val="20"/>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7,638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4,078</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0"/>
        </w:trPr>
        <w:tc>
          <w:tcPr>
            <w:tcW w:w="4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7,655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4,081</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For the three months ended September 30, 2020 and 2019, amortization expense for intangible assets, included in general and administrative expenses on the income statement, was each $0.1 million. For the nine months ended September 30, 2020 and 2019, amortization expense for intangible assets, included in general and administrative expenses on the income statement, was each $0.4 million. The remaining weighted average amortization period for intangible assets is approximately 7 years.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w w:val="94"/>
              </w:rPr>
              <w:t>At September 30, 2020, future amortization expense for intangible assets is estimated to be (in thousands):</w:t>
            </w: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7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represents a summary of the Company’s financial instruments measured at fair value on a recurring basis for the periods indicated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As of September 30, 2020</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As of December 31, 2019</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(Level 2)</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46,772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46,772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59,977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59,977</w:t>
            </w: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11,296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7,051</w:t>
            </w:r>
          </w:p>
        </w:tc>
      </w:tr>
      <w:tr>
        <w:trPr>
          <w:trHeight w:val="20"/>
        </w:trPr>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3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58,068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58,068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67,028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67,028</w:t>
            </w: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80" w:type="dxa"/>
            <w:vAlign w:val="bottom"/>
          </w:tcPr>
          <w:p>
            <w:pPr>
              <w:ind w:left="180"/>
              <w:spacing w:after="0"/>
              <w:rPr>
                <w:sz w:val="20"/>
                <w:szCs w:val="20"/>
                <w:color w:val="auto"/>
              </w:rPr>
            </w:pPr>
            <w:r>
              <w:rPr>
                <w:rFonts w:ascii="Arial" w:cs="Arial" w:eastAsia="Arial" w:hAnsi="Arial"/>
                <w:sz w:val="18"/>
                <w:szCs w:val="18"/>
                <w:color w:val="auto"/>
              </w:rPr>
              <w:t>Bank acceptance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13,366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13,366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6,310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senior notes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74,240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74,240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77,191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77,191</w:t>
            </w:r>
          </w:p>
        </w:tc>
      </w:tr>
      <w:tr>
        <w:trPr>
          <w:trHeight w:val="20"/>
        </w:trPr>
        <w:tc>
          <w:tcPr>
            <w:tcW w:w="2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3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87,606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87,606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83,501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83,501</w:t>
            </w:r>
          </w:p>
        </w:tc>
      </w:tr>
      <w:tr>
        <w:trPr>
          <w:trHeight w:val="20"/>
        </w:trPr>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carrying value amounts of accounts receivable, prepaid expenses and other current assets, accounts payable, accrued expenses and other current liabilities approximate fair value because of the short-term maturity of these instruments. The carrying value amounts of bank acceptances approximate fair value due to the short-term nature of the debt since it renews frequently at current interest rates. The Company believes that the interest rates in effect at each period end represent the current market rates for similar borrowings.</w:t>
      </w:r>
    </w:p>
    <w:p>
      <w:pPr>
        <w:spacing w:after="0" w:line="187" w:lineRule="exact"/>
        <w:rPr>
          <w:sz w:val="20"/>
          <w:szCs w:val="20"/>
          <w:color w:val="auto"/>
        </w:rPr>
      </w:pPr>
    </w:p>
    <w:p>
      <w:pPr>
        <w:ind w:left="140" w:right="380" w:firstLine="324"/>
        <w:spacing w:after="0" w:line="277" w:lineRule="auto"/>
        <w:rPr>
          <w:sz w:val="20"/>
          <w:szCs w:val="20"/>
          <w:color w:val="auto"/>
        </w:rPr>
      </w:pPr>
      <w:r>
        <w:rPr>
          <w:rFonts w:ascii="Arial" w:cs="Arial" w:eastAsia="Arial" w:hAnsi="Arial"/>
          <w:sz w:val="18"/>
          <w:szCs w:val="18"/>
          <w:color w:val="auto"/>
        </w:rPr>
        <w:t>The fair value of its convertible senior debt is measured for disclosure purpose. The fair value is based on observable market prices for this debt, which is traded in less active markets and are therefore classified as a Level 2 fair value measurement.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195"/>
        </w:trPr>
        <w:tc>
          <w:tcPr>
            <w:tcW w:w="80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4"/>
              </w:rPr>
              <w:t>Revolving line of credit with a U.S. bank up to $20,000 with interest at LIBOR plus 1.5% , maturing April 2,</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Paycheck Protection Program Term Note with interest at fixed rate 1.0%, maturing April 16, 2022</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6,229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Revolving line of credit with a Taiwan bank up to $3,336 with 2.2% interest, maturing October 16, 2020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w:t>
            </w:r>
          </w:p>
        </w:tc>
      </w:tr>
      <w:tr>
        <w:trPr>
          <w:trHeight w:val="202"/>
        </w:trPr>
        <w:tc>
          <w:tcPr>
            <w:tcW w:w="8000" w:type="dxa"/>
            <w:vAlign w:val="bottom"/>
            <w:gridSpan w:val="2"/>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3.5% interest, maturing January 21,</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2,419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4,262</w:t>
            </w: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3.1% interest, maturing January 21,</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4,633</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w w:val="98"/>
              </w:rPr>
              <w:t>Revolving line of credit with a Taiwan bank up to $2,668 with interest of 1.7%, maturing April 11, 2020</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2,668</w:t>
            </w:r>
          </w:p>
        </w:tc>
      </w:tr>
      <w:tr>
        <w:trPr>
          <w:trHeight w:val="202"/>
        </w:trPr>
        <w:tc>
          <w:tcPr>
            <w:tcW w:w="8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Revolving line of credit with a China bank up to $8,917 with interest ranging from 4.5%, maturing October</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14, 2020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tcPr>
          <w:p>
            <w:pPr>
              <w:spacing w:after="0" w:line="201" w:lineRule="exact"/>
              <w:rPr>
                <w:sz w:val="20"/>
                <w:szCs w:val="20"/>
                <w:color w:val="auto"/>
              </w:rPr>
            </w:pPr>
            <w:r>
              <w:rPr>
                <w:rFonts w:ascii="Arial" w:cs="Arial" w:eastAsia="Arial" w:hAnsi="Arial"/>
                <w:sz w:val="18"/>
                <w:szCs w:val="18"/>
                <w:color w:val="auto"/>
                <w:w w:val="95"/>
              </w:rPr>
              <w:t>Revolving line of credit with a China bank up to $25,449 with interest from 3.01% to 4.57%, maturing May</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24, 2024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12,162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7,919</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with a China bank up to $14,125 with interest of 3.5%, maturing November 7, 2020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Credit facility with a China bank up to $7,167 with interest of 5.7%, maturing from June 20, 2022</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7,167</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49,985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Less debt issuance costs, net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Grand total</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49,923</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(44,292)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(33,371)</w:t>
            </w: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7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80" w:type="dxa"/>
            <w:vAlign w:val="bottom"/>
            <w:tcBorders>
              <w:bottom w:val="single" w:sz="8" w:color="auto"/>
            </w:tcBorders>
            <w:shd w:val="clear" w:color="auto" w:fill="CCEEFF"/>
          </w:tcPr>
          <w:p>
            <w:pPr>
              <w:ind w:left="2720"/>
              <w:spacing w:after="0"/>
              <w:rPr>
                <w:sz w:val="20"/>
                <w:szCs w:val="20"/>
                <w:color w:val="auto"/>
              </w:rPr>
            </w:pPr>
            <w:r>
              <w:rPr>
                <w:rFonts w:ascii="Arial" w:cs="Arial" w:eastAsia="Arial" w:hAnsi="Arial"/>
                <w:sz w:val="18"/>
                <w:szCs w:val="18"/>
                <w:b w:val="1"/>
                <w:bCs w:val="1"/>
                <w:color w:val="auto"/>
              </w:rPr>
              <w:t>Bank Acceptance Notes Payable</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8000" w:type="dxa"/>
            <w:vAlign w:val="bottom"/>
            <w:gridSpan w:val="2"/>
          </w:tcPr>
          <w:p>
            <w:pPr>
              <w:spacing w:after="0"/>
              <w:rPr>
                <w:sz w:val="20"/>
                <w:szCs w:val="20"/>
                <w:color w:val="auto"/>
              </w:rPr>
            </w:pPr>
            <w:r>
              <w:rPr>
                <w:rFonts w:ascii="Arial" w:cs="Arial" w:eastAsia="Arial" w:hAnsi="Arial"/>
                <w:sz w:val="18"/>
                <w:szCs w:val="18"/>
                <w:color w:val="auto"/>
              </w:rPr>
              <w:t>Bank acceptance notes issued to vendors with a zero percent interest rate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13,366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418"/>
        </w:trPr>
        <w:tc>
          <w:tcPr>
            <w:tcW w:w="7880" w:type="dxa"/>
            <w:vAlign w:val="bottom"/>
          </w:tcPr>
          <w:p>
            <w:pPr>
              <w:ind w:left="55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portion of long-term debt is the amount payable within one year of the balance sheet date of September 30, 2020.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long-term debt are as follows for the future one-year periods ending September 30, (in thousands):</w:t>
      </w:r>
    </w:p>
    <w:p>
      <w:pPr>
        <w:spacing w:after="0" w:line="239"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44,292</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14,564</w:t>
            </w:r>
          </w:p>
        </w:tc>
      </w:tr>
      <w:tr>
        <w:trPr>
          <w:trHeight w:val="20"/>
        </w:trPr>
        <w:tc>
          <w:tcPr>
            <w:tcW w:w="7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outstanding</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58,856</w:t>
            </w: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September 28, 2017, the Company entered into a Loan Agreement (“Loan Agreement”), a Promissory Note, an Addendum to the Promissory Note, a Truist Bank Security Agreement, a Trademark Security Agreement, and a Patent Security Agreement (together the “Credit Facility”) with Truist Bank (which acquired Branch Banking and Trust Company or BB&amp;T in connection with a merger in December 2019). The Credit Facility provides the Company with a three-year, $50 million, revolving line of credit. Borrowings under the Credit Facility will be used for general corporate purposes. The Company makes monthly payments of accrued interest with the final monthly payment being for all principal and all accrued interest not yet paid. The Company’s obligations under the Credit Facility are secured by the Company’s accounts receivable, inventory, intellectual property, and all business assets with the exception of real estate and equipment. Borrowings under the Credit Facility bear interest at a rate equal to the one-month LIBOR plus 1.50%. The Credit Facility requires the Company to maintain certain financial covenants and also contains representations and warranties, and events of default applicable to the Company that are customary for agreements of this type.</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March 30, 2018, the Company executed a First Amendment to Loan Agreement, a Note Modification Agreement and Addendum to Promissory Note for $60 million, a Promissory Note and Addendum to Promissory Note for $26 million, a Promissory Note and Addendum to Promissory Note for $21.5 million, a Texas Deed of Trust and Security Agreement, an Assignment of Lease and Rent, and an Environmental Certification and Indemnity Agreement, (collectively, the “Amended Credit Facility”), with Truist Bank. The Amended Credit Facility amends the Company’s three-year $50 million line of credit with Truist Bank, originally executed on September 28, 2017. The Amended Credit Facility (1) increases the principal amount of the three-year line of credit from $50 million to $60 million (the “Line of Credit”); (2) allows the Company to borrow an additional $26 million from Truist Bank in the form of a five-year capital expenditure loan (the “CapEx Loan”) and (3) allows the Company to borrow an additional $21.5 million in the form of a seventy-month real estate term loan (the “Term Loan”) to refinance the Company’s plant and facilities in Sugar Land, Texas. Borrowings under the Line of Credit bear interest at a rate equal to the one-month LIBOR plus a Line of Credit margin ranging between 1.40% and 2.0%. Borrowings under the CapEx Loan bear interest at a rate equal to the one-month LIBOR plus a CapEx Loan margin ranging between 1.30% and 2.0%. Borrowings under the Term Loan bear interest at a rate equal to the one-month LIBOR plus a Term Loan margin ranging between 1.15% and 2.0%. The Company is required to make monthly payments of principal and accrued interest with the final monthly payments being for all principal and accrued interest not yet paid. The Company’s obligations under the Amended Credit Facility are secured by the Company’s accounts receivable, inventory, equipment, intellectual property, real property, and virtually all business assets.</w:t>
      </w:r>
    </w:p>
    <w:p>
      <w:pPr>
        <w:spacing w:after="0" w:line="184"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On February 1, 2019, the Company executed a Second Amendment to Loan Agreement ("Second Amendment") with Truist Bank. The original loan agreement with Truist Bank, executed on September 28, 2017, and a first amendment to the original loan agreement, executed on March 30, 2018, provided the Company with a three-year $60 million line of credit; a $26 million five-year CapEx Loan and a $21.5 million seventy-month real estate term loan for the Company’s plant and facilities in Sugar Land, Texas. The Second Amendment extends the CapEx Loan draw-down date from March 30, 2019 to September 30, 2020, requires the Company to provide Truist Bank monthly financial statements and allows additional unfinanced capital expenditures.</w:t>
      </w:r>
    </w:p>
    <w:p>
      <w:pPr>
        <w:spacing w:after="0" w:line="16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March 5, 2019, the Company executed a Third Amendment to Loan Agreement (the “Third Amendment”) with Truist Bank pursuant to which the Company has established a revolving credit line used for working capital purposes. The Third Amendment, among other things: (i) contemplates the issuance of the Notes (as defined in Note 12 below) and the subsequent conversion of the Notes into common stock in accordance with the terms of the Indenture, including the payment of cash for any fractional shares; (ii) adjusts pricing of the unused line fee to 0.20% per annum; (iii) reduces the maximum commitment under the line of credit from $60,000,000 to $25,000,000; and (iv) provides that, so long as the Company’s utilization of the revolving credit line is not greater than 60% of the available commitment, the Company will not be required to comply with its financial covenants, including its fixed charge coverage ratio or funded debt to EBITDA covenant, and provided that, such restriction on utilization will not apply during the period of time commencing seven business days prior to the end of any fiscal quarter through seven business days after the subsequent fiscal quarter.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On March 5, 2019, the Company used approximately $37.8 million of the net proceeds from the offering of the Notes to fully repay the CapEx Loan and Term Loan with Truist Bank.</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September 30, 2019, the Company executed a Fourth Amendment to Loan Agreement (the “Fourth Amendment”) with Truist Bank. Under the terms of the Fourth Amendment (i) the maximum commitment under the line of credit was reduced from $25,000,000 to $20,000,000; (ii) the maturity date of the line of credit was extended from September 28, 2020 to April 2, 2021; (iii) pricing of the unused line fee was adjusted to 0.30% per annum; and (iv) the Covenant Threshold Amount test created in the Third Amendment was removed and replaced with the requirement that if, at any time during any reporting period and pursuant to the most recent loan base report received by Truist Bank, the principal balance outstanding under the line of credit exceeds the lesser of the approved maximum amount of the line of credit commitment amount or the collateral loan value reduced by the reserves, the Company shall immediately prepay the line of credit to the extent necessary to eliminate such excess. Such reserves shall, at any time that the fixed charge coverage ratio for the loan is less than 1.5 to 1.0, tested for the period of twelve months ended on the applicable covenant measurement date, equal to an amount equal to seventy-five percent (75%) of the lesser of the line of credit commitment amount or collateral loan value reduced by the sum of (i) the principal balance outstanding under the line of credit, (ii) the letter of credit exposure reserve, and (iii) the availability reserve as determined by Truist Bank from the most recent loan base report and otherwise in the sole discretion of Truist Bank after consideration of collections.</w:t>
      </w:r>
    </w:p>
    <w:p>
      <w:pPr>
        <w:spacing w:after="0" w:line="172"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As of September 30, 2020, the Company was in compliance with all covenants under the Fourth Amendment. As of September 30, 2020, $18.7 million was outstanding under the Fourth Amendment line of credit.</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April 17, 2020, the Company entered into a term note ("PPP Term Note") with Truist Bank, with a principal amount of $6.23 million pursuant to the Paycheck Protection Program (“PPP”) under the Coronavirus Aid, Relief, and Economic Security Act (the “CARES Act”). The PPP loan is evidenced by a promissory note. The PPP Term Note bears interest at a fixed annual rate of 1.00%, with the first six months of interest deferred. Beginning in November 2020, the Company will make 18 equal monthly payments of principal and interest with the final payment due in April 2022. The PPP Term Note may be accelerated upon the occurrence of an event of default. The PPP Term Note is unsecured and guaranteed by the United States Small Business Administration ("SBA"). The Company applied for forgiveness of the principal amount of the PPP Term Note on September 14, 2020 and currently expects the application to get approved. The forgiveness application is being reviewed by Truist Bank. Under current SBA guidelines, due to the size of the loan we anticipate a further review by the SBA upon completion of the review by Truist Bank. The timing of the completion of the review by Truist Bank and the subsequent review by SBA is currently uncertain. Until such time as the forgiveness assessment has been completed by the SBA, the Company will not be required to make any payments under the terms of the PPP Term Note.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On November 29, 2018, Prime World entered into a Purchase and Sale Contract (the “Sale Contract”) and an Equipment Finance Agreement with Chailease Finance Co., Ltd. (“Chailease”) in connection with certain equipment. Pursuant to the Sale Contract, Prime World sold certain equipment to Chailease for a purchase price of NT$267,340,468, or approximately $8.7 million. Simultaneously, Prime World financed the equipment back from Chailease for a term of three-years, pursuant to the Equipment Finance Agreement. Prime World is obligated to pay an initial payment of NT$67,340,468, or approximately $2.2 million, thereafter the monthly payments range from NT$5,571,229, or $0.2 million, to NT$6,139,188, or approximately $0.2 million. Based on the monthly payments made under the Equipment Finance Agreement, the annual interest rate is calculated to be 3.5%. Upon an event of default under the Equipment Finance Agreement, Prime World’s payment obligation will be secured by a promissory note to Chailease in the amount of NT$210,601,605, or approximately $6.8 million, subject to certain terms and conditions. The title of the equipment will be transferred to Prime World upon expiration of the Equipment Finance Agreement. As of September 30, 2020, $2.4 million was outstanding under the Equipment Finance Agreement.</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January 21, 2019, Prime World entered into a Second Purchase and Sale Contract (the “Second Sales Contract”), Promissory Note, and a Second Equipment Finance Agreement with Chailease in connection with certain equipment. Pursuant to the Second Sales Contract, Prime World sold certain equipment to Chailease for a purchase price of NT$267,333,186, or approximately $8.7 million. Simultaneously, Prime World financed the equipment back from Chailease for a term of three-years, pursuant to the Second Equipment Finance Agreement. Prime World is obligated to pay an initial monthly payment of NT$67,333,186, or approximately $2.2 million, thereafter the monthly payments range from NT$5,570,167, or approximately $0.2 million to NT$6,082,131, or approximately $0.2 million. Based on the monthly payments made under the Second Equipment Finance Agreement, the annual interest rate is calculated to be 3.1%. Upon an event of default under the Second Equipment Finance Agreement, Prime World’s payment obligation will be secured by a promissory note to Chailease at the amount of NT$209,555,736 or approximately $6.8 million, subject to certain terms and conditions. The title of the equipment will be transferred to Prime World upon expiration of the Second Equipment Finance Agreement. As of September 30, 2020, $2.6 million was outstanding under the Second Equipment Finance Agreement.</w:t>
      </w:r>
    </w:p>
    <w:p>
      <w:pPr>
        <w:spacing w:after="0" w:line="185" w:lineRule="exact"/>
        <w:rPr>
          <w:sz w:val="20"/>
          <w:szCs w:val="20"/>
          <w:color w:val="auto"/>
        </w:rPr>
      </w:pPr>
    </w:p>
    <w:p>
      <w:pPr>
        <w:ind w:right="40" w:firstLine="693"/>
        <w:spacing w:after="0" w:line="269" w:lineRule="auto"/>
        <w:rPr>
          <w:sz w:val="20"/>
          <w:szCs w:val="20"/>
          <w:color w:val="auto"/>
        </w:rPr>
      </w:pPr>
      <w:r>
        <w:rPr>
          <w:rFonts w:ascii="Arial" w:cs="Arial" w:eastAsia="Arial" w:hAnsi="Arial"/>
          <w:sz w:val="17"/>
          <w:szCs w:val="17"/>
          <w:color w:val="auto"/>
        </w:rPr>
        <w:t>On September 15, 2020, Prime World entered into an Amendment to the Sale Contract and Second Sales Contract (the “Amendment”) with Chailease Finance Co., Ltd. (“Chailease”). The Amendment amends the Sales Contract, dated November 29, 2018 and the Second Sales Contract, dated January 21, 2019 (hereafter collectively referred to as the “Original Sales Contracts”). Pursuant to the Amendment, Prime World agrees to pay Chailease NT$22,311,381, or approximately $0.8 million for certain leased equipment listed in the Amendment (the “Leased Equipment”). This payment will include all outstanding lease payments, costs and expenses; simultaneously, Chailease agrees to transfer title of such Leased Equipment back to Prime World. Regarding all other equipment contemplated in the Original Sales Contracts but not listed in the Amendment, pursuant to the terms and conditions made under the Original Sales Contracts, Prime World is obligated to pay Chailease monthly lease payments which total NT$159,027,448, or approximately $5.5 million (the “Lease Payments”). The Lease Payments will begin on September 21, 2020 with the last Lease Payment due on January 21, 2022, title of all other equipment contemplated under the Original Sales Contracts but not listed in the Amendment will transfer to Prime World upon completion of the Lease Payments and expiration of the Original Sales Contracts.</w:t>
      </w:r>
    </w:p>
    <w:p>
      <w:pPr>
        <w:spacing w:after="0" w:line="18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April 11, 2019, Prime World entered into a one-year credit facility totaling NT$80 million, or approximately $2.6 million, (the “Far Eastern Credit Facility”) with Far Eastern International Bank Co., Ltd. (“Far Eastern”). Prime World may draw upon the Far Eastern Credit Facility from April 11, 2019 until April 11, 2020. The term of each draw shall be up to 180 days. Under the Far Eastern Credit Facility borrowing in NT dollars will bear interest at a rate equal to Far Eastern’s published one-year fixed term time deposits rate, plus 0.655%; for all foreign currency borrowing, interest shall be the TAIFX3 rate for the length of time equal to the term of the loan or the next longer tenor for which rates are quoted, plus 0.7%. As of the execution of the Far Eastern Credit Facility, Far Eastern’s published one-year fixed term time deposits rate and TAIFX3 rate are 1.045 % and 2.75%, respectively. Prime World’s obligations under the Far Eastern Credit Facility will be secured by a promissory note executed between Prime World and Far Eastern. On April 9, 2020, Prime World repaid the Far Eastern Credit Facility without penalty and terminated the agreement.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July 23, 2019, Prime World entered into a one-year revolving credit facility totaling NT$100 million, or approximately $3.3 million,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“NT$100M Credit Line”) and $1 million (the “US$1M Credit Line”) with Taishin International Bank in Taiwan ("Taishin"). Borrowing under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NT$100M Credit Line will be used for short-term working capital; the borrowing under the US$1M Credit Line will be strictly used for spot transactions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foreign exchange market. The NT$100M Credit Line and US$1M Credit Line are collectively referred to as the “Taishin Credit Facility”. </w:t>
      </w:r>
      <w:r>
        <w:rPr>
          <w:rFonts w:ascii="Arial" w:cs="Arial" w:eastAsia="Arial" w:hAnsi="Arial"/>
          <w:sz w:val="16"/>
          <w:szCs w:val="16"/>
          <w:color w:val="auto"/>
          <w:shd w:val="clear" w:color="auto" w:fill="F1C40F"/>
        </w:rPr>
        <w:t>On July 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shd w:val="clear" w:color="auto" w:fill="F1C40F"/>
        </w:rPr>
        <w:t xml:space="preserve">2020, the NT$100M Credit Line with Taishin was extended for three (3) months until October 16, 2020.The </w:t>
      </w:r>
      <w:r>
        <w:rPr>
          <w:rFonts w:ascii="Arial" w:cs="Arial" w:eastAsia="Arial" w:hAnsi="Arial"/>
          <w:sz w:val="16"/>
          <w:szCs w:val="16"/>
          <w:color w:val="auto"/>
        </w:rPr>
        <w:t>term of each draw shall be either 90 or 120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Borrowings under the NT$100M Credit Line will bear interest at a rate of 2.25% for 90 day draws and 2.2% for 120 day draws; borrowings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US$1M Credit Line will bear interest equal to the Taishin’s foreign exchange rate effective on the day of the applicable draw. At the end of the draw term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Prime World will make payment for all principal and accrued interest. Prime World’s obligations under the Taishin Credit Facility will be secured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promissory note executed between Prime World and Taishin. The agreements for the Taishin Credit Facility contain representations and warranties,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events of default applicable to Prime World that are customary for agreements of this type. As of September 30, 2020, $3.4 million was outstanding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Taishin Credit Facility.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April 19, 2019, the Company’s China subsidiary, Global, entered into a twelve (12) month revolving line of credit agreement, totaling 60,000,000 RMB, or approximately $8.9 million, (the “China Merchants Credit Line”), with China Merchants Bank Co., Ltd., in Ningbo, China (“China Merchants”). The China Merchants Credit Line will be used by Global for general corporate purposes, including the issuance of bank acceptance notes to Global’s vendors. On April 14, 2020, Global extended the revolving line of credit agreement with China Merchants by six (6) months. Global may draw upon the China Merchants Credit Line from April 19, 2019 until October 14, 2020 (the “Credit Period”). During the Credit Period, Global may request to draw upon the China Merchants Credit Line on an as-needed basis; however, the amount of available credit under the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China Merchants’ commercial banking interest rate effective on the day of the applicable draw. Global’s obligations under the China Merchants Credit Line are unsecured. As of September 30, 2020, $1.0 million was outstanding under the China Merchants Credit Line and there was no outstanding balance of bank acceptance notes issued to vendors under this facility.</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April 30, 2019, the Company’s China subsidiary, Global, entered into a one-year credit facility totaling 9,900,000 RMB, or approximately $1.5 million, (the “SPD ¥9.9M Credit Facility”), with Shanghai Pudong Development Bank Co., Ltd., in Builun District, Ningbo City, (China) ("SPD"). Borrowing under the SPD ¥9.9M Credit Facility will be used for short-term working capital. Global may draw upon the SPD ¥9.9M Credit Facility from April 30, 2019 until May 9, 2019. Borrowing under the SPD ¥9.9M Credit Facility will mature on April 30, 2020 and will bear interest equal to SPD’s published twelve (12) month prime loan rate in effect on the date of the draw, plus 0.2475%. Under the SPD ¥9.9M Credit Facility, Global will make monthly payments of accrued interest and the principal shall be repaid upon maturity. Global’s obligations under the SPD ¥9.9M Credit Facility are unsecured. The SPD ¥9.9M Credit Facility was replaced by the SPD Credit Line on May 24, 2019.</w:t>
      </w:r>
    </w:p>
    <w:p>
      <w:pPr>
        <w:spacing w:after="0" w:line="17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May 7, 2019, the Company’s China subsidiary, Global, entered into a one-year credit facility totaling 30,000,000 RMB, or approximately $4.5 million, (the “SPD ¥30M Credit Facility”), with SPD. Borrowing under the SPD ¥30M Credit Facility will be used to repay Global’s outstanding loans with China Construction Bank Co., Ltd., in Ningbo, China ("CCB"). Borrowing under the SPD ¥30M Credit Facility will mature on May 7, 2020 and will bear interest equal to the Bank’s published twelve (12) month prime loan rate in effect on the date of the draw, plus 0.2475%. As of the execution of the SPD ¥30M Credit Facility agreement, the Bank’s published twelve (12) months prime loan rate is 4.32%. Under the SPD ¥30M Credit Facility, Global will make monthly payments of accrued interest; principal shall be repaid upon maturity. Global’s obligations under the SPD ¥30M Credit Facility are unsecured. The SPD ¥30M Credit Facility was replaced by the SPD Credit Line on May 24, 2019.</w:t>
      </w:r>
    </w:p>
    <w:p>
      <w:pPr>
        <w:spacing w:after="0" w:line="17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May 8, 2019, the Company’s China subsidiary, Global, entered into a six-month credit facility totaling $2,000,000 (the “$2M Credit Facility”) with SPD. Borrowing under the $2M Credit Facility will be used to repay Global’s outstanding loans with CCB and for general corporate purposes. Borrowing under the $2M Credit Facility will mature on November 7, 2019 and will bear interest equal to SPD’s published six (6) month LIBOR in effect on the date of the draw, plus 1.48%. As of the execution of the $2M Credit Facility agreement, the SPD published 6 months LIBOR rate was 2.59438%. Under the $2M Credit Facility, Global will make quarterly payments of accrued interest; principal shall be repaid upon maturity. Global’s obligations under the $2M Credit Facility are unsecured. The $2M Credit Facility was replaced by the SPD Credit Line on May 24, 2019.</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May 24, 2019, the Company’s China subsidiary, Global, entered into a five-year revolving credit line agreement, totaling 180,000,000 RMB (the “SPD Credit Line”), or approximately $25.4 million, and a mortgage security agreement (the “Security Agreement”), with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and $2 million credit facility entered into on May 8,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 As of September 30, 2020, $12.2 million was outstanding under the SPD Credit Line and the outstanding balance of bank acceptance notes issued to vendors was $13.4 million.</w:t>
      </w:r>
    </w:p>
    <w:p>
      <w:pPr>
        <w:spacing w:after="0" w:line="18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June 21, 2019, the Company’s China subsidiary, Global, entered into an 18 month credit facility totaling 100,000,000 RMB (the “¥100M Credit Facility”), or approximately $14.1 million, with China Zheshang Bank Co., Ltd., in Ningbo City, China (“CZB”). Borrowing under the ¥100M Credit Facility will be used by Global for general corporate purposes. Global may draw upon the ¥100M Credit Facility from June 21, 2019 until January 4, 2021 (the “¥100M Credit Period”). During the ¥100M Credit Period, Global may request to draw upon the ¥100M Credit Facility on an as-needed basis; however, draws under the ¥100M Credit Facility may become due and repayable to CZB at CZB’s discretion due to changes in Chinese government regulations and/or changes in Global’s financial and operational condition. Each draw will bear interest equal to CZB’s commercial banking interest rate effective on the day of the applicable draw. Global’s obligations under the ¥100M Credit Facility will be secured by real property owned by Global and mortgaged to CZB under the terms of the Real Estate Security Agreement. The agreements for the ¥100M Credit Facility and the Real Estate Security Agreement also contain rights and obligations, representations and warranties, and events of default applicable to the Company that are customary for agreements of this type. As of September 30, 2020, $5.0 million was outstanding under the ¥100M Credit Facility and there was no outstanding balance of bank acceptance notes issued to vendors under this facility.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June 21, 2019, the Company’s China subsidiary, Global, entered into a three-year credit facility totaling 50,000,000 RMB (the “¥50M Credit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Facility”), or approximately $7.1 million, with CZB. Borrowing under the ¥50M Credit Facility will be used by Global for general corporate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purposes. Global may draw upon the ¥50M Credit Facility from June 21, 2019 until June 20, 2022 (the “¥50M Credit Period”). During the ¥50M Credit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Period, Global may request to draw upon the ¥50M Credit Facility on an as-needed basis; however, draws under the ¥50M Credit Facility may become due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repayable to CZB at CZB’s discretion due to changes in Chinese government regulations and/or changes in Global’s financial and operational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condition. Each draw will bear interest equal to CZB’s commercial banking interest rate effective on the day of the applicable draw. Global’s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¥50M Credit Facility will be secured by machinery and equipment owned by Global and mortgaged to CZB under the terms of the Machinery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Equipment Security Agreement. As of September 30, 2020, $7.3 million was outstanding under the ¥50M Credit Facility.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2020 and December 31, 2019, the Company had $23.7 million and $34.7 million of unused borrowing capacity, respectively.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One-month LIBOR rates were 0.1% and 1.8% at September 30, 2020 and December 31, 2019, respectively.</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September 30, 2020 and December 31, 2019, there was $10.0 million and $6.1 million of restricted cash, investments or security deposits associated with the loan facilities,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Convertible Senior Notes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March 5, 2019, the Company issued $80.5 million of 5% convertible senior notes due 2024 (the “Notes”). The Notes were issued pursuant to an indenture, dated as of March 5, 2019 (the “Indenture”), between the Company and Wells Fargo Bank, National Association, as trustee, paying agent, and conversion agent (the “Trustee”). The Notes bear interest at a rate of 5.00% per year, payable in cash semi-annually in arrears on March 15 and September 15 of each year, beginning on September 15, 2019. The Notes will mature on March 15, 2024, unless earlier repurchased, redeemed or converted in accordance with their terms.</w:t>
      </w:r>
    </w:p>
    <w:p>
      <w:pPr>
        <w:spacing w:after="0" w:line="188"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Truist Bank and the remainder will be used for general corporate purposes.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 of the Notes for the periods indicated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80,500</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(2,854)</w:t>
            </w: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(3,459)</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77,041</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Notes are convertible at the option of holders of the Notes at any time until the close of business on the scheduled trading day immediately preceding the maturity date. Upon conversion, holders of the Notes will receive shares of the Company’s common stock, together, if applicable, with cash in lieu of any fractional share, at the then-applicable conversion rate. The initial conversion rate is 56.9801 shares of the Company’s common stock per $1,000 principal amount of Notes (representing an initial conversion price of approximately $17.55 per share of common stock, which represents an initial conversion premium of approximately 30% above the closing price of $13.50 per share of the Company’s common stock on February 28, 2019), subject to customary adjustments. If a make-whole fundamental change (as defined in the Indenture) occurs, and in connection with certain other conversions before March 15, 2022, the Company will in certain circumstances increase the conversion rate for a specified period of time.</w:t>
      </w:r>
    </w:p>
    <w:p>
      <w:pPr>
        <w:spacing w:after="0" w:line="16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70"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Company may not redeem the Notes prior to March 15, 2022. On or after March 15, 2022, the Company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Pursuant to the guidance in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 Contracts in Entity’s Own Equity</w:t>
      </w:r>
      <w:r>
        <w:rPr>
          <w:rFonts w:ascii="Arial" w:cs="Arial" w:eastAsia="Arial" w:hAnsi="Arial"/>
          <w:sz w:val="16"/>
          <w:szCs w:val="16"/>
          <w:color w:val="auto"/>
        </w:rPr>
        <w:t xml:space="preserve">, the Company evaluated whether the conversion feature of the note needed to be bifurcated from the host instrument as a freestanding financial instrument. Under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 xml:space="preserve">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contained in ASC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w:t>
      </w:r>
      <w:r>
        <w:rPr>
          <w:rFonts w:ascii="Arial" w:cs="Arial" w:eastAsia="Arial" w:hAnsi="Arial"/>
          <w:sz w:val="16"/>
          <w:szCs w:val="16"/>
          <w:i w:val="1"/>
          <w:iCs w:val="1"/>
          <w:color w:val="auto"/>
        </w:rPr>
        <w:t>25</w:t>
      </w:r>
      <w:r>
        <w:rPr>
          <w:rFonts w:ascii="Arial" w:cs="Arial" w:eastAsia="Arial" w:hAnsi="Arial"/>
          <w:sz w:val="16"/>
          <w:szCs w:val="16"/>
          <w:color w:val="auto"/>
        </w:rPr>
        <w:t>-</w:t>
      </w:r>
      <w:r>
        <w:rPr>
          <w:rFonts w:ascii="Arial" w:cs="Arial" w:eastAsia="Arial" w:hAnsi="Arial"/>
          <w:sz w:val="16"/>
          <w:szCs w:val="16"/>
          <w:i w:val="1"/>
          <w:iCs w:val="1"/>
          <w:color w:val="auto"/>
        </w:rPr>
        <w:t>7</w:t>
      </w:r>
      <w:r>
        <w:rPr>
          <w:rFonts w:ascii="Arial" w:cs="Arial" w:eastAsia="Arial" w:hAnsi="Arial"/>
          <w:sz w:val="16"/>
          <w:szCs w:val="16"/>
          <w:color w:val="auto"/>
        </w:rPr>
        <w:t xml:space="preserve"> and </w:t>
      </w:r>
      <w:r>
        <w:rPr>
          <w:rFonts w:ascii="Arial" w:cs="Arial" w:eastAsia="Arial" w:hAnsi="Arial"/>
          <w:sz w:val="16"/>
          <w:szCs w:val="16"/>
          <w:i w:val="1"/>
          <w:iCs w:val="1"/>
          <w:color w:val="auto"/>
        </w:rPr>
        <w:t>815</w:t>
      </w:r>
      <w:r>
        <w:rPr>
          <w:rFonts w:ascii="Arial" w:cs="Arial" w:eastAsia="Arial" w:hAnsi="Arial"/>
          <w:sz w:val="16"/>
          <w:szCs w:val="16"/>
          <w:color w:val="auto"/>
        </w:rPr>
        <w:t>-</w:t>
      </w:r>
      <w:r>
        <w:rPr>
          <w:rFonts w:ascii="Arial" w:cs="Arial" w:eastAsia="Arial" w:hAnsi="Arial"/>
          <w:sz w:val="16"/>
          <w:szCs w:val="16"/>
          <w:i w:val="1"/>
          <w:iCs w:val="1"/>
          <w:color w:val="auto"/>
        </w:rPr>
        <w:t>40</w:t>
      </w:r>
      <w:r>
        <w:rPr>
          <w:rFonts w:ascii="Arial" w:cs="Arial" w:eastAsia="Arial" w:hAnsi="Arial"/>
          <w:sz w:val="16"/>
          <w:szCs w:val="16"/>
          <w:color w:val="auto"/>
        </w:rPr>
        <w:t>-</w:t>
      </w:r>
      <w:r>
        <w:rPr>
          <w:rFonts w:ascii="Arial" w:cs="Arial" w:eastAsia="Arial" w:hAnsi="Arial"/>
          <w:sz w:val="16"/>
          <w:szCs w:val="16"/>
          <w:i w:val="1"/>
          <w:iCs w:val="1"/>
          <w:color w:val="auto"/>
        </w:rPr>
        <w:t>25</w:t>
      </w:r>
      <w:r>
        <w:rPr>
          <w:rFonts w:ascii="Arial" w:cs="Arial" w:eastAsia="Arial" w:hAnsi="Arial"/>
          <w:sz w:val="16"/>
          <w:szCs w:val="16"/>
          <w:color w:val="auto"/>
        </w:rPr>
        <w:t>-</w:t>
      </w:r>
      <w:r>
        <w:rPr>
          <w:rFonts w:ascii="Arial" w:cs="Arial" w:eastAsia="Arial" w:hAnsi="Arial"/>
          <w:sz w:val="16"/>
          <w:szCs w:val="16"/>
          <w:i w:val="1"/>
          <w:iCs w:val="1"/>
          <w:color w:val="auto"/>
        </w:rPr>
        <w:t>10.</w:t>
      </w:r>
      <w:r>
        <w:rPr>
          <w:rFonts w:ascii="Arial" w:cs="Arial" w:eastAsia="Arial" w:hAnsi="Arial"/>
          <w:sz w:val="16"/>
          <w:szCs w:val="16"/>
          <w:color w:val="auto"/>
        </w:rPr>
        <w:t xml:space="preserve"> Accordingly, the conversion option is not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w:t>
      </w:r>
      <w:r>
        <w:rPr>
          <w:rFonts w:ascii="Arial" w:cs="Arial" w:eastAsia="Arial" w:hAnsi="Arial"/>
          <w:sz w:val="16"/>
          <w:szCs w:val="16"/>
          <w:i w:val="1"/>
          <w:iCs w:val="1"/>
          <w:color w:val="auto"/>
        </w:rPr>
        <w:t>470</w:t>
      </w:r>
      <w:r>
        <w:rPr>
          <w:rFonts w:ascii="Arial" w:cs="Arial" w:eastAsia="Arial" w:hAnsi="Arial"/>
          <w:sz w:val="16"/>
          <w:szCs w:val="16"/>
          <w:color w:val="auto"/>
        </w:rPr>
        <w:t>-</w:t>
      </w:r>
      <w:r>
        <w:rPr>
          <w:rFonts w:ascii="Arial" w:cs="Arial" w:eastAsia="Arial" w:hAnsi="Arial"/>
          <w:sz w:val="16"/>
          <w:szCs w:val="16"/>
          <w:i w:val="1"/>
          <w:iCs w:val="1"/>
          <w:color w:val="auto"/>
        </w:rPr>
        <w:t>20, 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and Other Options</w:t>
      </w:r>
      <w:r>
        <w:rPr>
          <w:rFonts w:ascii="Arial" w:cs="Arial" w:eastAsia="Arial" w:hAnsi="Arial"/>
          <w:sz w:val="16"/>
          <w:szCs w:val="16"/>
          <w:color w:val="auto"/>
        </w:rPr>
        <w:t>. The Company determined that notes should be accounted for in their entirety as a liability.</w:t>
      </w:r>
    </w:p>
    <w:p>
      <w:pPr>
        <w:spacing w:after="0" w:line="16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9"/>
          </w:tcPr>
          <w:p>
            <w:pPr>
              <w:ind w:left="660"/>
              <w:spacing w:after="0"/>
              <w:rPr>
                <w:sz w:val="20"/>
                <w:szCs w:val="20"/>
                <w:color w:val="auto"/>
              </w:rPr>
            </w:pPr>
            <w:r>
              <w:rPr>
                <w:rFonts w:ascii="Arial" w:cs="Arial" w:eastAsia="Arial" w:hAnsi="Arial"/>
                <w:sz w:val="18"/>
                <w:szCs w:val="18"/>
                <w:color w:val="auto"/>
                <w:w w:val="91"/>
              </w:rPr>
              <w:t>The following table sets forth interest expense information related to the Notes (in thousands):</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88"/>
              </w:rPr>
              <w:t>Three months ended September</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8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8"/>
          </w:tcPr>
          <w:p>
            <w:pPr>
              <w:jc w:val="right"/>
              <w:ind w:right="180"/>
              <w:spacing w:after="0"/>
              <w:rPr>
                <w:sz w:val="20"/>
                <w:szCs w:val="20"/>
                <w:color w:val="auto"/>
              </w:rPr>
            </w:pPr>
            <w:r>
              <w:rPr>
                <w:rFonts w:ascii="Arial" w:cs="Arial" w:eastAsia="Arial" w:hAnsi="Arial"/>
                <w:sz w:val="18"/>
                <w:szCs w:val="18"/>
                <w:b w:val="1"/>
                <w:bCs w:val="1"/>
                <w:color w:val="auto"/>
                <w:w w:val="89"/>
              </w:rPr>
              <w:t>Nine months ended September 30,</w:t>
            </w:r>
          </w:p>
        </w:tc>
      </w:tr>
      <w:tr>
        <w:trPr>
          <w:trHeight w:val="210"/>
        </w:trPr>
        <w:tc>
          <w:tcPr>
            <w:tcW w:w="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984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2,270</w:t>
            </w: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8"/>
                <w:szCs w:val="18"/>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1,191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2,743</w:t>
            </w:r>
          </w:p>
        </w:tc>
        <w:tc>
          <w:tcPr>
            <w:tcW w:w="80" w:type="dxa"/>
            <w:vAlign w:val="bottom"/>
            <w:shd w:val="clear" w:color="auto" w:fill="CCEEFF"/>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Effective interest rate</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220" w:type="dxa"/>
            <w:vAlign w:val="bottom"/>
            <w:gridSpan w:val="3"/>
          </w:tcPr>
          <w:p>
            <w:pPr>
              <w:jc w:val="right"/>
              <w:ind w:right="1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5.1%</w:t>
            </w:r>
          </w:p>
        </w:tc>
      </w:tr>
      <w:tr>
        <w:trPr>
          <w:trHeight w:val="67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Note 13. Accrued Liabilities</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540" w:type="dxa"/>
            <w:vAlign w:val="bottom"/>
            <w:gridSpan w:val="9"/>
          </w:tcPr>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8"/>
              </w:rPr>
              <w:t>September 30, 2020</w:t>
            </w:r>
          </w:p>
        </w:tc>
        <w:tc>
          <w:tcPr>
            <w:tcW w:w="180" w:type="dxa"/>
            <w:vAlign w:val="bottom"/>
          </w:tcPr>
          <w:p>
            <w:pPr>
              <w:spacing w:after="0"/>
              <w:rPr>
                <w:sz w:val="24"/>
                <w:szCs w:val="24"/>
                <w:color w:val="auto"/>
              </w:rPr>
            </w:pPr>
          </w:p>
        </w:tc>
        <w:tc>
          <w:tcPr>
            <w:tcW w:w="15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1"/>
              </w:rPr>
              <w:t>December 31, 2019</w:t>
            </w:r>
          </w:p>
        </w:tc>
        <w:tc>
          <w:tcPr>
            <w:tcW w:w="80" w:type="dxa"/>
            <w:vAlign w:val="bottom"/>
          </w:tcPr>
          <w:p>
            <w:pPr>
              <w:spacing w:after="0"/>
              <w:rPr>
                <w:sz w:val="24"/>
                <w:szCs w:val="24"/>
                <w:color w:val="auto"/>
              </w:rPr>
            </w:pPr>
          </w:p>
        </w:tc>
      </w:tr>
      <w:tr>
        <w:trPr>
          <w:trHeight w:val="209"/>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9,695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11,009</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Accrued employee benefits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2,906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2,288</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state and local taxes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1,215</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1,208</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 payments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Accrued product warranty</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977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821</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 expenses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420</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222</w:t>
            </w:r>
          </w:p>
        </w:tc>
      </w:tr>
      <w:tr>
        <w:trPr>
          <w:trHeight w:val="216"/>
        </w:trPr>
        <w:tc>
          <w:tcPr>
            <w:tcW w:w="84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utility expenses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r>
      <w:tr>
        <w:trPr>
          <w:trHeight w:val="216"/>
        </w:trPr>
        <w:tc>
          <w:tcPr>
            <w:tcW w:w="84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896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214</w:t>
            </w:r>
          </w:p>
        </w:tc>
      </w:tr>
      <w:tr>
        <w:trPr>
          <w:trHeight w:val="20"/>
        </w:trPr>
        <w:tc>
          <w:tcPr>
            <w:tcW w:w="8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17,526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17,864</w:t>
            </w:r>
          </w:p>
        </w:tc>
      </w:tr>
      <w:tr>
        <w:trPr>
          <w:trHeight w:val="20"/>
        </w:trPr>
        <w:tc>
          <w:tcPr>
            <w:tcW w:w="840" w:type="dxa"/>
            <w:vAlign w:val="bottom"/>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1"/>
              </w:rPr>
              <w:t>Three months ended September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Nine months ended September</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transaction (loss) gain</w:t>
            </w:r>
          </w:p>
        </w:tc>
        <w:tc>
          <w:tcPr>
            <w:tcW w:w="16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(271)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gain (loss)</w:t>
            </w:r>
          </w:p>
        </w:tc>
        <w:tc>
          <w:tcPr>
            <w:tcW w:w="8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16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21"/>
                <w:szCs w:val="21"/>
                <w:color w:val="auto"/>
              </w:rPr>
            </w:pPr>
          </w:p>
        </w:tc>
        <w:tc>
          <w:tcPr>
            <w:tcW w:w="560" w:type="dxa"/>
            <w:vAlign w:val="bottom"/>
          </w:tcPr>
          <w:p>
            <w:pPr>
              <w:spacing w:after="0"/>
              <w:rPr>
                <w:sz w:val="21"/>
                <w:szCs w:val="21"/>
                <w:color w:val="auto"/>
              </w:rPr>
            </w:pPr>
          </w:p>
        </w:tc>
      </w:tr>
      <w:tr>
        <w:trPr>
          <w:trHeight w:val="426"/>
        </w:trPr>
        <w:tc>
          <w:tcPr>
            <w:tcW w:w="580" w:type="dxa"/>
            <w:vAlign w:val="bottom"/>
          </w:tcPr>
          <w:p>
            <w:pPr>
              <w:spacing w:after="0"/>
              <w:rPr>
                <w:sz w:val="24"/>
                <w:szCs w:val="24"/>
                <w:color w:val="auto"/>
              </w:rPr>
            </w:pPr>
          </w:p>
        </w:tc>
        <w:tc>
          <w:tcPr>
            <w:tcW w:w="37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21</w:t>
            </w: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2006 Share Incentive Plan</w:t>
      </w:r>
    </w:p>
    <w:p>
      <w:pPr>
        <w:spacing w:after="0" w:line="3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2013 Equity Incentive Plan (“2013 Plan”)</w:t>
      </w:r>
    </w:p>
    <w:p>
      <w:pPr>
        <w:spacing w:after="0" w:line="252"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Options have been granted to the Company’s employees under the two incentive plans and generally become exercisable as to 25% of the shares on the first anniversary date following the date of grant and 12.5% on a semi-annual basis thereafter. All options expire ten years after the date of grant.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6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6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8"/>
              </w:rPr>
              <w:t>Share Price</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24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6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on Date of</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Contractual</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24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9"/>
        </w:trPr>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ind w:left="80"/>
              <w:spacing w:after="0"/>
              <w:rPr>
                <w:sz w:val="20"/>
                <w:szCs w:val="20"/>
                <w:color w:val="auto"/>
              </w:rPr>
            </w:pPr>
            <w:r>
              <w:rPr>
                <w:rFonts w:ascii="Arial" w:cs="Arial" w:eastAsia="Arial" w:hAnsi="Arial"/>
                <w:sz w:val="18"/>
                <w:szCs w:val="18"/>
                <w:b w:val="1"/>
                <w:bCs w:val="1"/>
                <w:color w:val="auto"/>
                <w:w w:val="99"/>
              </w:rPr>
              <w:t>(in thousands,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83"/>
              </w:rPr>
              <w:t>except price data)</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10.22</w:t>
            </w:r>
          </w:p>
        </w:tc>
        <w:tc>
          <w:tcPr>
            <w:tcW w:w="1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10.25</w:t>
            </w:r>
          </w:p>
        </w:tc>
        <w:tc>
          <w:tcPr>
            <w:tcW w:w="1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r>
      <w:tr>
        <w:trPr>
          <w:trHeight w:val="196"/>
        </w:trPr>
        <w:tc>
          <w:tcPr>
            <w:tcW w:w="3240" w:type="dxa"/>
            <w:vAlign w:val="bottom"/>
          </w:tcPr>
          <w:p>
            <w:pPr>
              <w:spacing w:after="0" w:line="196" w:lineRule="exact"/>
              <w:rPr>
                <w:sz w:val="20"/>
                <w:szCs w:val="20"/>
                <w:color w:val="auto"/>
              </w:rPr>
            </w:pPr>
            <w:r>
              <w:rPr>
                <w:rFonts w:ascii="Arial" w:cs="Arial" w:eastAsia="Arial" w:hAnsi="Arial"/>
                <w:sz w:val="18"/>
                <w:szCs w:val="18"/>
                <w:color w:val="auto"/>
              </w:rPr>
              <w:t>Exercisable, September 30, 2020</w:t>
            </w:r>
          </w:p>
        </w:tc>
        <w:tc>
          <w:tcPr>
            <w:tcW w:w="13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10.25</w:t>
            </w: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2.89</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418</w:t>
            </w:r>
          </w:p>
        </w:tc>
      </w:tr>
      <w:tr>
        <w:trPr>
          <w:trHeight w:val="20"/>
        </w:trPr>
        <w:tc>
          <w:tcPr>
            <w:tcW w:w="3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279</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10.25</w:t>
            </w:r>
          </w:p>
        </w:tc>
        <w:tc>
          <w:tcPr>
            <w:tcW w:w="1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2.89</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418</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there was no unrecognized stock option expense.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Average Share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Price on Date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8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1,185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13,536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11.77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Cancelled/Forfeited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15.14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September 30,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16,333</w:t>
            </w: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15.5</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16,333</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As of September 30, 2020, there was $20.0 million of unrecognized compensation expense related to these RSUs and RSAs. This expense is expected to be recognized over 2.42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860" w:type="dxa"/>
            <w:vAlign w:val="bottom"/>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2019</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9"/>
        </w:trPr>
        <w:tc>
          <w:tcPr>
            <w:tcW w:w="84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 by expense type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230</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196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712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706</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2,098</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1,943</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298</w:t>
            </w:r>
          </w:p>
        </w:tc>
        <w:tc>
          <w:tcPr>
            <w:tcW w:w="4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884</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824</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6,110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5,588</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8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Total share-based compensation expense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3,265</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2,978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9,804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8,939</w:t>
            </w:r>
          </w:p>
        </w:tc>
        <w:tc>
          <w:tcPr>
            <w:tcW w:w="860" w:type="dxa"/>
            <w:vAlign w:val="bottom"/>
          </w:tcPr>
          <w:p>
            <w:pPr>
              <w:spacing w:after="0"/>
              <w:rPr>
                <w:sz w:val="18"/>
                <w:szCs w:val="18"/>
                <w:color w:val="auto"/>
              </w:rPr>
            </w:pPr>
          </w:p>
        </w:tc>
      </w:tr>
      <w:tr>
        <w:trPr>
          <w:trHeight w:val="20"/>
        </w:trPr>
        <w:tc>
          <w:tcPr>
            <w:tcW w:w="8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3"/>
        </w:trPr>
        <w:tc>
          <w:tcPr>
            <w:tcW w:w="8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Company’s effective tax rate for the three months ended September 30, 2020 and 2019 was (30.69%) and 17.6%, respectively. For the three months ended September 30, 2020, the effective tax rate varied from the federal statutory rate of 21% primarily due to the change of the valuation allowance on federal, state, and Taiwan deferred tax assets ("DTA"), and the recording of a valuation allowance on China deferred tax assets. For the three months ended September 30, 2019, the effective tax rate varied from the federal statutory rate of 21% primarily due to the level and mix of earnings among tax jurisdictions, share-based compensation, and tax benefits related to research and development.</w:t>
      </w:r>
    </w:p>
    <w:p>
      <w:pPr>
        <w:spacing w:after="0" w:line="17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Company’s effective tax rate for the nine months ended September 30, 2020 and 2019 was (19.15%) and 19.9%, respectively. For the nine months ended September 30, 2020, the effective tax rate varied from the federal statutory rate of 21% primarily due to the change of the valuation allowance on federal, and state, deferred tax assets, and the recording of a valuation allowance on Taiwan and China deferred tax assets. For the nine months ended September 30, 2019, the effective tax rate varied from the federal statutory rate of 21% primarily due to the level and mix of earnings among tax jurisdictions, share-based compensation, and tax benefits related to research and development.</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Management assesses the available positive and negative evidence to estimate whether sufficient future taxable income will be generated to permit use of the existing DTAs. A significant piece of objective negative evidence evaluated was the cumulative losses incurred over the three-year period ended September 30, 2020 in China. Such objective evidence limits the ability to consider other subjective evidence, such as our projections for future growth.</w:t>
      </w:r>
    </w:p>
    <w:p>
      <w:pPr>
        <w:spacing w:after="0" w:line="14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the basis of this evaluation, as of September 30, 2020, a valuation allowance of $2.8 has been recorded in China to recognize only the portion of the DTA that is more likely than not to be realized. The amount of the DTA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response to the global pandemic related to COVID-19, the President signed into law the Coronavirus Aid, Relief, and Economic Security Act (the “CARES Act”) on March 27, 2020. The CARES Act provides numerous relief provisions for corporate taxpayers, including modification of the utilization limitations on net operating losses, favorable expansions of the deduction for business interest expense under Internal Revenue Code Section 163(j), and the ability to accelerate timing of refundable AMT credits. For the nine months ended September 30, 2020, there were no material tax impacts to our condensed consolidated financial statements as it relates to COVID-19 measures. The Company continues to monitor additional guidance issued by the U.S. Treasury Department, the Internal Revenue Services and others.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Geographic Information</w:t>
      </w:r>
    </w:p>
    <w:p>
      <w:pPr>
        <w:spacing w:after="0" w:line="229"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4"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20"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8"/>
              </w:rPr>
              <w:t>Three months ended September</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ind w:left="2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0"/>
        </w:trPr>
        <w:tc>
          <w:tcPr>
            <w:tcW w:w="3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4,887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2,898</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13,383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6,547</w:t>
            </w: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45,821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28,390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105,196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74,519</w:t>
            </w: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China</w:t>
            </w:r>
          </w:p>
        </w:tc>
        <w:tc>
          <w:tcPr>
            <w:tcW w:w="10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25,900</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14,796</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63,719</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61,148</w:t>
            </w:r>
          </w:p>
        </w:tc>
      </w:tr>
      <w:tr>
        <w:trPr>
          <w:trHeight w:val="20"/>
        </w:trPr>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76,608</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46,084</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182,298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142,214</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As of the period ended</w:t>
            </w:r>
          </w:p>
        </w:tc>
      </w:tr>
      <w:tr>
        <w:trPr>
          <w:trHeight w:val="210"/>
        </w:trPr>
        <w:tc>
          <w:tcPr>
            <w:tcW w:w="6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r>
      <w:tr>
        <w:trPr>
          <w:trHeight w:val="209"/>
        </w:trPr>
        <w:tc>
          <w:tcPr>
            <w:tcW w:w="6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92,528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94,507</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70,512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73,816</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China</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104,259</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97,687</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267,299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266,010</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Except for the lawsuits described below, the Company believes that there are no claims or actions pending or threatened against it, the ultimate disposition of which would have a material adverse effect on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the Company and two of its officers in </w:t>
      </w:r>
      <w:r>
        <w:rPr>
          <w:rFonts w:ascii="Arial" w:cs="Arial" w:eastAsia="Arial" w:hAnsi="Arial"/>
          <w:sz w:val="16"/>
          <w:szCs w:val="16"/>
          <w:i w:val="1"/>
          <w:iCs w:val="1"/>
          <w:color w:val="auto"/>
        </w:rPr>
        <w:t>Mona Abouzied v. Applied Optoelectronics, Inc., Chih-Hsiang (Thompson) Lin, and Stefan J. Murry, et al.</w:t>
      </w:r>
      <w:r>
        <w:rPr>
          <w:rFonts w:ascii="Arial" w:cs="Arial" w:eastAsia="Arial" w:hAnsi="Arial"/>
          <w:sz w:val="16"/>
          <w:szCs w:val="16"/>
          <w:color w:val="auto"/>
        </w:rPr>
        <w:t>, Case No. 4:17-cv-02399. The complaint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matter seeks class action status on behalf of the Company’s shareholders, alleging violations of Sections 10(b) and 20(a) of the Exchange Act against the Company, its chief executive officer, and its chief financial officer, arising out of its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Korsinsky LLP as Lead Counsel. Lead Plaintiff filed an amended consolidated class action complaint on March 6, 2018. The Company filed a motion to dismiss on April 4, 2018, which was denied on March 28, 2019. On May 15, 2019, Lead Plaintiff filed a motion for leave to amend the consolidated class action complaint for the purpose of adding named Plaintiffs Richard Hamilton, Kenneth X. Luthy, Roy H. Cetlin, and John Kugel (together with Lead Plaintiff Lawrence Rougier, “Plaintiffs”) to the case. The court granted the motion on May 16, 2019. The substantive allegations in the Plaintiffs’ operative second amended consolidated class action complaint remain unchanged. On May 28, 2019, Plaintiffs filed a motion seeking to certify the case as a class action pursuant to Federal Rule of Civil Procedure 23 and seeking appointment of Plaintiffs as class representatives and Levi &amp; Korsinsky as class counsel. On July 12, 2019, the Company filed a response in opposition to the motion for class certification, and on August 26, 2019, Plaintiffs filed their Reply Brief. On November 13, 2019, the Magistrate Judge issued a Memorandum and Recommendation recommending that the Plaintiffs’ motion for class certification be granted, to which Defendants filed written objections on November 27, 2019. On December 11, 2019, Plaintiffs filed a response in opposition to Defendants’ objections, and on December 16, 2019, Defendants filed their reply brief. The court entered an order adopting the Magistrate Judge’s Memorandum and Recommendation over Defendants’ objections on December 20, 2019. Thereafter, on January 3, 2020, Defendants filed a petition for permission to appeal the class certification order to the Fifth Circuit Court of Appeals. Plaintiffs filed an answer in opposition to Defendants’ petition on January 13, 2020, and Defendants filed a reply brief in further support of the petition for permission to appeal on January 21, 2020. On January 23, 2020, Defendants filed an unopposed motion in the Fifth Circuit requesting that the court stay further proceedings for 90 days to allow the parties to conduct settlement negotiations. The Fifth Circuit entered an order granting the motion on January 24, 2020. On April 7, 2020, by joint motion of the parties, the Fifth Circuit extended the order for another 40 days, up to and including June 2, 2020.</w:t>
      </w:r>
    </w:p>
    <w:p>
      <w:pPr>
        <w:spacing w:after="0" w:line="17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On June 2, 2020, the parties reached an agreement in principle to settle the matter pursuant to a mediator’s recommendation. On June 4, 2020, the parties filed a Joint Motion to Stay All Deadlines and Notice of Settlement with the Court, in order to allow the parties to finalize their settlement and file a motion for preliminary approval with the court no later than August 3, 2020.</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August 3, 2020, the parties filed a Stipulation of Settlement with the Court. The Stipulation of Settlement contemplates—among other things and contingent upon Court approval of the settlement and customary terms and conditions—settlement of the action, a release of all claims made in the action, and dismissal of the claims made in the action with prejudice. As consideration for entering into the settlement, Plaintiffs will receive for distribution to the members of the class they purport to represent (in accordance with the terms of the Stipulation of Settlement) a payment of $15.5 million funded by the Company's applicable directors’ and officers’ insurance policies. On October 20, 2020, Plaintiffs filed motions with the Court seeking final approval of the class action settlement and an award of attorneys’ fees to be paid out of the $15.5 million settlement fund. A hearing at which the Court will consider whether to approve the settlement has been set for November 24, 2020. Additional information regarding the settlement can be obtained by reviewing the settlement documents publicly filed with the Court in the matter. After taking into account all currently available information, the advice of our counsel, and the extent and currently-expected availability of our existing insurance coverage, we believe that the eventual outcome of this matter will not have a material adverse effect on our overall financial condition, results of operations or cash flows, and we have not recorded any accrual with regard to this matter.</w:t>
      </w:r>
    </w:p>
    <w:p>
      <w:pPr>
        <w:spacing w:after="0" w:line="18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On August 7, 2018, a derivative lawsuit was filed in the United States District Court for the Southern District of Texas styled </w:t>
      </w:r>
      <w:r>
        <w:rPr>
          <w:rFonts w:ascii="Arial" w:cs="Arial" w:eastAsia="Arial" w:hAnsi="Arial"/>
          <w:sz w:val="16"/>
          <w:szCs w:val="16"/>
          <w:i w:val="1"/>
          <w:iCs w:val="1"/>
          <w:color w:val="auto"/>
        </w:rPr>
        <w:t>Lei Jin, derivatively</w:t>
      </w:r>
      <w:r>
        <w:rPr>
          <w:rFonts w:ascii="Arial" w:cs="Arial" w:eastAsia="Arial" w:hAnsi="Arial"/>
          <w:sz w:val="16"/>
          <w:szCs w:val="16"/>
          <w:color w:val="auto"/>
        </w:rPr>
        <w:t xml:space="preserve"> </w:t>
      </w:r>
      <w:r>
        <w:rPr>
          <w:rFonts w:ascii="Arial" w:cs="Arial" w:eastAsia="Arial" w:hAnsi="Arial"/>
          <w:sz w:val="16"/>
          <w:szCs w:val="16"/>
          <w:i w:val="1"/>
          <w:iCs w:val="1"/>
          <w:color w:val="auto"/>
        </w:rPr>
        <w:t>on behalf of Applied Optoelectronics, Inc. v. Chih-Hsiang (“Thompson”) Lin, Stefan J. Murry, William H. Yeh, Alex Ignatiev, Richard B. Black, Min-Chu Chen, Alan Moore, and Che-Wei Lin and Applied Optoelectronics, Inc.</w:t>
      </w:r>
      <w:r>
        <w:rPr>
          <w:rFonts w:ascii="Arial" w:cs="Arial" w:eastAsia="Arial" w:hAnsi="Arial"/>
          <w:sz w:val="16"/>
          <w:szCs w:val="16"/>
          <w:color w:val="auto"/>
        </w:rPr>
        <w:t>, No. 4:18-cv-02713 alleging breaches of fiduciary duties, unjust enrichment,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violations of Section 14(a) of the Exchange Act based on similar factual allegations as in the </w:t>
      </w:r>
      <w:r>
        <w:rPr>
          <w:rFonts w:ascii="Arial" w:cs="Arial" w:eastAsia="Arial" w:hAnsi="Arial"/>
          <w:sz w:val="16"/>
          <w:szCs w:val="16"/>
          <w:i w:val="1"/>
          <w:iCs w:val="1"/>
          <w:color w:val="auto"/>
        </w:rPr>
        <w:t>Abouzied</w:t>
      </w:r>
      <w:r>
        <w:rPr>
          <w:rFonts w:ascii="Arial" w:cs="Arial" w:eastAsia="Arial" w:hAnsi="Arial"/>
          <w:sz w:val="16"/>
          <w:szCs w:val="16"/>
          <w:color w:val="auto"/>
        </w:rPr>
        <w:t xml:space="preserve"> Securities Class Action. On December 18, 2018, a second derivative complaint was filed styled </w:t>
      </w:r>
      <w:r>
        <w:rPr>
          <w:rFonts w:ascii="Arial" w:cs="Arial" w:eastAsia="Arial" w:hAnsi="Arial"/>
          <w:sz w:val="16"/>
          <w:szCs w:val="16"/>
          <w:i w:val="1"/>
          <w:iCs w:val="1"/>
          <w:color w:val="auto"/>
        </w:rPr>
        <w:t>Yiu Kwong Ng v. Chih-Hsiang (“Thompson”) Lin, Stefan J. Murry, William H. Yeh, Alex Ignatiev, Richard B.</w:t>
      </w:r>
      <w:r>
        <w:rPr>
          <w:rFonts w:ascii="Arial" w:cs="Arial" w:eastAsia="Arial" w:hAnsi="Arial"/>
          <w:sz w:val="16"/>
          <w:szCs w:val="16"/>
          <w:color w:val="auto"/>
        </w:rPr>
        <w:t xml:space="preserve"> </w:t>
      </w:r>
      <w:r>
        <w:rPr>
          <w:rFonts w:ascii="Arial" w:cs="Arial" w:eastAsia="Arial" w:hAnsi="Arial"/>
          <w:sz w:val="16"/>
          <w:szCs w:val="16"/>
          <w:i w:val="1"/>
          <w:iCs w:val="1"/>
          <w:color w:val="auto"/>
        </w:rPr>
        <w:t>Black, Min-Chu Chen, Alan Moore, and Che-Wei Lin and Applied Optoelectronics, Inc.</w:t>
      </w:r>
      <w:r>
        <w:rPr>
          <w:rFonts w:ascii="Arial" w:cs="Arial" w:eastAsia="Arial" w:hAnsi="Arial"/>
          <w:sz w:val="16"/>
          <w:szCs w:val="16"/>
          <w:color w:val="auto"/>
        </w:rPr>
        <w:t>, No. 4:18-cv-4751 alleging the same causes of actions as the</w:t>
      </w:r>
      <w:r>
        <w:rPr>
          <w:rFonts w:ascii="Arial" w:cs="Arial" w:eastAsia="Arial" w:hAnsi="Arial"/>
          <w:sz w:val="16"/>
          <w:szCs w:val="16"/>
          <w:i w:val="1"/>
          <w:iCs w:val="1"/>
          <w:color w:val="auto"/>
        </w:rPr>
        <w:t xml:space="preserve"> Jin </w:t>
      </w:r>
      <w:r>
        <w:rPr>
          <w:rFonts w:ascii="Arial" w:cs="Arial" w:eastAsia="Arial" w:hAnsi="Arial"/>
          <w:sz w:val="16"/>
          <w:szCs w:val="16"/>
          <w:color w:val="auto"/>
        </w:rPr>
        <w:t>complaint and additional factual allegations regarding our announcement on September 28, 2018 that we had “identified an issue with a small percentage of 25G lasers within a specific customer environment.” On January 11, 2019, the court consolidated these two derivative actions, and on January 15, 2019, the court entered an order staying the actions pending the resolution of the securities class actions. On June 24, 2020, the plaintiffs filed a notice that the stay of proceedings had been terminated, and on July 2, 2020, the parties filed a Joint Stipulation and Proposed Scheduling Order. The court entered the stipulated scheduling order on the same date, under which Defendants were required to file and serve their response or responsive pleading to the complaint by August 3, 2020. By agreement of the parties, the Court subsequently extended the deadline for Defendants to file and serve their response or responsive pleading to November 2, 2020. The complaint requests unspecified damages and other relief. At this stage, we are not yet able to determine the likelihood of loss, if any, arising from this matter.</w:t>
      </w:r>
    </w:p>
    <w:p>
      <w:pPr>
        <w:sectPr>
          <w:pgSz w:w="11900" w:h="16838" w:orient="portrait"/>
          <w:cols w:equalWidth="0" w:num="1">
            <w:col w:w="11240"/>
          </w:cols>
          <w:pgMar w:left="320" w:top="125" w:right="339" w:bottom="527"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reporting date</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repaid its revolving bank line of credit with Truist Bank in the amount of $18.7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October 7, 2020, Prime World entered into a revolving credit facility totaling NT$100,000,000, or approximately $3.44 million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“NT$100M Credit Line”) and 1,000,000 USD (the “US$1M Credit Line”) with Taishin International Bank in Taiwan (“Taishin”). Borrowing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NT$100M Credit Line will be used for short-term working capital; borrowing under the US$1M Credit Line will be strictly used for spot transactions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market. The NT$100M Credit Line and US$1M Credit Line are collectively referred to as the “Credit Facility”. Prime World may draw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the Credit Facility from October 7, 2020 through January 31, 2021. The term of each draw under the NT$100M Credit Line shall be either 90 or 120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and will bear interest at a rate of 2.15% for each draw; borrowings under the US$1M Credit Line will bear interest equal to Taishin’s foreign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effective on the day of the applicable draw. At the end of the draw term Prime World will make payment for all principal and accrued interest. Prime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World’s obligations under the Credit Facility will be secured by a promissory note between Prime World and Taishin.</w:t>
      </w:r>
    </w:p>
    <w:p>
      <w:pPr>
        <w:spacing w:after="0" w:line="211"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On October 19, 2020, Global entered into a twelve (12) month revolving line of credit agreement, totaling 60,000,000 RMB, or approximately $8.91 million (the “Credit Line”), with China Merchants Bank Co., Ltd., in Ningbo, China (“China Merchants”). The Credit Line will be used by Global for general corporate purposes. Global may draw upon the Credit Line from October 16, 2020 until October 15, 2021 (the “Credit Period”). During the Credit Period, Global may request to draw upon the Credit Line on an as-needed basis; however, the amount of available credit under the Credit Line and the approval of each draw may be reduced or declined by China Merchants due to changes in Chinese government regulations and/or changes in Global’s financial and operational condition at the time of each requested draw. Each draw will bear interest equal to the China Merchants’ commercial banking interest rate effective on the day of the applicable draw. Global’s obligations under the Credit Line is unsecured.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line="1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our consolidated financial statements and the accompanying notes appearing elsewhere in this Quarterly Report on Form 10-Q for the period ended September 30, 2020 and the audited consolidated financial statements and notes thereto and management’s discussion and analysis of financial condition and results of operations for the fiscal year ended December 31, 2019 included in our Annual Report. References to “Applied Optoelectronics,” “we,” “our” and “us” are to Applied Optoelectronics, Inc. and its subsidiaries unless otherwise specified or the context otherwise requires.</w:t>
      </w:r>
    </w:p>
    <w:p>
      <w:pPr>
        <w:spacing w:after="0" w:line="16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including our Report on Form 10-K for the year ended December 31, 2019 and subsequent Quarterly Reports on Form 10-Q.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7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 Gbps and above, as well as the movement to open internet data center architectures and the increasing use of in-house equipment design among leading internet companies. Within the CATV market, we benefit from a number of ongoing trends including the global build-out of CATV infrastructure, the move to higher bandwidth networks among CATV service providers and the outsourcing of system design among CATV networking equipment companies. In the FTTH market, we benefit from continuing PON deployments and system upgrades among telecom service providers. In the telecom market, we benefit from deployment of new high-speed fiber-optic networks by telecom network operators, especially those networks designed to enable ultra wideband "5G" services.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w:t>
      </w:r>
    </w:p>
    <w:p>
      <w:pPr>
        <w:spacing w:after="0" w:line="16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8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w:t>
      </w:r>
    </w:p>
    <w:p>
      <w:pPr>
        <w:sectPr>
          <w:pgSz w:w="11900" w:h="16850" w:orient="portrait"/>
          <w:cols w:equalWidth="0" w:num="1">
            <w:col w:w="11220"/>
          </w:cols>
          <w:pgMar w:left="320" w:top="125" w:right="359" w:bottom="0" w:gutter="0" w:footer="0" w:header="0"/>
        </w:sectPr>
      </w:pPr>
    </w:p>
    <w:bookmarkStart w:id="25" w:name="page26"/>
    <w:bookmarkEnd w:id="25"/>
    <w:p>
      <w:pPr>
        <w:ind w:right="840"/>
        <w:spacing w:after="0" w:line="277" w:lineRule="auto"/>
        <w:rPr>
          <w:sz w:val="20"/>
          <w:szCs w:val="20"/>
          <w:color w:val="auto"/>
        </w:rPr>
      </w:pPr>
      <w:r>
        <w:rPr>
          <w:rFonts w:ascii="Arial" w:cs="Arial" w:eastAsia="Arial" w:hAnsi="Arial"/>
          <w:sz w:val="18"/>
          <w:szCs w:val="18"/>
          <w:color w:val="auto"/>
        </w:rPr>
        <w:t>solution is likely to continue to be purchased for that design throughout that product’s life cycle because of the time and expense associated with redesigning the product or substituting an alternative solution.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executive offices are located at 13139 Jess Pirtle Blvd., Sugar Land, TX 77478, and our telephone number is (281) 295-1800.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We are subject to risks and uncertainties as a result of the COVID-19 pandemic. The extent of the impact of the COVID-19 pandemic on our business is highly uncertain and difficult to predict as coronavirus continues to spread around the world. There is still no vaccine, and treatments are limited. In March 2020, we instituted travel restrictions and implemented sanitation and disinfection procedures to safeguard the health and safety of our employees which continue today. The spread of COVID-19 has had a prolonged impact on our supply chain operations through restrictions, reduced capacity and shutdown of business activities by suppliers whom we rely on for sourcing components and materials and third-party partners whom we rely on for manufacturing, warehousing and logistics services. Although demand for our products has been strong in the short-term as subscribers seek more bandwidth, customers’ purchasing decisions over the long-term may be impacted by the pandemic and its impact on the economy, which could in turn impact our revenue and results of operations. The extent to which the COVID-19 pandemic may materially impact our financial condition, liquidity or results of operations is uncertain.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 forth our consolidated results of operations for the periods presented and as a percentage of our revenue for those periods (in thousands, except percentages):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Pr>
          <w:p>
            <w:pPr>
              <w:spacing w:after="0"/>
              <w:rPr>
                <w:sz w:val="18"/>
                <w:szCs w:val="18"/>
                <w:color w:val="auto"/>
              </w:rPr>
            </w:pPr>
          </w:p>
        </w:tc>
        <w:tc>
          <w:tcPr>
            <w:tcW w:w="214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Pr>
          <w:p>
            <w:pPr>
              <w:spacing w:after="0"/>
              <w:rPr>
                <w:sz w:val="18"/>
                <w:szCs w:val="18"/>
                <w:color w:val="auto"/>
              </w:rPr>
            </w:pPr>
          </w:p>
        </w:tc>
        <w:tc>
          <w:tcPr>
            <w:tcW w:w="21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8"/>
              </w:rPr>
              <w:t>Nine months ended</w:t>
            </w:r>
          </w:p>
        </w:tc>
        <w:tc>
          <w:tcPr>
            <w:tcW w:w="160" w:type="dxa"/>
            <w:vAlign w:val="bottom"/>
          </w:tcPr>
          <w:p>
            <w:pPr>
              <w:spacing w:after="0"/>
              <w:rPr>
                <w:sz w:val="18"/>
                <w:szCs w:val="18"/>
                <w:color w:val="auto"/>
              </w:rPr>
            </w:pPr>
          </w:p>
        </w:tc>
        <w:tc>
          <w:tcPr>
            <w:tcW w:w="20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2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left="190"/>
              <w:spacing w:after="0"/>
              <w:rPr>
                <w:sz w:val="20"/>
                <w:szCs w:val="20"/>
                <w:color w:val="auto"/>
              </w:rPr>
            </w:pPr>
            <w:r>
              <w:rPr>
                <w:rFonts w:ascii="Arial" w:cs="Arial" w:eastAsia="Arial" w:hAnsi="Arial"/>
                <w:sz w:val="18"/>
                <w:szCs w:val="18"/>
                <w:b w:val="1"/>
                <w:bCs w:val="1"/>
                <w:color w:val="auto"/>
                <w:w w:val="89"/>
              </w:rPr>
              <w:t>2020</w:t>
            </w:r>
          </w:p>
        </w:tc>
        <w:tc>
          <w:tcPr>
            <w:tcW w:w="4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8"/>
                <w:szCs w:val="18"/>
                <w:b w:val="1"/>
                <w:bCs w:val="1"/>
                <w:color w:val="auto"/>
                <w:w w:val="89"/>
              </w:rPr>
              <w:t>2019</w:t>
            </w: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9"/>
              </w:rPr>
              <w:t>2020</w:t>
            </w:r>
          </w:p>
        </w:tc>
        <w:tc>
          <w:tcPr>
            <w:tcW w:w="4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8"/>
                <w:szCs w:val="18"/>
                <w:b w:val="1"/>
                <w:bCs w:val="1"/>
                <w:color w:val="auto"/>
                <w:w w:val="89"/>
              </w:rPr>
              <w:t>2019</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76,608</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46,084</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182,298</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142,214</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57,418</w:t>
            </w:r>
          </w:p>
        </w:tc>
        <w:tc>
          <w:tcPr>
            <w:tcW w:w="4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34,108</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143,034</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78.5%</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107,349</w:t>
            </w:r>
          </w:p>
        </w:tc>
        <w:tc>
          <w:tcPr>
            <w:tcW w:w="4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75.5%</w:t>
            </w:r>
          </w:p>
        </w:tc>
      </w:tr>
      <w:tr>
        <w:trPr>
          <w:trHeight w:val="20"/>
        </w:trPr>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19,190</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11,976</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39,264</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34,865</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w:t>
            </w:r>
          </w:p>
        </w:tc>
      </w:tr>
      <w:tr>
        <w:trPr>
          <w:trHeight w:val="210"/>
        </w:trPr>
        <w:tc>
          <w:tcPr>
            <w:tcW w:w="2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9"/>
              </w:rPr>
              <w:t>Research and development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11,206</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10,466</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32,567</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32,802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4,491</w:t>
            </w:r>
          </w:p>
        </w:tc>
        <w:tc>
          <w:tcPr>
            <w:tcW w:w="4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2,518</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10,858</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7,444</w:t>
            </w:r>
          </w:p>
        </w:tc>
        <w:tc>
          <w:tcPr>
            <w:tcW w:w="4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10,272</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9,988</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31,520</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31,312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r>
      <w:tr>
        <w:trPr>
          <w:trHeight w:val="20"/>
        </w:trPr>
        <w:tc>
          <w:tcPr>
            <w:tcW w:w="2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2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25,969</w:t>
            </w:r>
          </w:p>
        </w:tc>
        <w:tc>
          <w:tcPr>
            <w:tcW w:w="4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22,972</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74,945</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71,558</w:t>
            </w:r>
          </w:p>
        </w:tc>
        <w:tc>
          <w:tcPr>
            <w:tcW w:w="4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r>
      <w:tr>
        <w:trPr>
          <w:trHeight w:val="20"/>
        </w:trPr>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(6,779)</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(10,996)</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(35,681)</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(36,693)</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(25.8)%</w:t>
            </w:r>
          </w:p>
        </w:tc>
      </w:tr>
      <w:tr>
        <w:trPr>
          <w:trHeight w:val="210"/>
        </w:trPr>
        <w:tc>
          <w:tcPr>
            <w:tcW w:w="2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(1,480)</w:t>
            </w:r>
          </w:p>
        </w:tc>
        <w:tc>
          <w:tcPr>
            <w:tcW w:w="4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(1,517)</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(4,424)</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(4,003)</w:t>
            </w:r>
          </w:p>
        </w:tc>
        <w:tc>
          <w:tcPr>
            <w:tcW w:w="4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1,446</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2,096</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1,742</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195"/>
        </w:trPr>
        <w:tc>
          <w:tcPr>
            <w:tcW w:w="222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Total other income</w:t>
            </w: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(expense), net</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4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46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(2,108)</w:t>
            </w:r>
          </w:p>
        </w:tc>
        <w:tc>
          <w:tcPr>
            <w:tcW w:w="4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(1,532)</w:t>
            </w:r>
          </w:p>
        </w:tc>
        <w:tc>
          <w:tcPr>
            <w:tcW w:w="4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(7,367)</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(10,720)</w:t>
            </w:r>
          </w:p>
        </w:tc>
        <w:tc>
          <w:tcPr>
            <w:tcW w:w="4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(37,789)</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(38,225)</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(26.9)%</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w w:val="94"/>
              </w:rPr>
              <w:t>Income tax benefit (expense)</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(2,249)</w:t>
            </w:r>
          </w:p>
        </w:tc>
        <w:tc>
          <w:tcPr>
            <w:tcW w:w="4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1,940</w:t>
            </w:r>
          </w:p>
        </w:tc>
        <w:tc>
          <w:tcPr>
            <w:tcW w:w="4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(7,224)</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7,605</w:t>
            </w:r>
          </w:p>
        </w:tc>
        <w:tc>
          <w:tcPr>
            <w:tcW w:w="4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0"/>
        </w:trPr>
        <w:tc>
          <w:tcPr>
            <w:tcW w:w="2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(9,616)</w:t>
            </w:r>
          </w:p>
        </w:tc>
        <w:tc>
          <w:tcPr>
            <w:tcW w:w="4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(8,780)</w:t>
            </w:r>
          </w:p>
        </w:tc>
        <w:tc>
          <w:tcPr>
            <w:tcW w:w="46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(45,013)</w:t>
            </w:r>
          </w:p>
        </w:tc>
        <w:tc>
          <w:tcPr>
            <w:tcW w:w="4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(24.7)%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(30,620)</w:t>
            </w:r>
          </w:p>
        </w:tc>
        <w:tc>
          <w:tcPr>
            <w:tcW w:w="4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(21.5)%</w:t>
            </w: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telecom and FTTH markets. We derive a significant portion of our revenue from our top ten customers, and we anticipate that we will continue to do so for the foreseeable future. The following charts provide the revenue contribution from each of the markets we served for the three and nine months ended September 30, 2020 and 2019 (in thousands, except percentages):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w w:val="91"/>
              </w:rPr>
              <w:t>Three months ended September 30,</w:t>
            </w:r>
          </w:p>
        </w:tc>
        <w:tc>
          <w:tcPr>
            <w:tcW w:w="11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9"/>
              </w:rPr>
              <w:t>%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3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55,336</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34,006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21,330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CATV</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11,642</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8,797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2,845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209.3%</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FTTH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71.8%</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85.3%</w:t>
            </w:r>
          </w:p>
        </w:tc>
      </w:tr>
      <w:tr>
        <w:trPr>
          <w:trHeight w:val="20"/>
        </w:trPr>
        <w:tc>
          <w:tcPr>
            <w:tcW w:w="3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2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76,608</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46,084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30,524</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r>
      <w:tr>
        <w:trPr>
          <w:trHeight w:val="20"/>
        </w:trPr>
        <w:tc>
          <w:tcPr>
            <w:tcW w:w="3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w w:val="90"/>
              </w:rPr>
              <w:t>Nine months ended September 30,</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3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0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141,133</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104,311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36,822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CATV</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22,007</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30,577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(8,570)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17,600</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11,364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182.2%</w:t>
            </w:r>
          </w:p>
        </w:tc>
      </w:tr>
    </w:tbl>
    <w:p>
      <w:pPr>
        <w:sectPr>
          <w:pgSz w:w="11900" w:h="16838" w:orient="portrait"/>
          <w:cols w:equalWidth="0" w:num="1">
            <w:col w:w="11240"/>
          </w:cols>
          <w:pgMar w:left="320" w:top="125" w:right="339" w:bottom="0" w:gutter="0" w:footer="0" w:header="0"/>
        </w:sectPr>
      </w:pPr>
    </w:p>
    <w:bookmarkStart w:id="26" w:name="page27"/>
    <w:bookmarkEnd w:id="26"/>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FTTH</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w:t>
            </w:r>
          </w:p>
        </w:tc>
      </w:tr>
      <w:tr>
        <w:trPr>
          <w:trHeight w:val="20"/>
        </w:trPr>
        <w:tc>
          <w:tcPr>
            <w:tcW w:w="3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2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182,298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142,214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40,084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increase in revenue during the three and nine months ended September 30, 2020 was driven primarily by increased demand for our 100 Gbps transceivers in our data center market , and laser chips used in the manufacture of transceivers for 5G wireless communications in our telecom market. For the nine months ended September 30, 2020, these increases were partially offset by a decrease in demand for CATV products. However, for the three months ended September 30, 2020, demand for CATV products increased, which added to the increases in data center and telecom revenue. The increase in 100 Gbps demand includes increased demand from several existing customers, along with new customer additions. We believe that some of this increase is related to increased demand for cloud-based services as a result of a shift to remote-working arrangements in the US and other areas, which in turn caused our customers to increase capacity in their data centers requiring more optical transceivers, especially 100 Gbps transceivers. The increase in 5G-related sales came mainly from customers in China, as wireless operators in that country have begun to deploy advanced 5G mobile networks. The decrease in revenue in our CATV for the nine months period was mainly a result of reduced overall market demand for CATV outside plant products earlier in 2020, which we attribute to reduced desire on the part of CATV multiple-system operators ("MSOs") to deploy capex to increase their network capacity. The increase in revenue for our CATV products in the three months ended September 30, 2020 is due to increased demand from CATV MSOs as the began to add capacity to their networks. This increase in demand was at least partially attributable to network capacity expansion, particularly in the upstream direction, which is related to changes in network traffic due to increased working from home in the US earlier in the year.</w:t>
      </w:r>
    </w:p>
    <w:p>
      <w:pPr>
        <w:spacing w:after="0" w:line="174"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For the three months ended September 30, 2020 and 2019, our top ten customers represented 84.9% and 88.3% of our revenue, respectively. For the nine months ended September 30, 2020 and 2019, our top ten customers represented 84.9% and 89.0%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8"/>
                <w:szCs w:val="18"/>
                <w:b w:val="1"/>
                <w:bCs w:val="1"/>
                <w:color w:val="auto"/>
                <w:w w:val="91"/>
              </w:rPr>
              <w:t>Three months ended September 30,</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57,418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34,108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23,310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19,190</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11,976</w:t>
            </w: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2"/>
              </w:rPr>
              <w:t>Nine months ended September 30,</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143,034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107,349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35,685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39,264</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34,865</w:t>
            </w: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Cost of goods sold increased by $23.3 million, or 68.3%, for the three months ended September 30, 2020 as compared to the three months ended September 30, 2019, primarily due to a 66.2% increase in sales over the prior year. Cost of goods sold increased by $35.7 million, or 33.2%, for the nine months ended September 30, 2020 as compared to the nine months ended September 30, 2019, primarily due to a 28.2% increase in sales over the prior year.</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Gross margin decreased year over year primarily as a result of changes in the mix of products within our datacenter segment. In particular, we saw an increase in sales of certain lower-cost 100 Gbps transceivers, designed for shorter reaches within the datacenter, relative to sales of transceivers designed for longer reaches. This product mix resulted in an overall reduction in gross margin. Also contributing to the reduced gross margin was production inefficiencies, higher costs of certain raw materials, and increased shipping costs due the COVID-19 pandemic.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9"/>
          </w:tcPr>
          <w:p>
            <w:pPr>
              <w:ind w:left="100"/>
              <w:spacing w:after="0"/>
              <w:rPr>
                <w:sz w:val="20"/>
                <w:szCs w:val="20"/>
                <w:color w:val="auto"/>
              </w:rPr>
            </w:pPr>
            <w:r>
              <w:rPr>
                <w:rFonts w:ascii="Arial" w:cs="Arial" w:eastAsia="Arial" w:hAnsi="Arial"/>
                <w:sz w:val="18"/>
                <w:szCs w:val="18"/>
                <w:b w:val="1"/>
                <w:bCs w:val="1"/>
                <w:color w:val="auto"/>
                <w:w w:val="95"/>
              </w:rPr>
              <w:t>Three months ended September 30,</w:t>
            </w: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vMerge w:val="restart"/>
          </w:tcPr>
          <w:p>
            <w:pPr>
              <w:ind w:left="7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9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3"/>
              </w:rPr>
              <w:t>except percentages)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11,206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10,466</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1,973</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9,988</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25,969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22,972</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2,997</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9"/>
          </w:tcPr>
          <w:p>
            <w:pPr>
              <w:ind w:left="80"/>
              <w:spacing w:after="0"/>
              <w:rPr>
                <w:sz w:val="20"/>
                <w:szCs w:val="20"/>
                <w:color w:val="auto"/>
              </w:rPr>
            </w:pPr>
            <w:r>
              <w:rPr>
                <w:rFonts w:ascii="Arial" w:cs="Arial" w:eastAsia="Arial" w:hAnsi="Arial"/>
                <w:sz w:val="18"/>
                <w:szCs w:val="18"/>
                <w:b w:val="1"/>
                <w:bCs w:val="1"/>
                <w:color w:val="auto"/>
                <w:w w:val="99"/>
              </w:rPr>
              <w:t>Nine months ended September 30,</w:t>
            </w: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2019</w:t>
            </w:r>
          </w:p>
        </w:tc>
        <w:tc>
          <w:tcPr>
            <w:tcW w:w="9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revenue</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64" w:orient="portrait"/>
          <w:cols w:equalWidth="0" w:num="1">
            <w:col w:w="11240"/>
          </w:cols>
          <w:pgMar w:left="320" w:top="125" w:right="3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86"/>
              </w:rPr>
              <w:t>(in thousands, except percentages)</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32,802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10,858</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7,444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3,414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45.9%</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31,312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r>
      <w:tr>
        <w:trPr>
          <w:trHeight w:val="20"/>
        </w:trPr>
        <w:tc>
          <w:tcPr>
            <w:tcW w:w="3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74,945</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71,558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3,387</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r>
      <w:tr>
        <w:trPr>
          <w:trHeight w:val="20"/>
        </w:trPr>
        <w:tc>
          <w:tcPr>
            <w:tcW w:w="3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00" w:firstLine="648"/>
        <w:spacing w:after="0" w:line="313" w:lineRule="auto"/>
        <w:rPr>
          <w:sz w:val="20"/>
          <w:szCs w:val="20"/>
          <w:color w:val="auto"/>
        </w:rPr>
      </w:pPr>
      <w:r>
        <w:rPr>
          <w:rFonts w:ascii="Arial" w:cs="Arial" w:eastAsia="Arial" w:hAnsi="Arial"/>
          <w:sz w:val="15"/>
          <w:szCs w:val="15"/>
          <w:color w:val="auto"/>
        </w:rPr>
        <w:t>Research and development expense increased by $0.7 million, or 7.1% for the three months ended September 30, 2020 as compared to the three months ended September 30, 2019. Research and development expense decreased by $0.2 million, or 0.7% for the nine months ended September 30, 2020 as compared to the nine months ended September 30, 2019. Research and development costs consist of R&amp;D work orders, R&amp;D material usage and other project related costs related to 100 Gbps, 200/400 Gbps data center products, DOCSIS 3.1 capable CATV products, including remote-PHY products, and other new product development, and depreciation expense resulting from R&amp;D equipment investments. For the three months ended September 30, 2020, these increases were primarily due to an increase in personnel-related costs, and share-based compensation expense. For the nine months ended September 30, 2020, these increase were offset with a decrease in costs from R&amp;D work orders and travel-related costs as a result of the COVID-19 pandemic.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Sales and marketing expense decreased by $2.0 million, or 78.4% for the three months ended September 30, 2020 as compared to the three months ended September 30, 2019. Sales and marketing expense increased by $3.4 million, or 45.9% for the nine months ended September 30, 2020 as compared to the nine months ended September 30, 2019. These increases were primarily due to increase in commission expenses, duties and freight. These increases were partially offset by a decrease in trade show expenses and travel-related costs as a result of the COVID-19 pandemic. As a result of the pandemic outbreak, the Company has modified many of its customary business practices by limiting employee travel including cancelling in-person participation in various meetings, events and conferences.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General and administrative expense increased by $0.3 million, or 2.8% for the three months ended September 30, 2020 compared to the three months ended September 30, 2019. General and administrative expense increased by $0.2 million, or 0.7% for the nine months ended September 30, 2020 compared to the nine months ended September 30, 2019. These increases were primarily due to an increase in personnel-related costs, share-based compensation expense and insurance expense. These increases were partially offset by a decrease in legal expenses, some of which were paid by our insurance carrier rather than the Company, as legal expenses related to the first of our shareholder class action lawsuits have exceeded the retention in our insurance contract.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8"/>
                <w:szCs w:val="18"/>
                <w:b w:val="1"/>
                <w:bCs w:val="1"/>
                <w:color w:val="auto"/>
                <w:w w:val="92"/>
              </w:rPr>
              <w:t>Three months ended September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6"/>
              </w:rPr>
              <w:t>(in thousands,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73"/>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(1,480)</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(1,517)</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1,446</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ind w:left="1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(864)</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4"/>
              </w:rPr>
              <w:t>Nine months ended September 30,</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6"/>
              </w:rPr>
              <w:t>(in thousands,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73"/>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729</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(4,424)</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(4,003)</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1,742</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tcPr>
          <w:p>
            <w:pPr>
              <w:ind w:left="1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(2,108)</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(1,532)</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(576)</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Interest income decreased by $0.3 million, or 92.5% for the three months ended September 30, 2020 compared to the three months ended September 30, 2019. Interest income decreased by $0.5 million, or 69.8% for the nine months ended September 30, 2020 compared to the nine months ended September 30, 2019. The changes are similar to expected rates of fluctuation with the interest rates and cash balances.</w:t>
      </w:r>
    </w:p>
    <w:p>
      <w:pPr>
        <w:spacing w:after="0" w:line="165"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Interest expense decreased slightly for the three months ended September 30, 2020 compared to the three months ended September 30, 2019. Interest expense increased $0.4 million, or 10.5% for the nine months ended September 30, 2020 compared to the nine months ended September 30, 2019. This increase was due to higher average debt balances during the nine months period.</w:t>
      </w:r>
    </w:p>
    <w:p>
      <w:pPr>
        <w:spacing w:after="0" w:line="18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Other income (expense), net decreased by $0.6 million, or 40.0%, for the three months ended September 30, 2020 as compared to the three months ended September 30, 2019. Other income (expense), net increased by $0.3 million, or 20.4%, for the nine months ended September 30, 2020 as compared to the nine months ended September 30, 2019. These changes were mainly due to an increase in government subsidy income in China and Taiwan. Government subsidy income associated with our investments in new product development and as a result of our designation as a high-tech enterprise in</w:t>
      </w:r>
    </w:p>
    <w:p>
      <w:pPr>
        <w:sectPr>
          <w:pgSz w:w="11900" w:h="16838" w:orient="portrait"/>
          <w:cols w:equalWidth="0" w:num="1">
            <w:col w:w="11240"/>
          </w:cols>
          <w:pgMar w:left="320" w:top="121" w:right="339" w:bottom="0" w:gutter="0" w:footer="0" w:header="0"/>
        </w:sectPr>
      </w:pPr>
    </w:p>
    <w:bookmarkStart w:id="28" w:name="page29"/>
    <w:bookmarkEnd w:id="28"/>
    <w:p>
      <w:pPr>
        <w:spacing w:after="0" w:line="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China was $0.4 million and $1.3 million for the nine months ended September 30, 2020 and 2019, respectively. In addition, government subsidy income associated with COVID-19 pandemic was $1.3 million for the nine months ended September 30,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Benefit (provision) for income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b w:val="1"/>
                <w:bCs w:val="1"/>
                <w:color w:val="auto"/>
                <w:w w:val="88"/>
              </w:rPr>
              <w:t>Three months ended September 30,</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1"/>
              </w:rPr>
              <w:t>(in thousands,</w:t>
            </w:r>
          </w:p>
        </w:tc>
        <w:tc>
          <w:tcPr>
            <w:tcW w:w="19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80"/>
              </w:rPr>
              <w:t>except percentages)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1,940</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(4,189)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w:t>
            </w:r>
          </w:p>
        </w:tc>
      </w:tr>
      <w:tr>
        <w:trPr>
          <w:trHeight w:val="432"/>
        </w:trPr>
        <w:tc>
          <w:tcPr>
            <w:tcW w:w="5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w w:val="90"/>
              </w:rPr>
              <w:t>Nine months ended September 30,</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1"/>
              </w:rPr>
              <w:t>(in thousands,</w:t>
            </w:r>
          </w:p>
        </w:tc>
        <w:tc>
          <w:tcPr>
            <w:tcW w:w="19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80"/>
              </w:rPr>
              <w:t>except percentages)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(7,224)</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7,605</w:t>
            </w:r>
          </w:p>
        </w:tc>
        <w:tc>
          <w:tcPr>
            <w:tcW w:w="1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(14,829)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w:t>
            </w:r>
          </w:p>
        </w:tc>
      </w:tr>
    </w:tbl>
    <w:p>
      <w:pPr>
        <w:spacing w:after="0" w:line="200" w:lineRule="exact"/>
        <w:rPr>
          <w:sz w:val="20"/>
          <w:szCs w:val="20"/>
          <w:color w:val="auto"/>
        </w:rPr>
      </w:pPr>
    </w:p>
    <w:p>
      <w:pPr>
        <w:spacing w:after="0" w:line="218"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The Company’s effective tax rate for the three months ended September 30, 2020 and 2019 was (30.69%) and 17.6%, respectively. For the three months ended September 30, 2020, the effective tax rate varied from the federal statutory rate of 21% primarily due to the change of the valuation allowance on federal, state, and Taiwan deferred tax assets ("DTA"), and the recording of a valuation allowance on China deferred tax assets. For the three months ended September 30, 2019, the effective tax rate varied from the federal statutory rate of 21% primarily due to the level and mix of earnings among tax jurisdictions, share-based compensation, and tax benefits related to research and development.</w:t>
      </w:r>
    </w:p>
    <w:p>
      <w:pPr>
        <w:spacing w:after="0" w:line="176" w:lineRule="exact"/>
        <w:rPr>
          <w:sz w:val="20"/>
          <w:szCs w:val="20"/>
          <w:color w:val="auto"/>
        </w:rPr>
      </w:pPr>
    </w:p>
    <w:p>
      <w:pPr>
        <w:ind w:right="120" w:firstLine="648"/>
        <w:spacing w:after="0" w:line="268" w:lineRule="auto"/>
        <w:rPr>
          <w:sz w:val="20"/>
          <w:szCs w:val="20"/>
          <w:color w:val="auto"/>
        </w:rPr>
      </w:pPr>
      <w:r>
        <w:rPr>
          <w:rFonts w:ascii="Arial" w:cs="Arial" w:eastAsia="Arial" w:hAnsi="Arial"/>
          <w:sz w:val="17"/>
          <w:szCs w:val="17"/>
          <w:color w:val="auto"/>
        </w:rPr>
        <w:t>The Company’s effective tax rate for the nine months ended September 30, 2020 and 2019 was (19.15%) and 19.9%, respectively. For the nine months ended September 30, 2020, the effective tax rate varied from the federal statutory rate of 21% primarily due to the change of the valuation allowance on federal, and state, deferred tax assets, and the recording of a valuation allowance on Taiwan and China deferred tax assets. For the nine months ended September 30, 2019, the effective tax rate varied from the federal statutory rate of 21% primarily due to the level and mix of earnings among tax jurisdictions, share-based compensation, and tax benefits related to research and development.</w:t>
      </w:r>
    </w:p>
    <w:p>
      <w:pPr>
        <w:spacing w:after="0" w:line="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As of September 30, 2020, we had $23.7 million of unused borrowing capacity from all of our loan agreements. As of September 30, 2020, our cash, cash equivalents and restricted cash totaled $58.1 million. Cash and cash equivalents are held for working capital purposes and are invested primarily in money market or time deposit funds. We do not enter into investments for trading or speculative purposes.</w:t>
      </w:r>
    </w:p>
    <w:p>
      <w:pPr>
        <w:spacing w:after="0" w:line="184" w:lineRule="exact"/>
        <w:rPr>
          <w:sz w:val="20"/>
          <w:szCs w:val="20"/>
          <w:color w:val="auto"/>
        </w:rPr>
      </w:pPr>
    </w:p>
    <w:p>
      <w:pPr>
        <w:ind w:right="560" w:firstLine="693"/>
        <w:spacing w:after="0" w:line="263" w:lineRule="auto"/>
        <w:rPr>
          <w:sz w:val="20"/>
          <w:szCs w:val="20"/>
          <w:color w:val="auto"/>
        </w:rPr>
      </w:pPr>
      <w:r>
        <w:rPr>
          <w:rFonts w:ascii="Arial" w:cs="Arial" w:eastAsia="Arial" w:hAnsi="Arial"/>
          <w:sz w:val="18"/>
          <w:szCs w:val="18"/>
          <w:color w:val="auto"/>
        </w:rPr>
        <w:t>On October 24, 2019, we filed a Registration Statement on Form S-3 with the Securities and Exchange Commission, which was declared effective on January 9, 2020, providing for the public offer and sale of certain securities of the Company from time to time, at our discretion, up to an aggregate amount of $250 million.</w:t>
      </w:r>
    </w:p>
    <w:p>
      <w:pPr>
        <w:spacing w:after="0" w:line="184"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On February 28, 2020, we entered into an Equity Distribution Agreement (the “Agreement”) with Raymond James &amp; Associates, Inc. (the “Sales Agent”) pursuant to which the Company may issue and sell shares of the Company’s common stock, par value $0.001 per share (the “Shares”) having an aggregate offering price of up to $55 million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spacing w:after="0" w:line="172"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The Agreement provides that the Sales Agent will be entitled to compensation of up to 2% of the gross sales price of the Shares sold through the Sales Agent from time to time. The Company has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the Company fails to sell a minimum amount of the Shares as set forth in the Agreement, then the Company has agreed to reimburse the Sales Agent for reasonable out-of-pocket expenses, including the reasonable fees and disbursements of counsel incurred by the Sales Agent, up to a maximum of $30,000 in the aggregate. The Company agreed to indemnify the Sales Agent against certain liabilities, including liabilities under the Securities Act, or to contribute to payments that the Sales Agent may be required to make because of any of those liabilities.</w:t>
      </w:r>
    </w:p>
    <w:p>
      <w:pPr>
        <w:spacing w:after="0" w:line="16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In March 2020, we commenced sales of common stock through an At-The-Market (ATM) Offering. The details of the shares of common stock sold through the ATM Offering through September 30, 2020 are as follows (in thousands, except shares and weighted average per share price):</w:t>
      </w:r>
    </w:p>
    <w:p>
      <w:pPr>
        <w:spacing w:after="0" w:line="12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r>
      <w:tr>
        <w:trPr>
          <w:trHeight w:val="216"/>
        </w:trPr>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Average Per</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to Distribution</w:t>
            </w:r>
          </w:p>
        </w:tc>
      </w:tr>
      <w:tr>
        <w:trPr>
          <w:trHeight w:val="234"/>
        </w:trPr>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Distribution Agent</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Month</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Share Price</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Sold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Net Proceeds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Agent</w:t>
            </w:r>
          </w:p>
        </w:tc>
        <w:tc>
          <w:tcPr>
            <w:tcW w:w="100" w:type="dxa"/>
            <w:vAlign w:val="bottom"/>
          </w:tcPr>
          <w:p>
            <w:pPr>
              <w:spacing w:after="0"/>
              <w:rPr>
                <w:sz w:val="20"/>
                <w:szCs w:val="20"/>
                <w:color w:val="auto"/>
              </w:rPr>
            </w:pPr>
          </w:p>
        </w:tc>
      </w:tr>
      <w:tr>
        <w:trPr>
          <w:trHeight w:val="209"/>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March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9.2131</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May 2020</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8.7387</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923,160</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7,906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June 2020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9.5314</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654,558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July 2020</w:t>
            </w:r>
          </w:p>
        </w:tc>
        <w:tc>
          <w:tcPr>
            <w:tcW w:w="1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11.0942</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689,936</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August 2020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13.6520</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89,988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left="440" w:right="660" w:firstLine="324"/>
        <w:spacing w:after="0" w:line="277" w:lineRule="auto"/>
        <w:rPr>
          <w:sz w:val="20"/>
          <w:szCs w:val="20"/>
          <w:color w:val="auto"/>
        </w:rPr>
      </w:pPr>
      <w:r>
        <w:rPr>
          <w:rFonts w:ascii="Arial" w:cs="Arial" w:eastAsia="Arial" w:hAnsi="Arial"/>
          <w:sz w:val="18"/>
          <w:szCs w:val="18"/>
          <w:color w:val="auto"/>
        </w:rPr>
        <w:t>As of September 30, 2020, the total gross sales were $23.2 million and thus remaining amount of common stock we have available to sell under the ATM Offering is $31.8 million.</w:t>
      </w:r>
    </w:p>
    <w:p>
      <w:pPr>
        <w:sectPr>
          <w:pgSz w:w="11900" w:h="16882" w:orient="portrait"/>
          <w:cols w:equalWidth="0" w:num="1">
            <w:col w:w="11320"/>
          </w:cols>
          <w:pgMar w:left="320" w:top="125" w:right="259" w:bottom="0" w:gutter="0" w:footer="0" w:header="0"/>
        </w:sectPr>
      </w:pPr>
    </w:p>
    <w:bookmarkStart w:id="29" w:name="page30"/>
    <w:bookmarkEnd w:id="29"/>
    <w:p>
      <w:pPr>
        <w:ind w:right="60" w:firstLine="648"/>
        <w:spacing w:after="0" w:line="311" w:lineRule="auto"/>
        <w:rPr>
          <w:sz w:val="20"/>
          <w:szCs w:val="20"/>
          <w:color w:val="auto"/>
        </w:rPr>
      </w:pPr>
      <w:r>
        <w:rPr>
          <w:rFonts w:ascii="Arial" w:cs="Arial" w:eastAsia="Arial" w:hAnsi="Arial"/>
          <w:sz w:val="16"/>
          <w:szCs w:val="16"/>
          <w:color w:val="auto"/>
        </w:rPr>
        <w:t>On March 5, 2019, the Company issued $80.5 million of 5% convertible senior notes due 2024, bearing interest at a rate of 5% per year maturing on March 15, 2024, unless earlier repurchased, redeemed or converted in accordance with their terms. The sale of the Notes generated net proceeds of $76.4 million, after expenses. Also refer to Note 12 “Convertible Senior Notes” to the consolidated financial statements for further discussion of the Notes.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3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10"/>
        </w:trPr>
        <w:tc>
          <w:tcPr>
            <w:tcW w:w="4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9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(29,905)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1,411</w:t>
            </w: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(15,075)</w:t>
            </w: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(26,997)</w:t>
            </w: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36,978</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39,586</w:t>
            </w: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w w:val="97"/>
              </w:rPr>
              <w:t>Effect of exchange rates on cash and cash equivalents</w:t>
            </w:r>
          </w:p>
        </w:tc>
        <w:tc>
          <w:tcPr>
            <w:tcW w:w="1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(958)</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r>
      <w:tr>
        <w:trPr>
          <w:trHeight w:val="20"/>
        </w:trPr>
        <w:tc>
          <w:tcPr>
            <w:tcW w:w="4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increase (decrease) in cash and cash equivalents</w:t>
            </w:r>
          </w:p>
        </w:tc>
        <w:tc>
          <w:tcPr>
            <w:tcW w:w="19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14,372</w:t>
            </w:r>
          </w:p>
        </w:tc>
      </w:tr>
      <w:tr>
        <w:trPr>
          <w:trHeight w:val="413"/>
        </w:trPr>
        <w:tc>
          <w:tcPr>
            <w:tcW w:w="428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jc w:val="right"/>
              <w:ind w:right="1250"/>
              <w:spacing w:after="0"/>
              <w:rPr>
                <w:sz w:val="20"/>
                <w:szCs w:val="20"/>
                <w:color w:val="auto"/>
              </w:rPr>
            </w:pPr>
            <w:r>
              <w:rPr>
                <w:rFonts w:ascii="Arial" w:cs="Arial" w:eastAsia="Arial" w:hAnsi="Arial"/>
                <w:sz w:val="18"/>
                <w:szCs w:val="18"/>
                <w:color w:val="auto"/>
              </w:rPr>
              <w:t>32</w:t>
            </w:r>
          </w:p>
        </w:tc>
        <w:tc>
          <w:tcPr>
            <w:tcW w:w="9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For the nine months ended September 30, 2020, net cash used in operating activities was $29.9 million. Net cash used in operating activities consisted of our net loss of $45.0 million after exclusion of non-cash items of $39.2 million, cash decreased due to an increase in inventory of $27.3 million and accounts receivable from our customers of $16.8 million, offset by an increase in accounts payable to our vendors of $23.3 million.</w:t>
      </w:r>
    </w:p>
    <w:p>
      <w:pPr>
        <w:spacing w:after="0" w:line="16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For the nine months ended September 30, 2019, net cash provided by operating activities was $1.4 million. Net cash provided by operating activities consisted of our net loss of $30.6 million, adjustments for non-cash items of $26.3 million, a decrease in inventory of $3.2 million, a decrease in other current assets of $5.6 million and a decrease in accounts receivable from our customers of $0.8 million. These increases were offset by a decrease in accrued liabilities of $2.4 million and an increase in accounts payable to our vendors of $1.8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the nine months ended September 30, 2020, net cash used in investing activities was $15.1 million, mainly from the purchase of additional plant, machinery and equipment.</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For the nine months ended September 30, 2019, net cash used in investing activities was $27.0 million, mainly for investment in the construction of our new factory in China, as well as the purchase of additional machinery and equipment used in production and R&amp;D.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For the nine months ended September 30, 2020, our financing activities provided $37.0 million in cash. This increase in cash was due to $22.6 million of net proceeds from our At The Market (ATM) Offering, $6.2 million proceeds from PPP term loan, $6.3 million net proceeds from lines of credit and $6.7 million net proceeds from acceptances payable.</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For the nine months ended September 30, 2019, our financing activities provided $39.6 million in cash. This increase in cash was due to $76.4 million of proceeds from the issuance of convertible senior notes offset by net loan repayments of $36.1 million.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We have lending arrangements with several financial institutions. In the US, we have a revolving line of credit and a PPP Term Note with Truist Bank. The line of credit contains financial covenants that may limit the amount and types of debt that we may incur. As of September 30, 2020, we were in compliance with these covenants.</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Taiwan, we have a revolving credit facility with Taishin International Bank and equipment finance agreements with Chailease Finance Co., Ltd. for Prime World’s Taiwan Branch. In China, we have revolving lines of credit with China Merchants Bank Co., Ltd. and Shanghai Pudong Development Bank Co., Ltd. and credit facilities with China Zheshang Bank Co., Ltd. for our China Subsidiary, Global.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we had $23.7 million of unused borrowing capacity.</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March 5, 2019, we issued $80.5 million of 5% convertible senior notes due 2024. The Notes will mature on March 15, 2024, unless earlier repurchased, redeemed or converted in accordance with their terms.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See Note 11 “Notes Payable and Long-term Debt” and Note 12 “Convertible Senior Notes” of our Condensed Consolidated Financial Statements for a description of our notes payable and long-term debt and convertible senior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factory construction</w:t>
      </w:r>
    </w:p>
    <w:p>
      <w:pPr>
        <w:spacing w:after="0" w:line="225"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September 30, 2020, construction of the building is complete, and approximately $26.2 million of this total cost has been paid as of</w:t>
      </w:r>
    </w:p>
    <w:p>
      <w:pPr>
        <w:sectPr>
          <w:pgSz w:w="11900" w:h="16838" w:orient="portrait"/>
          <w:cols w:equalWidth="0" w:num="1">
            <w:col w:w="11240"/>
          </w:cols>
          <w:pgMar w:left="320" w:top="341" w:right="339" w:bottom="0" w:gutter="0" w:footer="0" w:header="0"/>
        </w:sectPr>
      </w:pPr>
    </w:p>
    <w:bookmarkStart w:id="30" w:name="page31"/>
    <w:bookmarkEnd w:id="30"/>
    <w:p>
      <w:pPr>
        <w:ind w:right="200"/>
        <w:spacing w:after="0" w:line="277" w:lineRule="auto"/>
        <w:rPr>
          <w:sz w:val="20"/>
          <w:szCs w:val="20"/>
          <w:color w:val="auto"/>
        </w:rPr>
      </w:pPr>
      <w:r>
        <w:rPr>
          <w:rFonts w:ascii="Arial" w:cs="Arial" w:eastAsia="Arial" w:hAnsi="Arial"/>
          <w:sz w:val="18"/>
          <w:szCs w:val="18"/>
          <w:color w:val="auto"/>
        </w:rPr>
        <w:t>reporting date, with the remaining portion due one year after final inspection. We anticipate additional expenses for building improvements to the factory and we are in the process of evaluating the timing of these expenditures and obtaining bids for any such work.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and other facilities at our Ningbo, China location,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September 30, 2020 (in thousands):</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Notes payable and long-term debt</w:t>
      </w:r>
      <w:r>
        <w:rPr>
          <w:rFonts w:ascii="Arial" w:cs="Arial" w:eastAsia="Arial" w:hAnsi="Arial"/>
          <w:sz w:val="25"/>
          <w:szCs w:val="25"/>
          <w:color w:val="auto"/>
          <w:vertAlign w:val="superscript"/>
        </w:rPr>
        <w:t>(1)</w:t>
      </w:r>
    </w:p>
    <w:p>
      <w:pPr>
        <w:spacing w:after="0" w:line="180" w:lineRule="auto"/>
        <w:rPr>
          <w:sz w:val="20"/>
          <w:szCs w:val="20"/>
          <w:color w:val="auto"/>
        </w:rPr>
      </w:pPr>
      <w:r>
        <w:rPr>
          <w:rFonts w:ascii="Arial" w:cs="Arial" w:eastAsia="Arial" w:hAnsi="Arial"/>
          <w:sz w:val="16"/>
          <w:szCs w:val="16"/>
          <w:color w:val="auto"/>
        </w:rPr>
        <w:t>Convertible senior notes</w:t>
      </w:r>
      <w:r>
        <w:rPr>
          <w:rFonts w:ascii="Arial" w:cs="Arial" w:eastAsia="Arial" w:hAnsi="Arial"/>
          <w:sz w:val="25"/>
          <w:szCs w:val="25"/>
          <w:color w:val="auto"/>
          <w:vertAlign w:val="superscript"/>
        </w:rPr>
        <w:t>(2)</w:t>
      </w:r>
    </w:p>
    <w:p>
      <w:pPr>
        <w:spacing w:after="0" w:line="184" w:lineRule="auto"/>
        <w:rPr>
          <w:sz w:val="20"/>
          <w:szCs w:val="20"/>
          <w:color w:val="auto"/>
        </w:rPr>
      </w:pPr>
      <w:r>
        <w:rPr>
          <w:rFonts w:ascii="Arial" w:cs="Arial" w:eastAsia="Arial" w:hAnsi="Arial"/>
          <w:sz w:val="16"/>
          <w:szCs w:val="16"/>
          <w:color w:val="auto"/>
        </w:rPr>
        <w:t>Operating leases</w:t>
      </w:r>
      <w:r>
        <w:rPr>
          <w:rFonts w:ascii="Arial" w:cs="Arial" w:eastAsia="Arial" w:hAnsi="Arial"/>
          <w:sz w:val="26"/>
          <w:szCs w:val="26"/>
          <w:color w:val="auto"/>
          <w:vertAlign w:val="superscript"/>
        </w:rPr>
        <w:t>(3)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Financing leases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Total commitments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Payments due by period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4"/>
                <w:szCs w:val="14"/>
                <w:b w:val="1"/>
                <w:bCs w:val="1"/>
                <w:color w:val="auto"/>
              </w:rPr>
              <w:t xml:space="preserve">Less than </w:t>
            </w:r>
            <w:r>
              <w:rPr>
                <w:rFonts w:ascii="Arial" w:cs="Arial" w:eastAsia="Arial" w:hAnsi="Arial"/>
                <w:sz w:val="22"/>
                <w:szCs w:val="22"/>
                <w:b w:val="1"/>
                <w:bCs w:val="1"/>
                <w:color w:val="auto"/>
                <w:vertAlign w:val="superscript"/>
              </w:rPr>
              <w:t>1</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More than</w:t>
            </w:r>
          </w:p>
        </w:tc>
        <w:tc>
          <w:tcPr>
            <w:tcW w:w="20" w:type="dxa"/>
            <w:vAlign w:val="bottom"/>
          </w:tcPr>
          <w:p>
            <w:pPr>
              <w:spacing w:after="0"/>
              <w:rPr>
                <w:sz w:val="16"/>
                <w:szCs w:val="16"/>
                <w:color w:val="auto"/>
              </w:rPr>
            </w:pPr>
          </w:p>
        </w:tc>
      </w:tr>
      <w:tr>
        <w:trPr>
          <w:trHeight w:val="234"/>
        </w:trPr>
        <w:tc>
          <w:tcPr>
            <w:tcW w:w="240" w:type="dxa"/>
            <w:vAlign w:val="bottom"/>
          </w:tcPr>
          <w:p>
            <w:pPr>
              <w:spacing w:after="0"/>
              <w:rPr>
                <w:sz w:val="20"/>
                <w:szCs w:val="20"/>
                <w:color w:val="auto"/>
              </w:rPr>
            </w:pPr>
          </w:p>
        </w:tc>
        <w:tc>
          <w:tcPr>
            <w:tcW w:w="114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1-3 Years</w:t>
            </w:r>
          </w:p>
        </w:tc>
        <w:tc>
          <w:tcPr>
            <w:tcW w:w="14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3-5 Years</w:t>
            </w:r>
          </w:p>
        </w:tc>
        <w:tc>
          <w:tcPr>
            <w:tcW w:w="12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5 Years</w:t>
            </w:r>
          </w:p>
        </w:tc>
      </w:tr>
      <w:tr>
        <w:trPr>
          <w:trHeight w:val="195"/>
        </w:trPr>
        <w:tc>
          <w:tcPr>
            <w:tcW w:w="2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58,856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44,292</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14,564</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94,286</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4,025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8,050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82,211</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10,521</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1,297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2,530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4,352</w:t>
            </w:r>
          </w:p>
        </w:tc>
      </w:tr>
      <w:tr>
        <w:trPr>
          <w:trHeight w:val="230"/>
        </w:trPr>
        <w:tc>
          <w:tcPr>
            <w:tcW w:w="24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9"/>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163,778</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49,636</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25,188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84,602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4,352</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-719455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-445135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68580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125" w:right="339" w:bottom="0" w:gutter="0" w:footer="0" w:header="0"/>
          <w:type w:val="continuous"/>
        </w:sectPr>
      </w:pPr>
    </w:p>
    <w:p>
      <w:pPr>
        <w:spacing w:after="0" w:line="29" w:lineRule="exact"/>
        <w:rPr>
          <w:sz w:val="20"/>
          <w:szCs w:val="20"/>
          <w:color w:val="auto"/>
        </w:rPr>
      </w:pPr>
    </w:p>
    <w:p>
      <w:pPr>
        <w:ind w:left="660" w:right="22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Taiwan and the U.S. that provide various credit facilities, including lines of credit, bank acceptance payable and term loans. The amount presented in the table represents the principal portion and estimated interest expense for the obligations.</w:t>
      </w:r>
    </w:p>
    <w:p>
      <w:pPr>
        <w:spacing w:after="0" w:line="2"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issued convertible senior notes due 2024. The amount present in the table represents the principal portion and estimated interest expense for the obligations.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various non-cancellable lease agreements for our offices.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net sales and revenues or on income from continuing operations or on the prices of raw materials. To the extent we expand our operations in China and Taiwan, such actions may result in inflation having a more significant impact on our operating results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three and nine months ended September 30, 2020, we did not, and we do not currently, have any off-balance sheet arrangements.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our Annual Report for the year ended December 31, 2019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For quantitative and qualitative disclosures about market risk affecting the Company, see Item 7A – Quantitative and Qualitative Disclosures about Market Risk in our Annual Report for the fiscal year ended December 31, 2019. We do not believe the Company’s exposure to market risk has changed materially since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ectPr>
          <w:pgSz w:w="11900" w:h="16838" w:orient="portrait"/>
          <w:cols w:equalWidth="0" w:num="1">
            <w:col w:w="11240"/>
          </w:cols>
          <w:pgMar w:left="320" w:top="125" w:right="339" w:bottom="0" w:gutter="0" w:footer="0" w:header="0"/>
          <w:type w:val="continuous"/>
        </w:sectPr>
      </w:pPr>
    </w:p>
    <w:bookmarkStart w:id="31" w:name="page32"/>
    <w:bookmarkEnd w:id="31"/>
    <w:p>
      <w:pPr>
        <w:jc w:val="both"/>
        <w:ind w:right="120" w:firstLine="648"/>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September 30, 2020. Based upon that evaluation, our Chief Executive Officer and Chief Financial Officer concluded that, as of the end of the period covered by this report, our disclosure controls and procedures were effective.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From time to time, we may be subject to legal proceedings and litigation arising in the ordinary course of business, including, but not limited to, inquiries, investigations, audits and other regulatory proceedings, such as described below. We record a loss provision when we believe it is both probable that a liability has been incurred and the amount can be reasonably estimated. Unless otherwise disclosed, we are unable to estimate the possible loss or range of loss for the legal proceeding described below.</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Except for the lawsuits described below, we believe that there are no claims or actions pending or threatened against us, the ultimate disposition of which would have a material adverse effect on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On August 5, 2017, a lawsuit was filed in the U.S. District Court for the Southern District of Texas against us and two of our officers in </w:t>
      </w:r>
      <w:r>
        <w:rPr>
          <w:rFonts w:ascii="Arial" w:cs="Arial" w:eastAsia="Arial" w:hAnsi="Arial"/>
          <w:sz w:val="16"/>
          <w:szCs w:val="16"/>
          <w:i w:val="1"/>
          <w:iCs w:val="1"/>
          <w:color w:val="auto"/>
        </w:rPr>
        <w:t>Mona</w:t>
      </w:r>
      <w:r>
        <w:rPr>
          <w:rFonts w:ascii="Arial" w:cs="Arial" w:eastAsia="Arial" w:hAnsi="Arial"/>
          <w:sz w:val="16"/>
          <w:szCs w:val="16"/>
          <w:color w:val="auto"/>
        </w:rPr>
        <w:t xml:space="preserve"> </w:t>
      </w:r>
      <w:r>
        <w:rPr>
          <w:rFonts w:ascii="Arial" w:cs="Arial" w:eastAsia="Arial" w:hAnsi="Arial"/>
          <w:sz w:val="16"/>
          <w:szCs w:val="16"/>
          <w:i w:val="1"/>
          <w:iCs w:val="1"/>
          <w:color w:val="auto"/>
        </w:rPr>
        <w:t>Abouzied v. Applied Optoelectronics, Inc., Chih-Hsiang (Thompson) Lin, and Stefan J. Murry, et al.</w:t>
      </w:r>
      <w:r>
        <w:rPr>
          <w:rFonts w:ascii="Arial" w:cs="Arial" w:eastAsia="Arial" w:hAnsi="Arial"/>
          <w:sz w:val="16"/>
          <w:szCs w:val="16"/>
          <w:color w:val="auto"/>
        </w:rPr>
        <w:t>, Case No. 4:17-cv-02399. The complaint in this matter</w:t>
      </w:r>
      <w:r>
        <w:rPr>
          <w:rFonts w:ascii="Arial" w:cs="Arial" w:eastAsia="Arial" w:hAnsi="Arial"/>
          <w:sz w:val="16"/>
          <w:szCs w:val="16"/>
          <w:i w:val="1"/>
          <w:iCs w:val="1"/>
          <w:color w:val="auto"/>
        </w:rPr>
        <w:t xml:space="preserve"> </w:t>
      </w:r>
      <w:r>
        <w:rPr>
          <w:rFonts w:ascii="Arial" w:cs="Arial" w:eastAsia="Arial" w:hAnsi="Arial"/>
          <w:sz w:val="16"/>
          <w:szCs w:val="16"/>
          <w:color w:val="auto"/>
        </w:rPr>
        <w:t>seeks class action status on behalf of our shareholders, alleging violations of Sections 10(b) and 20(a) of the Exchange Act against us, our chief executive officer, and our chief financial officer, arising out of our announcement on August 3, 2017 that “we see softer than expected demand for our 40G solutions with one of our large customers that will offset the sequential growth and increased demand we expect in 100G.” A second, related action was filed by Plaintiff Chad Ludwig on August 16, 2017 (Case No. 4:17-cv-02512) in the Southern District of Texas. The two cases were consolidated before Judge Vanessa D. Gilmore. On January 22, 2018, the court appointed Lawrence Rougier as Lead Plaintiff and Levi &amp; Korsinsky LLP as Lead Counsel. Lead Plaintiff filed an amended consolidated class action complaint on March 6, 2018. The amended complaint requests unspecified damages and other relief. The Company filed a motion to dismiss on April 4, 2018, which was denied on March 28, 2019. On May 15, 2019, Lead Plaintiff filed a motion for leave to amend the consolidated class action complaint for the purpose of adding named Plaintiffs Richard Hamilton, Kenneth X. Luthy, Roy H. Cetlin, and John Kugel (together with Lead Plaintiff Lawrence Rougier, “Plaintiffs”) to the case. The court granted the motion on May 16, 2019. The substantive allegations in the Plaintiffs’ operative second amended consolidated class action complaint remain unchanged. On May 28, 2019, Plaintiffs filed a motion seeking to certify the case as a class action pursuant to Federal Rule of Civil Procedure 23 and seeking appointment of Plaintiffs as class representatives and Levi &amp; Korsinsky as class counsel. On July 12, 2019, we filed a response in opposition to the motion for class certification, and on August 26, 2019, Plaintiffs filed their reply brief. On November 13, 2019, the Magistrate Judge issued a Memorandum and Recommendation recommending that the Plaintiffs’ motion for class certification be granted, to which we filed written objections on November 27, 2019. On December 11, 2019, Plaintiffs filed a response in opposition to our objections, and on December 16, 2019, we filed our reply brief. The court entered an order adopting the Magistrate Judge’s Memorandum and Recommendation over our objections on December 20, 2019. Thereafter, on January 3, 2020, we filed a petition for permission to appeal the class certification order to the Fifth Circuit Court of Appeals. Plaintiffs filed an answer in opposition to our petition on January 13, 2020, and we filed a reply brief in further support of the petition for permission to appeal on January 21, 2020. On January 23, 2020, we filed an unopposed motion in the Fifth Circuit requesting that the court stay further proceedings for 90 days to allow the parties to conduct settlement negotiations. The Fifth Circuit entered an order granting the motion on January 24, 2020. On April 7, 2020, by joint motion of the parties, the Fifth Circuit extended the order for another 40 days, up to and including June 2, 2020.</w:t>
      </w:r>
    </w:p>
    <w:p>
      <w:pPr>
        <w:spacing w:after="0" w:line="394"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On June 2, 2020, the parties reached an agreement in principle to settle the matter pursuant to a mediator’s recommendation. On June 4, 2020, the parties filed a Joint Motion to Stay All Deadlines and Notice of Settlement with the Court, in order to allow the parties to finalize their settlement and file a motion for preliminary approval with the court no later than August 3, 2020.</w:t>
      </w:r>
    </w:p>
    <w:p>
      <w:pPr>
        <w:spacing w:after="0" w:line="18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August 3, 2020, the parties filed a Stipulation of Settlement with the Court. The Stipulation of Settlement contemplates—among other things and contingent upon Court approval of the settlement and customary terms and conditions—settlement of the action, a release of all claims made in the action, and dismissal of the claims made in the action with prejudice. As consideration for entering into the settlement, Plaintiffs will receive for distribution to the members of the class they purport to represent (in accordance with the terms of the Stipulation of Settlement) a payment of $15.5 million funded by AOI’s applicable directors’ and officers’ insurance policies. On October 20, 2020, Plaintiffs filed motions with the Court seeking final approval of the class action settlement and an award of attorneys’ fees to be paid out of the $15.5 million settlement fund. A hearing at which the Court will consider whether to approve the settlement has been set for November 24, 2020. Additional information regarding the settlement can be obtained by reviewing the settlement documents publicly filed with the Court in the matter. After taking into account all currently available information, the advice of our counsel, and the extent and currently-expected availability of our existing insurance coverage, we believe that the eventual outcome of this matter will not have a material adverse effect on our overall financial condition, results of operations or cash flows, and we have not recorded any accrual with regard to this matter.</w:t>
      </w:r>
    </w:p>
    <w:p>
      <w:pPr>
        <w:spacing w:after="0" w:line="18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On August 7, 2018, a derivative lawsuit was filed in the United States District Court for the Southern District of Texas styled </w:t>
      </w:r>
      <w:r>
        <w:rPr>
          <w:rFonts w:ascii="Arial" w:cs="Arial" w:eastAsia="Arial" w:hAnsi="Arial"/>
          <w:sz w:val="16"/>
          <w:szCs w:val="16"/>
          <w:i w:val="1"/>
          <w:iCs w:val="1"/>
          <w:color w:val="auto"/>
        </w:rPr>
        <w:t>Lei Jin, derivatively</w:t>
      </w:r>
      <w:r>
        <w:rPr>
          <w:rFonts w:ascii="Arial" w:cs="Arial" w:eastAsia="Arial" w:hAnsi="Arial"/>
          <w:sz w:val="16"/>
          <w:szCs w:val="16"/>
          <w:color w:val="auto"/>
        </w:rPr>
        <w:t xml:space="preserve"> </w:t>
      </w:r>
      <w:r>
        <w:rPr>
          <w:rFonts w:ascii="Arial" w:cs="Arial" w:eastAsia="Arial" w:hAnsi="Arial"/>
          <w:sz w:val="16"/>
          <w:szCs w:val="16"/>
          <w:i w:val="1"/>
          <w:iCs w:val="1"/>
          <w:color w:val="auto"/>
        </w:rPr>
        <w:t>on behalf of Applied Optoelectronics, Inc. v. Chih-Hsiang (“Thompson”) Lin, Stefan J. Murry, William H. Yeh, Alex Ignatiev, Richard B. Black, Min-Chu Chen, Alan Moore, and Che-Wei Lin and Applied Optoelectronics, Inc.</w:t>
      </w:r>
      <w:r>
        <w:rPr>
          <w:rFonts w:ascii="Arial" w:cs="Arial" w:eastAsia="Arial" w:hAnsi="Arial"/>
          <w:sz w:val="16"/>
          <w:szCs w:val="16"/>
          <w:color w:val="auto"/>
        </w:rPr>
        <w:t>, No. 4:18-cv-02713 alleging breaches of fiduciary duties, unjust enrichment,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violations of Section 14(a) of the Exchange Act based on similar factual allegations as in the </w:t>
      </w:r>
      <w:r>
        <w:rPr>
          <w:rFonts w:ascii="Arial" w:cs="Arial" w:eastAsia="Arial" w:hAnsi="Arial"/>
          <w:sz w:val="16"/>
          <w:szCs w:val="16"/>
          <w:i w:val="1"/>
          <w:iCs w:val="1"/>
          <w:color w:val="auto"/>
        </w:rPr>
        <w:t>Abouzied</w:t>
      </w:r>
      <w:r>
        <w:rPr>
          <w:rFonts w:ascii="Arial" w:cs="Arial" w:eastAsia="Arial" w:hAnsi="Arial"/>
          <w:sz w:val="16"/>
          <w:szCs w:val="16"/>
          <w:color w:val="auto"/>
        </w:rPr>
        <w:t xml:space="preserve"> Securities Class Action. On December 18, 2018, a second derivative complaint was filed styled </w:t>
      </w:r>
      <w:r>
        <w:rPr>
          <w:rFonts w:ascii="Arial" w:cs="Arial" w:eastAsia="Arial" w:hAnsi="Arial"/>
          <w:sz w:val="16"/>
          <w:szCs w:val="16"/>
          <w:i w:val="1"/>
          <w:iCs w:val="1"/>
          <w:color w:val="auto"/>
        </w:rPr>
        <w:t>Yiu Kwong Ng v. Chih-Hsiang (“Thompson”) Lin, Stefan J. Murry, William H. Yeh, Alex Ignatiev, Richard B.</w:t>
      </w:r>
      <w:r>
        <w:rPr>
          <w:rFonts w:ascii="Arial" w:cs="Arial" w:eastAsia="Arial" w:hAnsi="Arial"/>
          <w:sz w:val="16"/>
          <w:szCs w:val="16"/>
          <w:color w:val="auto"/>
        </w:rPr>
        <w:t xml:space="preserve"> </w:t>
      </w:r>
      <w:r>
        <w:rPr>
          <w:rFonts w:ascii="Arial" w:cs="Arial" w:eastAsia="Arial" w:hAnsi="Arial"/>
          <w:sz w:val="16"/>
          <w:szCs w:val="16"/>
          <w:i w:val="1"/>
          <w:iCs w:val="1"/>
          <w:color w:val="auto"/>
        </w:rPr>
        <w:t>Black, Min-Chu Chen, Alan Moore, and Che-Wei Lin and Applied Optoelectronics, Inc.</w:t>
      </w:r>
      <w:r>
        <w:rPr>
          <w:rFonts w:ascii="Arial" w:cs="Arial" w:eastAsia="Arial" w:hAnsi="Arial"/>
          <w:sz w:val="16"/>
          <w:szCs w:val="16"/>
          <w:color w:val="auto"/>
        </w:rPr>
        <w:t>, No. 4:18-cv-4751 alleging the same causes of actions as the</w:t>
      </w:r>
      <w:r>
        <w:rPr>
          <w:rFonts w:ascii="Arial" w:cs="Arial" w:eastAsia="Arial" w:hAnsi="Arial"/>
          <w:sz w:val="16"/>
          <w:szCs w:val="16"/>
          <w:i w:val="1"/>
          <w:iCs w:val="1"/>
          <w:color w:val="auto"/>
        </w:rPr>
        <w:t xml:space="preserve"> Jin </w:t>
      </w:r>
      <w:r>
        <w:rPr>
          <w:rFonts w:ascii="Arial" w:cs="Arial" w:eastAsia="Arial" w:hAnsi="Arial"/>
          <w:sz w:val="16"/>
          <w:szCs w:val="16"/>
          <w:color w:val="auto"/>
        </w:rPr>
        <w:t>complaint and additional factual allegations regarding our announcement on September 28, 2018 that we had “identified an issue with a small percentage of 25G lasers within a specific customer environment.” On January 11, 2019, the court consolidated these two derivative actions, and on January 15, 2019,</w:t>
      </w:r>
    </w:p>
    <w:p>
      <w:pPr>
        <w:sectPr>
          <w:pgSz w:w="11900" w:h="16838" w:orient="portrait"/>
          <w:cols w:equalWidth="0" w:num="1">
            <w:col w:w="11240"/>
          </w:cols>
          <w:pgMar w:left="320" w:top="125" w:right="339" w:bottom="0" w:gutter="0" w:footer="0" w:header="0"/>
        </w:sectPr>
      </w:pPr>
    </w:p>
    <w:bookmarkStart w:id="32" w:name="page33"/>
    <w:bookmarkEnd w:id="32"/>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court entered an order staying the actions pending the resolution of the securities class actions. On June 24, 2020, the plaintiffs filed a notice that the stay of proceedings had been terminated, and on July 2, 2020, the parties filed a Joint Stipulation and Proposed Scheduling Order. The court entered the stipulated scheduling order on the same date, under which Defendants were required to file and serve their response or responsive pleading to the complaint by August 3, 2020. By Agreement of the parties, the Court subsequently extended the deadline for Defendants to file and serve their response or responsive pleading to November 2, 2020. The complaint requests unspecified damages and other relief. At this stage, we are not yet able to determine the likelihood of loss, if any, arising from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280" w:right="480" w:firstLine="648"/>
        <w:spacing w:after="0" w:line="263" w:lineRule="auto"/>
        <w:rPr>
          <w:sz w:val="20"/>
          <w:szCs w:val="20"/>
          <w:color w:val="auto"/>
        </w:rPr>
      </w:pPr>
      <w:r>
        <w:rPr>
          <w:rFonts w:ascii="Arial" w:cs="Arial" w:eastAsia="Arial" w:hAnsi="Arial"/>
          <w:sz w:val="18"/>
          <w:szCs w:val="18"/>
          <w:i w:val="1"/>
          <w:iCs w:val="1"/>
          <w:color w:val="auto"/>
        </w:rPr>
        <w:t>Investing in our common stock involves a high degree of risk. See Part I, Item 1A, Risk Factors, of our Annual Report on Form 10-K for the year ended December 31, 2019 for a detailed discussion of the risk factors affecting our Company. As of September 30, 2020, there have been no material changes to those risk factors, except as set forth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generate much of our revenue from a limited number of customers. For each year ended 2019, 2018 and 2017 and the three and nine months ended September 30, 2020, our top ten customers represented 88.1%, 92.9%, 94.9%, 84.9% and 84.9% of our revenue, respectively. In 2019, Microsoft represented 32.2% of our revenue, Amazon represented 24.0% of our revenue, Facebook represented 10.9% of our revenue, and Cisco represented 10.0%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9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*Epidemic diseases, or the perception of their effects, could have a material adverse effect on our business, financial condition, results of operation, or cash flows.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Outbreaks of epidemic, pandemic, or contagious diseases, such as the recent COVID-19 or, historically, the Ebola virus, Middle East Respiratory Syndrome, Severe Acute Respiratory Syndrome, or the H1N1 virus, could divert medical resources and priorities towards the treatment of that disease. Business disruptions could include disruptions or restrictions on our ability to travel or to distribute our products, as well as temporary closures of our facilities or the facilities of our suppliers and their contract manufacturers. Any disruption of our suppliers and their contract manufacturers or our customers would likely impact our sales and operating results. In addition, a significant outbreak of epidemic, pandemic, or contagious diseases in the human population could result in a widespread health crisis that could adversely affect the economies and financial markets of many countries, resulting in an economic downturn that could affect demand for our products. Any of these events could have a material adverse effect on our business, financial condition, results of operations, or cash flows. For example, as a result of the extension of the Lunar New Year holidays due to the recent outbreak of COVID-19, certain of our product shipments from China were delayed earlier in the year. Although we are monitoring the situation on a daily basis, it is currently unknown whether the outbreak will continue to disrupt our product shipments or impact manufacturing in the region or other regions where we operate over a prolonged period. If such disruption were to extend over a prolonged period, it could have a material impact on our revenues and our business. Any disruption resulting from similar events on a larger scale or over a prolonged period could cause significant delays in shipments of our products until we are able to resume such shipments, or shift our manufacturing, assembly, or test from the affected contractor to another third-party vendor, if needed. There can be no assurance that alternative capacity could be obtained on favorable terms, if at all.</w:t>
      </w:r>
    </w:p>
    <w:p>
      <w:pPr>
        <w:spacing w:after="0" w:line="171" w:lineRule="exact"/>
        <w:rPr>
          <w:sz w:val="20"/>
          <w:szCs w:val="20"/>
          <w:color w:val="auto"/>
        </w:rPr>
      </w:pPr>
    </w:p>
    <w:p>
      <w:pPr>
        <w:ind w:right="380" w:firstLine="8"/>
        <w:spacing w:after="0" w:line="277" w:lineRule="auto"/>
        <w:tabs>
          <w:tab w:leader="none" w:pos="13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extent to which the COVID-19 pandemic impacts our business, results of operations and financial condition is uncertain and will depend on future developments, which cannot be predicted.</w:t>
      </w:r>
    </w:p>
    <w:p>
      <w:pPr>
        <w:spacing w:after="0" w:line="17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spread of the COVID-19 virus during the first six months of 2020 has caused an economic downturn on a global scale, as well as significant volatility in the financial markets. In March 2020 the World Health Organization declared the spread of the COVID-19 virus a pandemic. Our operations have been negatively impacted by the pandemic and are likely to continue to be impacted. The extent and duration of this impact is uncertain and will depend on factors including the extent to which our customers' businesses are impacted by the pandemic. In order to protect our employees and minimize the risk of potential disruptions to our business that could occur should a virus outbreak occur in one of our facilities, we have established and implemented</w:t>
      </w:r>
    </w:p>
    <w:p>
      <w:pPr>
        <w:sectPr>
          <w:pgSz w:w="11900" w:h="16850" w:orient="portrait"/>
          <w:cols w:equalWidth="0" w:num="1">
            <w:col w:w="11240"/>
          </w:cols>
          <w:pgMar w:left="320" w:top="125" w:right="339" w:bottom="0" w:gutter="0" w:footer="0" w:header="0"/>
        </w:sectPr>
      </w:pPr>
    </w:p>
    <w:bookmarkStart w:id="33" w:name="page34"/>
    <w:bookmarkEnd w:id="33"/>
    <w:p>
      <w:pPr>
        <w:ind w:right="20"/>
        <w:spacing w:after="0" w:line="257" w:lineRule="auto"/>
        <w:rPr>
          <w:sz w:val="20"/>
          <w:szCs w:val="20"/>
          <w:color w:val="auto"/>
        </w:rPr>
      </w:pPr>
      <w:r>
        <w:rPr>
          <w:rFonts w:ascii="Arial" w:cs="Arial" w:eastAsia="Arial" w:hAnsi="Arial"/>
          <w:sz w:val="18"/>
          <w:szCs w:val="18"/>
          <w:color w:val="auto"/>
        </w:rPr>
        <w:t>a work from home provision for our employees, where possible. We have also modified our business practices (including employee travel, and cancellation of physical participation in meetings, events and conferences), and we may take further actions as may be required by government authorities or that we determine are in the best interests of our employees, customers and business partners. However, even with these precautions, it is not possible to eliminate the risk of a widespread outbreak among our employees and if such an outbreak were to occur, it would likely have a negative impact on our business, results of operations, and our financial condition.</w:t>
      </w:r>
    </w:p>
    <w:p>
      <w:pPr>
        <w:spacing w:after="0" w:line="188"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impact of the COVID-19 pandemic continues to unfold. The extent of the pandemic’s effect on our operational and financial performance will depend in large part on future developments, which cannot be predicted with confidence at this time. Future developments include the duration, scope and severity of the pandemic, the actions taken to contain or mitigate its impact, the impact on governmental programs and budgets, the development of treatments or vaccines, and the resumption of widespread economic activity. Due to the inherent uncertainty of the unprecedented and rapidly evolving situation, we are unable to predict with any confidence the likely impact of the COVID-19 pandemic on our future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spacing w:after="0" w:line="14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September 30, 2020, we had approximately $149.9 million of consolidated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84"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7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diluting the interests of our existing stockholders as a result of issuing shares of our common stock upon conversion of the Notes; and</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placing us at a possible competitive disadvantage with competitors that are less leveraged than us or have better access to capital.</w:t>
      </w:r>
    </w:p>
    <w:p>
      <w:pPr>
        <w:spacing w:after="0" w:line="26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Our business may not generate sufficient funds, and we may otherwise be unable to maintain sufficient cash reserves, to pay amounts due under our indebtedness, including the Notes, and our cash needs may increase in the future. In addition, our existing Credit Facility with Truist Bank,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Paycheck Protection Program loan may not be forgiven and could subject us to enhanced scrutiny.</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April 17, 2020, we were granted a loan of $6.2 million under the Paycheck Protection Program ("PPP"), which is a component of the Coronavirus Aid, Relief, and Economic Security ("CARES") Act. This program was implemented hastily in response to the unprecedented economic downturn related to the coronavirus, and provides for loans of up to $10 million for eligible small businesses (defined generally as businesses with less than 500 U.S. resident employees). Due to the speed of implementation of this program, official guidance and interpretations of the requirements of the program have been limited and have changed over time. On April 29, 2020, the U.S. Department of the Treasury updated its "Frequently Asked Questions" (FAQ) document regarding the PPP program to indicate its intention to review all loans obtained under the program that exceed $2 million. The Company applied for forgiveness of the principal amount of the PPP Term Note on September 14, 2020 and currently expects the application to get approved. The forgiveness application is being reviewed by Truist Bank. Under current SBA guidelines, due to the size of the loan we anticipate a further review by the SBA upon completion of the review by Truist Bank. The timing of the completion of the review by Truist Bank and the subsequent review by SBA is currently uncertain. Until such time as the forgiveness assessment has been completed by the SBA, the Company will not be required to make any payments under the terms of the PPP Term Note.</w:t>
      </w:r>
    </w:p>
    <w:p>
      <w:pPr>
        <w:spacing w:after="0" w:line="18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diligently considered all known guidance and determined that we meet all the requirements for the program; however, we cannot predict with certainty how such a review might be conducted or what new information or interpretations might emerge prior to the completion of the review. As such, we cannot be certain whether our loan may be forgiven, even if we meet the currently understood requirements for forgiveness. The review could also subject us to additional scrutiny which could adversely affect our financial condition and results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220"/>
          </w:cols>
          <w:pgMar w:left="320" w:top="125" w:right="359" w:bottom="0" w:gutter="0" w:footer="0" w:header="0"/>
        </w:sectPr>
      </w:pP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*Changes in U.S. and international trade policies, particularly with regard to China, may materially and adversely impact our business and operating results.</w:t>
      </w:r>
    </w:p>
    <w:p>
      <w:pPr>
        <w:sectPr>
          <w:pgSz w:w="11900" w:h="16838" w:orient="portrait"/>
          <w:cols w:equalWidth="0" w:num="1">
            <w:col w:w="11220"/>
          </w:cols>
          <w:pgMar w:left="320" w:top="125" w:right="359" w:bottom="0" w:gutter="0" w:footer="0" w:header="0"/>
          <w:type w:val="continuous"/>
        </w:sectPr>
      </w:pPr>
    </w:p>
    <w:bookmarkStart w:id="34" w:name="page35"/>
    <w:bookmarkEnd w:id="34"/>
    <w:p>
      <w:pPr>
        <w:ind w:right="100" w:firstLine="648"/>
        <w:spacing w:after="0" w:line="273" w:lineRule="auto"/>
        <w:rPr>
          <w:sz w:val="20"/>
          <w:szCs w:val="20"/>
          <w:color w:val="auto"/>
        </w:rPr>
      </w:pPr>
      <w:r>
        <w:rPr>
          <w:rFonts w:ascii="Arial" w:cs="Arial" w:eastAsia="Arial" w:hAnsi="Arial"/>
          <w:sz w:val="17"/>
          <w:szCs w:val="17"/>
          <w:color w:val="auto"/>
        </w:rPr>
        <w:t>The U.S. government continues to make public statements in conjunction with certain actions that have led and may lead to further changes to U.S. and international trade policies, including additional tariffs affecting certain products manufactured in China. Since the beginning of 2018, there has been increasing rhetoric, in some cases coupled with legislative or executive action, from several U.S. and foreign leaders regarding the possibility of instituting tariffs on the foreign imports of certain materials. Five rounds of U.S. tariffs on imports from China (respectively the “U.S. Tariffs on China Imports”) went into effect on July 2018, August 2018, September 2018, September 2019, and February 2020. A limited number of our products that are of Chinese origin are currently subject to the U.S. Tariffs on China Imports.</w:t>
      </w:r>
    </w:p>
    <w:p>
      <w:pPr>
        <w:spacing w:after="0" w:line="17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It is unknown whether and to what extent new tariffs (or other new laws or regulations) will be adopted, or the effect that any such actions would have on us or our industry. A significant portion of our manufacturing operations are based in Ningbo, China; therefore, there could be material adverse effects on our business, financial condition, and/or cash flow if any new tariffs, legislation and/or regulations are implemented, or if existing trade agreements are renegotiated or if China or other affected countries take further retaliatory trade actions.</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Furthermore, the implementation of trade tariffs both globally and between the U.S. and China specifically carries the risk of negatively impacting China’s overall economic condition, which could have negative repercussions on our business. Bilateral tariffs could cause a decrease in the sales of our products to customers located in China or other customers selling to Chinese end users, further impacting our business.</w:t>
      </w:r>
    </w:p>
    <w:p>
      <w:pPr>
        <w:spacing w:after="0" w:line="16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Significant changes to existing international trade agreements could also lead to sourcing or logistics disruption resulting from import delays or the imposition of increased tariffs on our sourcing partners. For example, the Chinese government could, among other things, require the use of local suppliers, compel companies that do business in China to partner with local companies, and otherwise provide government incentives or subsidies to government-backed local customers to buy from local suppliers. Changes in, and responses to, U.S. trade policy could reduce the competitiveness of our products and thus cause our sales and revenues to drop, which could materially and adversely impact our business and results of operations.</w:t>
      </w:r>
    </w:p>
    <w:p>
      <w:pPr>
        <w:spacing w:after="0" w:line="1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170" w:lineRule="exact"/>
        <w:rPr>
          <w:sz w:val="20"/>
          <w:szCs w:val="20"/>
          <w:color w:val="auto"/>
        </w:rPr>
      </w:pPr>
    </w:p>
    <w:p>
      <w:pPr>
        <w:ind w:firstLine="495"/>
        <w:spacing w:after="0" w:line="268" w:lineRule="auto"/>
        <w:rPr>
          <w:sz w:val="20"/>
          <w:szCs w:val="20"/>
          <w:color w:val="auto"/>
        </w:rPr>
      </w:pPr>
      <w:r>
        <w:rPr>
          <w:rFonts w:ascii="Arial" w:cs="Arial" w:eastAsia="Arial" w:hAnsi="Arial"/>
          <w:sz w:val="17"/>
          <w:szCs w:val="17"/>
          <w:color w:val="auto"/>
        </w:rPr>
        <w:t>Our Amended and Restated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Delaware General Corporation Law or the Company's Amended and Restated Certificate of Incorporation or By-laws, or (iv) any action asserting a claim against the Company governed by the internal affairs doctrine. This exclusive forum provision will not apply to claims under the Securities Exchange Act of 1934 but will apply to other state and federal law claims including actions arising under the Securities Act of 1933 (although our stockholders will not be deemed to have waived our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This forum selection provision in our Amended and Restated Certificate of Incorporation may limit our stockholders' ability to obtain a favorable judicial forum for disputes with us. It is also possible that a court could rule that such a provision is inapplicable or unenforceable.</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580" w:type="dxa"/>
            <w:vAlign w:val="bottom"/>
            <w:gridSpan w:val="9"/>
          </w:tcPr>
          <w:p>
            <w:pPr>
              <w:ind w:left="2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None.</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gridSpan w:val="9"/>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1240" w:type="dxa"/>
            <w:vAlign w:val="bottom"/>
            <w:gridSpan w:val="10"/>
          </w:tcPr>
          <w:p>
            <w:pPr>
              <w:spacing w:after="0"/>
              <w:rPr>
                <w:sz w:val="20"/>
                <w:szCs w:val="20"/>
                <w:color w:val="auto"/>
              </w:rPr>
            </w:pPr>
            <w:r>
              <w:rPr>
                <w:rFonts w:ascii="Arial" w:cs="Arial" w:eastAsia="Arial" w:hAnsi="Arial"/>
                <w:sz w:val="18"/>
                <w:szCs w:val="18"/>
                <w:color w:val="auto"/>
              </w:rPr>
              <w:t>See Exhibit Index.</w:t>
            </w:r>
          </w:p>
        </w:tc>
      </w:tr>
      <w:tr>
        <w:trPr>
          <w:trHeight w:val="432"/>
        </w:trPr>
        <w:tc>
          <w:tcPr>
            <w:tcW w:w="660" w:type="dxa"/>
            <w:vAlign w:val="bottom"/>
          </w:tcPr>
          <w:p>
            <w:pPr>
              <w:spacing w:after="0"/>
              <w:rPr>
                <w:sz w:val="24"/>
                <w:szCs w:val="24"/>
                <w:color w:val="auto"/>
              </w:rPr>
            </w:pPr>
          </w:p>
        </w:tc>
        <w:tc>
          <w:tcPr>
            <w:tcW w:w="6180" w:type="dxa"/>
            <w:vAlign w:val="bottom"/>
            <w:gridSpan w:val="4"/>
          </w:tcPr>
          <w:p>
            <w:pPr>
              <w:jc w:val="right"/>
              <w:ind w:right="1030"/>
              <w:spacing w:after="0"/>
              <w:rPr>
                <w:sz w:val="20"/>
                <w:szCs w:val="20"/>
                <w:color w:val="auto"/>
              </w:rPr>
            </w:pPr>
            <w:r>
              <w:rPr>
                <w:rFonts w:ascii="Arial" w:cs="Arial" w:eastAsia="Arial" w:hAnsi="Arial"/>
                <w:sz w:val="18"/>
                <w:szCs w:val="18"/>
                <w:color w:val="auto"/>
              </w:rPr>
              <w:t>41</w:t>
            </w:r>
          </w:p>
        </w:tc>
        <w:tc>
          <w:tcPr>
            <w:tcW w:w="1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200" w:type="dxa"/>
            <w:vAlign w:val="bottom"/>
            <w:tcBorders>
              <w:bottom w:val="single" w:sz="8" w:color="9A9A9A"/>
            </w:tcBorders>
            <w:gridSpan w:val="2"/>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r>
      <w:tr>
        <w:trPr>
          <w:trHeight w:val="324"/>
        </w:trPr>
        <w:tc>
          <w:tcPr>
            <w:tcW w:w="11240" w:type="dxa"/>
            <w:vAlign w:val="bottom"/>
            <w:gridSpan w:val="10"/>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r>
      <w:tr>
        <w:trPr>
          <w:trHeight w:val="432"/>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560" w:type="dxa"/>
            <w:vAlign w:val="bottom"/>
            <w:gridSpan w:val="6"/>
          </w:tcPr>
          <w:p>
            <w:pPr>
              <w:jc w:val="center"/>
              <w:ind w:right="4680"/>
              <w:spacing w:after="0"/>
              <w:rPr>
                <w:sz w:val="20"/>
                <w:szCs w:val="20"/>
                <w:color w:val="auto"/>
              </w:rPr>
            </w:pPr>
            <w:r>
              <w:rPr>
                <w:rFonts w:ascii="Arial" w:cs="Arial" w:eastAsia="Arial" w:hAnsi="Arial"/>
                <w:sz w:val="18"/>
                <w:szCs w:val="18"/>
                <w:b w:val="1"/>
                <w:bCs w:val="1"/>
                <w:color w:val="auto"/>
              </w:rPr>
              <w:t>EXHIBIT INDEX</w:t>
            </w:r>
          </w:p>
        </w:tc>
      </w:tr>
      <w:tr>
        <w:trPr>
          <w:trHeight w:val="648"/>
        </w:trPr>
        <w:tc>
          <w:tcPr>
            <w:tcW w:w="660" w:type="dxa"/>
            <w:vAlign w:val="bottom"/>
          </w:tcPr>
          <w:p>
            <w:pPr>
              <w:spacing w:after="0"/>
              <w:rPr>
                <w:sz w:val="20"/>
                <w:szCs w:val="20"/>
                <w:color w:val="auto"/>
              </w:rPr>
            </w:pPr>
            <w:r>
              <w:rPr>
                <w:rFonts w:ascii="Arial" w:cs="Arial" w:eastAsia="Arial" w:hAnsi="Arial"/>
                <w:sz w:val="18"/>
                <w:szCs w:val="18"/>
                <w:b w:val="1"/>
                <w:bCs w:val="1"/>
                <w:color w:val="auto"/>
                <w:w w:val="94"/>
              </w:rPr>
              <w:t>Number</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6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540" w:type="dxa"/>
            <w:vAlign w:val="bottom"/>
            <w:tcBorders>
              <w:top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9560" w:type="dxa"/>
            <w:vAlign w:val="bottom"/>
            <w:tcBorders>
              <w:top w:val="single" w:sz="8" w:color="auto"/>
            </w:tcBorders>
            <w:gridSpan w:val="7"/>
          </w:tcPr>
          <w:p>
            <w:pPr>
              <w:spacing w:after="0" w:line="169" w:lineRule="exact"/>
              <w:rPr>
                <w:rFonts w:ascii="Arial" w:cs="Arial" w:eastAsia="Arial" w:hAnsi="Arial"/>
                <w:sz w:val="18"/>
                <w:szCs w:val="18"/>
                <w:color w:val="0000EE"/>
                <w:w w:val="93"/>
              </w:rPr>
            </w:pPr>
            <w:hyperlink r:id="rId51">
              <w:r>
                <w:rPr>
                  <w:rFonts w:ascii="Arial" w:cs="Arial" w:eastAsia="Arial" w:hAnsi="Arial"/>
                  <w:sz w:val="18"/>
                  <w:szCs w:val="18"/>
                  <w:color w:val="0000EE"/>
                  <w:w w:val="93"/>
                </w:rPr>
                <w:t>Amended and Restated Certificate of Incorporation, as currently in effect (filed as Exhibit 3.1 to the Registrant’s Quarterly Report</w:t>
              </w:r>
            </w:hyperlink>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51">
              <w:r>
                <w:rPr>
                  <w:rFonts w:ascii="Arial" w:cs="Arial" w:eastAsia="Arial" w:hAnsi="Arial"/>
                  <w:sz w:val="18"/>
                  <w:szCs w:val="18"/>
                  <w:color w:val="0000EE"/>
                  <w:w w:val="90"/>
                </w:rPr>
                <w:t>on Form 10-Q filed with the Securities and Exchange Commission on November 14, 2013).</w:t>
              </w:r>
            </w:hyperlink>
          </w:p>
        </w:tc>
        <w:tc>
          <w:tcPr>
            <w:tcW w:w="2740" w:type="dxa"/>
            <w:vAlign w:val="bottom"/>
            <w:tcBorders>
              <w:top w:val="single" w:sz="8" w:color="0000EE"/>
            </w:tcBorders>
            <w:gridSpan w:val="2"/>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60" w:type="dxa"/>
            <w:vAlign w:val="bottom"/>
            <w:tcBorders>
              <w:bottom w:val="single" w:sz="8" w:color="0000EE"/>
            </w:tcBorders>
            <w:gridSpan w:val="6"/>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Amended and Restated Bylaws, as currently in effect (filed as Exhibit 3.2 to the Registrant’s Quarterly Report on Form 10-Q filed</w:t>
              </w:r>
            </w:hyperlink>
          </w:p>
        </w:tc>
        <w:tc>
          <w:tcPr>
            <w:tcW w:w="2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52">
              <w:r>
                <w:rPr>
                  <w:rFonts w:ascii="Arial" w:cs="Arial" w:eastAsia="Arial" w:hAnsi="Arial"/>
                  <w:sz w:val="18"/>
                  <w:szCs w:val="18"/>
                  <w:color w:val="0000EE"/>
                  <w:w w:val="90"/>
                </w:rPr>
                <w:t>with the Securities and Exchange Commission on November 14, 2013).</w:t>
              </w:r>
            </w:hyperlink>
          </w:p>
        </w:tc>
        <w:tc>
          <w:tcPr>
            <w:tcW w:w="4400" w:type="dxa"/>
            <w:vAlign w:val="bottom"/>
            <w:gridSpan w:val="5"/>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80" w:type="dxa"/>
            <w:vAlign w:val="bottom"/>
            <w:tcBorders>
              <w:bottom w:val="single" w:sz="8" w:color="0000EE"/>
            </w:tcBorders>
            <w:gridSpan w:val="4"/>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Common Stock Specimen (filed as Exhibit 4.1 to the Registrant’s Current Report on Form 8-K filed with the Securities and</w:t>
              </w:r>
            </w:hyperlink>
          </w:p>
        </w:tc>
        <w:tc>
          <w:tcPr>
            <w:tcW w:w="680" w:type="dxa"/>
            <w:vAlign w:val="bottom"/>
            <w:gridSpan w:val="3"/>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60" w:type="dxa"/>
            <w:vAlign w:val="bottom"/>
            <w:gridSpan w:val="7"/>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Exchange Commission on July 15, 2015).</w:t>
              </w:r>
            </w:hyperlink>
          </w:p>
        </w:tc>
      </w:tr>
      <w:tr>
        <w:trPr>
          <w:trHeight w:val="20"/>
        </w:trPr>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-1988185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auto"/>
              </w:rPr>
              <w:t>4.2*</w:t>
            </w:r>
          </w:p>
        </w:tc>
        <w:tc>
          <w:tcPr>
            <w:tcW w:w="9480" w:type="dxa"/>
            <w:vAlign w:val="bottom"/>
            <w:tcBorders>
              <w:bottom w:val="single" w:sz="8" w:color="0000EE"/>
            </w:tcBorders>
            <w:gridSpan w:val="10"/>
          </w:tcPr>
          <w:p>
            <w:pPr>
              <w:spacing w:after="0"/>
              <w:rPr>
                <w:rFonts w:ascii="Arial" w:cs="Arial" w:eastAsia="Arial" w:hAnsi="Arial"/>
                <w:sz w:val="18"/>
                <w:szCs w:val="18"/>
                <w:color w:val="0000EE"/>
                <w:w w:val="89"/>
              </w:rPr>
            </w:pPr>
            <w:hyperlink r:id="rId56">
              <w:r>
                <w:rPr>
                  <w:rFonts w:ascii="Arial" w:cs="Arial" w:eastAsia="Arial" w:hAnsi="Arial"/>
                  <w:sz w:val="18"/>
                  <w:szCs w:val="18"/>
                  <w:color w:val="0000EE"/>
                  <w:w w:val="89"/>
                </w:rPr>
                <w:t>Indenture, dated as of March 5, 2019 between Applied Optoelectronics, Inc. and Wells Fargo Bank, National Association, as trustee,</w:t>
              </w:r>
            </w:hyperlink>
          </w:p>
        </w:tc>
        <w:tc>
          <w:tcPr>
            <w:tcW w:w="40" w:type="dxa"/>
            <w:vAlign w:val="bottom"/>
            <w:gridSpan w:val="2"/>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95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56">
              <w:r>
                <w:rPr>
                  <w:rFonts w:ascii="Arial" w:cs="Arial" w:eastAsia="Arial" w:hAnsi="Arial"/>
                  <w:sz w:val="18"/>
                  <w:szCs w:val="18"/>
                  <w:color w:val="0000EE"/>
                  <w:w w:val="90"/>
                </w:rPr>
                <w:t>paying agent, and conversion agent (filed as Exhibit 4.1 to the Registrant’s Current Report on Form 8-K filed with the Securities and</w:t>
              </w:r>
            </w:hyperlink>
          </w:p>
        </w:tc>
        <w:tc>
          <w:tcPr>
            <w:tcW w:w="2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9520" w:type="dxa"/>
            <w:vAlign w:val="bottom"/>
            <w:gridSpan w:val="12"/>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Exchange Commission on March 5, 2019).</w:t>
              </w:r>
            </w:hyperlink>
          </w:p>
        </w:tc>
      </w:tr>
      <w:tr>
        <w:trPr>
          <w:trHeight w:val="20"/>
        </w:trPr>
        <w:tc>
          <w:tcPr>
            <w:tcW w:w="1720" w:type="dxa"/>
            <w:vAlign w:val="bottom"/>
            <w:tcBorders>
              <w:right w:val="single" w:sz="8" w:color="0000EE"/>
            </w:tcBorders>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720" w:type="dxa"/>
            <w:vAlign w:val="bottom"/>
          </w:tcPr>
          <w:p>
            <w:pPr>
              <w:spacing w:after="0"/>
              <w:rPr>
                <w:sz w:val="20"/>
                <w:szCs w:val="20"/>
                <w:color w:val="auto"/>
              </w:rPr>
            </w:pPr>
            <w:r>
              <w:rPr>
                <w:rFonts w:ascii="Arial" w:cs="Arial" w:eastAsia="Arial" w:hAnsi="Arial"/>
                <w:sz w:val="18"/>
                <w:szCs w:val="18"/>
                <w:color w:val="auto"/>
              </w:rPr>
              <w:t>4.3*</w:t>
            </w:r>
          </w:p>
        </w:tc>
        <w:tc>
          <w:tcPr>
            <w:tcW w:w="9520" w:type="dxa"/>
            <w:vAlign w:val="bottom"/>
            <w:gridSpan w:val="12"/>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Form of Note representing the Company’s 5.00% Convertible Senior Notes due 2024 (included as Exhibit A to the Indenture filed as</w:t>
              </w:r>
            </w:hyperlink>
          </w:p>
        </w:tc>
      </w:tr>
      <w:tr>
        <w:trPr>
          <w:trHeight w:val="237"/>
        </w:trPr>
        <w:tc>
          <w:tcPr>
            <w:tcW w:w="1720" w:type="dxa"/>
            <w:vAlign w:val="bottom"/>
          </w:tcPr>
          <w:p>
            <w:pPr>
              <w:spacing w:after="0"/>
              <w:rPr>
                <w:sz w:val="20"/>
                <w:szCs w:val="20"/>
                <w:color w:val="auto"/>
              </w:rPr>
            </w:pPr>
          </w:p>
        </w:tc>
        <w:tc>
          <w:tcPr>
            <w:tcW w:w="9500" w:type="dxa"/>
            <w:vAlign w:val="bottom"/>
            <w:tcBorders>
              <w:top w:val="single" w:sz="8" w:color="0000EE"/>
            </w:tcBorders>
            <w:gridSpan w:val="11"/>
          </w:tcPr>
          <w:p>
            <w:pPr>
              <w:spacing w:after="0"/>
              <w:rPr>
                <w:rFonts w:ascii="Arial" w:cs="Arial" w:eastAsia="Arial" w:hAnsi="Arial"/>
                <w:sz w:val="18"/>
                <w:szCs w:val="18"/>
                <w:u w:val="single" w:color="auto"/>
                <w:color w:val="0000EE"/>
                <w:w w:val="91"/>
              </w:rPr>
            </w:pPr>
            <w:hyperlink r:id="rId56">
              <w:r>
                <w:rPr>
                  <w:rFonts w:ascii="Arial" w:cs="Arial" w:eastAsia="Arial" w:hAnsi="Arial"/>
                  <w:sz w:val="18"/>
                  <w:szCs w:val="18"/>
                  <w:u w:val="single" w:color="auto"/>
                  <w:color w:val="0000EE"/>
                  <w:w w:val="91"/>
                </w:rPr>
                <w:t>Exhibit 4.1 to the Registrant’s Current Report on Form 8-K filed with the Securities and Exchange Commission on March 5, 2019).</w:t>
              </w:r>
            </w:hyperlink>
          </w:p>
        </w:tc>
        <w:tc>
          <w:tcPr>
            <w:tcW w:w="20" w:type="dxa"/>
            <w:vAlign w:val="bottom"/>
          </w:tcPr>
          <w:p>
            <w:pPr>
              <w:spacing w:after="0"/>
              <w:rPr>
                <w:sz w:val="20"/>
                <w:szCs w:val="20"/>
                <w:color w:val="auto"/>
              </w:rPr>
            </w:pPr>
          </w:p>
        </w:tc>
      </w:tr>
      <w:tr>
        <w:trPr>
          <w:trHeight w:val="391"/>
        </w:trPr>
        <w:tc>
          <w:tcPr>
            <w:tcW w:w="1720" w:type="dxa"/>
            <w:vAlign w:val="bottom"/>
          </w:tcPr>
          <w:p>
            <w:pPr>
              <w:spacing w:after="0"/>
              <w:rPr>
                <w:sz w:val="20"/>
                <w:szCs w:val="20"/>
                <w:color w:val="auto"/>
              </w:rPr>
            </w:pPr>
            <w:r>
              <w:rPr>
                <w:rFonts w:ascii="Arial" w:cs="Arial" w:eastAsia="Arial" w:hAnsi="Arial"/>
                <w:sz w:val="18"/>
                <w:szCs w:val="18"/>
                <w:color w:val="auto"/>
              </w:rPr>
              <w:t>10.1*</w:t>
            </w:r>
          </w:p>
        </w:tc>
        <w:tc>
          <w:tcPr>
            <w:tcW w:w="9520" w:type="dxa"/>
            <w:vAlign w:val="bottom"/>
            <w:gridSpan w:val="12"/>
          </w:tcPr>
          <w:p>
            <w:pPr>
              <w:spacing w:after="0"/>
              <w:rPr>
                <w:rFonts w:ascii="Arial" w:cs="Arial" w:eastAsia="Arial" w:hAnsi="Arial"/>
                <w:sz w:val="18"/>
                <w:szCs w:val="18"/>
                <w:color w:val="0000EE"/>
                <w:w w:val="95"/>
              </w:rPr>
            </w:pPr>
            <w:hyperlink r:id="rId57">
              <w:r>
                <w:rPr>
                  <w:rFonts w:ascii="Arial" w:cs="Arial" w:eastAsia="Arial" w:hAnsi="Arial"/>
                  <w:sz w:val="18"/>
                  <w:szCs w:val="18"/>
                  <w:color w:val="0000EE"/>
                  <w:w w:val="95"/>
                </w:rPr>
                <w:t>Translation of Amendment to the Finance Lease Agreements, dated September 15, 2020, between Prime World International</w:t>
              </w:r>
            </w:hyperlink>
          </w:p>
        </w:tc>
      </w:tr>
      <w:tr>
        <w:trPr>
          <w:trHeight w:val="20"/>
        </w:trPr>
        <w:tc>
          <w:tcPr>
            <w:tcW w:w="17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4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93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Holdings Ltd., and Chailease Finance Co., Ltd. (included as Exhibit 10.1 to the Registrants Current Report on Form 8-K filed with</w:t>
              </w:r>
            </w:hyperlink>
          </w:p>
        </w:tc>
        <w:tc>
          <w:tcPr>
            <w:tcW w:w="160" w:type="dxa"/>
            <w:vAlign w:val="bottom"/>
            <w:gridSpan w:val="3"/>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47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57">
              <w:r>
                <w:rPr>
                  <w:rFonts w:ascii="Arial" w:cs="Arial" w:eastAsia="Arial" w:hAnsi="Arial"/>
                  <w:sz w:val="18"/>
                  <w:szCs w:val="18"/>
                  <w:color w:val="0000EE"/>
                  <w:w w:val="88"/>
                </w:rPr>
                <w:t>the Securities and Exchange Commission on September 18, 2020).</w:t>
              </w:r>
            </w:hyperlink>
          </w:p>
        </w:tc>
        <w:tc>
          <w:tcPr>
            <w:tcW w:w="4760" w:type="dxa"/>
            <w:vAlign w:val="bottom"/>
            <w:gridSpan w:val="7"/>
          </w:tcPr>
          <w:p>
            <w:pPr>
              <w:spacing w:after="0"/>
              <w:rPr>
                <w:sz w:val="17"/>
                <w:szCs w:val="17"/>
                <w:color w:val="auto"/>
              </w:rPr>
            </w:pPr>
          </w:p>
        </w:tc>
      </w:tr>
      <w:tr>
        <w:trPr>
          <w:trHeight w:val="412"/>
        </w:trPr>
        <w:tc>
          <w:tcPr>
            <w:tcW w:w="1720" w:type="dxa"/>
            <w:vAlign w:val="bottom"/>
          </w:tcPr>
          <w:p>
            <w:pPr>
              <w:spacing w:after="0"/>
              <w:rPr>
                <w:sz w:val="20"/>
                <w:szCs w:val="20"/>
                <w:color w:val="auto"/>
              </w:rPr>
            </w:pPr>
            <w:r>
              <w:rPr>
                <w:rFonts w:ascii="Arial" w:cs="Arial" w:eastAsia="Arial" w:hAnsi="Arial"/>
                <w:sz w:val="18"/>
                <w:szCs w:val="18"/>
                <w:color w:val="auto"/>
              </w:rPr>
              <w:t>31.1**</w:t>
            </w:r>
          </w:p>
        </w:tc>
        <w:tc>
          <w:tcPr>
            <w:tcW w:w="92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Certification of Chief Executive Officer pursuant to Exchange Act Rule, 13a-14(a) and 15d-14(a), as adopted pursuant to Section</w:t>
              </w:r>
            </w:hyperlink>
          </w:p>
        </w:tc>
        <w:tc>
          <w:tcPr>
            <w:tcW w:w="260" w:type="dxa"/>
            <w:vAlign w:val="bottom"/>
            <w:gridSpan w:val="5"/>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9520" w:type="dxa"/>
            <w:vAlign w:val="bottom"/>
            <w:gridSpan w:val="1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302 of the Sarbanes-Oxley Act of 2002.</w:t>
              </w:r>
            </w:hyperlink>
          </w:p>
        </w:tc>
      </w:tr>
      <w:tr>
        <w:trPr>
          <w:trHeight w:val="20"/>
        </w:trPr>
        <w:tc>
          <w:tcPr>
            <w:tcW w:w="1720" w:type="dxa"/>
            <w:vAlign w:val="bottom"/>
            <w:tcBorders>
              <w:right w:val="single" w:sz="8" w:color="0000EE"/>
            </w:tcBorders>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50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412"/>
        </w:trPr>
        <w:tc>
          <w:tcPr>
            <w:tcW w:w="1720" w:type="dxa"/>
            <w:vAlign w:val="bottom"/>
          </w:tcPr>
          <w:p>
            <w:pPr>
              <w:spacing w:after="0"/>
              <w:rPr>
                <w:sz w:val="20"/>
                <w:szCs w:val="20"/>
                <w:color w:val="auto"/>
              </w:rPr>
            </w:pPr>
            <w:r>
              <w:rPr>
                <w:rFonts w:ascii="Arial" w:cs="Arial" w:eastAsia="Arial" w:hAnsi="Arial"/>
                <w:sz w:val="18"/>
                <w:szCs w:val="18"/>
                <w:color w:val="auto"/>
              </w:rPr>
              <w:t>31.2**</w:t>
            </w:r>
          </w:p>
        </w:tc>
        <w:tc>
          <w:tcPr>
            <w:tcW w:w="95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Certification of Chief Financial Officer pursuant to Exchange Act Rule, 13a-14(a) and 15d-14(a), as adopted pursuant to Section 302</w:t>
              </w:r>
            </w:hyperlink>
          </w:p>
        </w:tc>
      </w:tr>
      <w:tr>
        <w:trPr>
          <w:trHeight w:val="196"/>
        </w:trPr>
        <w:tc>
          <w:tcPr>
            <w:tcW w:w="1720" w:type="dxa"/>
            <w:vAlign w:val="bottom"/>
          </w:tcPr>
          <w:p>
            <w:pPr>
              <w:spacing w:after="0"/>
              <w:rPr>
                <w:sz w:val="17"/>
                <w:szCs w:val="17"/>
                <w:color w:val="auto"/>
              </w:rPr>
            </w:pPr>
          </w:p>
        </w:tc>
        <w:tc>
          <w:tcPr>
            <w:tcW w:w="9520" w:type="dxa"/>
            <w:vAlign w:val="bottom"/>
            <w:gridSpan w:val="1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of the Sarbanes-Oxley Act of 2002.</w:t>
              </w:r>
            </w:hyperlink>
          </w:p>
        </w:tc>
      </w:tr>
      <w:tr>
        <w:trPr>
          <w:trHeight w:val="20"/>
        </w:trPr>
        <w:tc>
          <w:tcPr>
            <w:tcW w:w="1720" w:type="dxa"/>
            <w:vAlign w:val="bottom"/>
            <w:tcBorders>
              <w:right w:val="single" w:sz="8" w:color="0000EE"/>
            </w:tcBorders>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0" w:type="dxa"/>
            <w:vAlign w:val="bottom"/>
            <w:gridSpan w:val="6"/>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412"/>
        </w:trPr>
        <w:tc>
          <w:tcPr>
            <w:tcW w:w="1720" w:type="dxa"/>
            <w:vAlign w:val="bottom"/>
          </w:tcPr>
          <w:p>
            <w:pPr>
              <w:spacing w:after="0"/>
              <w:rPr>
                <w:sz w:val="20"/>
                <w:szCs w:val="20"/>
                <w:color w:val="auto"/>
              </w:rPr>
            </w:pPr>
            <w:r>
              <w:rPr>
                <w:rFonts w:ascii="Arial" w:cs="Arial" w:eastAsia="Arial" w:hAnsi="Arial"/>
                <w:sz w:val="18"/>
                <w:szCs w:val="18"/>
                <w:color w:val="auto"/>
              </w:rPr>
              <w:t>32.1**</w:t>
            </w:r>
          </w:p>
        </w:tc>
        <w:tc>
          <w:tcPr>
            <w:tcW w:w="93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Certification pursuant to 18 U.S.C. 1350, adopted pursuant to Section 906 of the Sarbanes-Oxley Act of 2002, by Chief Executive</w:t>
              </w:r>
            </w:hyperlink>
          </w:p>
        </w:tc>
        <w:tc>
          <w:tcPr>
            <w:tcW w:w="200" w:type="dxa"/>
            <w:vAlign w:val="bottom"/>
            <w:gridSpan w:val="4"/>
          </w:tcPr>
          <w:p>
            <w:pPr>
              <w:spacing w:after="0"/>
              <w:rPr>
                <w:sz w:val="24"/>
                <w:szCs w:val="24"/>
                <w:color w:val="auto"/>
              </w:rPr>
            </w:pPr>
          </w:p>
        </w:tc>
      </w:tr>
      <w:tr>
        <w:trPr>
          <w:trHeight w:val="196"/>
        </w:trPr>
        <w:tc>
          <w:tcPr>
            <w:tcW w:w="1720" w:type="dxa"/>
            <w:vAlign w:val="bottom"/>
          </w:tcPr>
          <w:p>
            <w:pPr>
              <w:spacing w:after="0"/>
              <w:rPr>
                <w:sz w:val="17"/>
                <w:szCs w:val="17"/>
                <w:color w:val="auto"/>
              </w:rPr>
            </w:pPr>
          </w:p>
        </w:tc>
        <w:tc>
          <w:tcPr>
            <w:tcW w:w="9520" w:type="dxa"/>
            <w:vAlign w:val="bottom"/>
            <w:gridSpan w:val="1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Officer and Chief Financial Officer.</w:t>
              </w:r>
            </w:hyperlink>
          </w:p>
        </w:tc>
      </w:tr>
      <w:tr>
        <w:trPr>
          <w:trHeight w:val="20"/>
        </w:trPr>
        <w:tc>
          <w:tcPr>
            <w:tcW w:w="1720" w:type="dxa"/>
            <w:vAlign w:val="bottom"/>
            <w:tcBorders>
              <w:right w:val="single" w:sz="8" w:color="0000EE"/>
            </w:tcBorders>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7000" w:type="dxa"/>
            <w:vAlign w:val="bottom"/>
            <w:gridSpan w:val="10"/>
          </w:tcPr>
          <w:p>
            <w:pPr>
              <w:spacing w:after="0" w:line="20" w:lineRule="exact"/>
              <w:rPr>
                <w:sz w:val="1"/>
                <w:szCs w:val="1"/>
                <w:color w:val="auto"/>
              </w:rPr>
            </w:pPr>
          </w:p>
        </w:tc>
      </w:tr>
      <w:tr>
        <w:trPr>
          <w:trHeight w:val="438"/>
        </w:trPr>
        <w:tc>
          <w:tcPr>
            <w:tcW w:w="1720" w:type="dxa"/>
            <w:vAlign w:val="bottom"/>
          </w:tcPr>
          <w:p>
            <w:pPr>
              <w:spacing w:after="0"/>
              <w:rPr>
                <w:sz w:val="20"/>
                <w:szCs w:val="20"/>
                <w:color w:val="auto"/>
              </w:rPr>
            </w:pPr>
            <w:r>
              <w:rPr>
                <w:rFonts w:ascii="Arial" w:cs="Arial" w:eastAsia="Arial" w:hAnsi="Arial"/>
                <w:sz w:val="18"/>
                <w:szCs w:val="18"/>
                <w:color w:val="auto"/>
              </w:rPr>
              <w:t>101.INS**</w:t>
            </w:r>
          </w:p>
        </w:tc>
        <w:tc>
          <w:tcPr>
            <w:tcW w:w="9520" w:type="dxa"/>
            <w:vAlign w:val="bottom"/>
            <w:gridSpan w:val="12"/>
          </w:tcPr>
          <w:p>
            <w:pPr>
              <w:spacing w:after="0"/>
              <w:rPr>
                <w:sz w:val="20"/>
                <w:szCs w:val="20"/>
                <w:color w:val="auto"/>
              </w:rPr>
            </w:pPr>
            <w:r>
              <w:rPr>
                <w:rFonts w:ascii="Arial" w:cs="Arial" w:eastAsia="Arial" w:hAnsi="Arial"/>
                <w:sz w:val="18"/>
                <w:szCs w:val="18"/>
                <w:color w:val="auto"/>
                <w:w w:val="92"/>
              </w:rPr>
              <w:t>Inline XBRL Instance – the instance document does not appear in the Interactive Data File because its XBRL tags are embedded</w:t>
            </w:r>
          </w:p>
        </w:tc>
      </w:tr>
      <w:tr>
        <w:trPr>
          <w:trHeight w:val="230"/>
        </w:trPr>
        <w:tc>
          <w:tcPr>
            <w:tcW w:w="1720" w:type="dxa"/>
            <w:vAlign w:val="bottom"/>
          </w:tcPr>
          <w:p>
            <w:pPr>
              <w:spacing w:after="0"/>
              <w:rPr>
                <w:sz w:val="20"/>
                <w:szCs w:val="20"/>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101.SCH**</w:t>
            </w:r>
          </w:p>
        </w:tc>
        <w:tc>
          <w:tcPr>
            <w:tcW w:w="952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101.CAL**</w:t>
            </w:r>
          </w:p>
        </w:tc>
        <w:tc>
          <w:tcPr>
            <w:tcW w:w="952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101.DEF**</w:t>
            </w:r>
          </w:p>
        </w:tc>
        <w:tc>
          <w:tcPr>
            <w:tcW w:w="952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101.LAB**</w:t>
            </w:r>
          </w:p>
        </w:tc>
        <w:tc>
          <w:tcPr>
            <w:tcW w:w="952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101.PRE**</w:t>
            </w:r>
          </w:p>
        </w:tc>
        <w:tc>
          <w:tcPr>
            <w:tcW w:w="952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18"/>
        </w:trPr>
        <w:tc>
          <w:tcPr>
            <w:tcW w:w="1720" w:type="dxa"/>
            <w:vAlign w:val="bottom"/>
          </w:tcPr>
          <w:p>
            <w:pPr>
              <w:spacing w:after="0"/>
              <w:rPr>
                <w:sz w:val="20"/>
                <w:szCs w:val="20"/>
                <w:color w:val="auto"/>
              </w:rPr>
            </w:pPr>
            <w:r>
              <w:rPr>
                <w:rFonts w:ascii="Arial" w:cs="Arial" w:eastAsia="Arial" w:hAnsi="Arial"/>
                <w:sz w:val="18"/>
                <w:szCs w:val="18"/>
                <w:color w:val="auto"/>
              </w:rPr>
              <w:t>104**</w:t>
            </w:r>
          </w:p>
        </w:tc>
        <w:tc>
          <w:tcPr>
            <w:tcW w:w="9520" w:type="dxa"/>
            <w:vAlign w:val="bottom"/>
            <w:gridSpan w:val="12"/>
          </w:tcPr>
          <w:p>
            <w:pPr>
              <w:spacing w:after="0"/>
              <w:rPr>
                <w:sz w:val="20"/>
                <w:szCs w:val="20"/>
                <w:color w:val="auto"/>
              </w:rPr>
            </w:pPr>
            <w:r>
              <w:rPr>
                <w:rFonts w:ascii="Arial" w:cs="Arial" w:eastAsia="Arial" w:hAnsi="Arial"/>
                <w:sz w:val="18"/>
                <w:szCs w:val="18"/>
                <w:color w:val="auto"/>
                <w:w w:val="91"/>
              </w:rPr>
              <w:t>The cover page from the Company’s Quarterly Report on Form 10-Q for the quarter ended September 30, 2020, formatted in Inline</w:t>
            </w:r>
          </w:p>
        </w:tc>
      </w:tr>
      <w:tr>
        <w:trPr>
          <w:trHeight w:val="230"/>
        </w:trPr>
        <w:tc>
          <w:tcPr>
            <w:tcW w:w="1720" w:type="dxa"/>
            <w:vAlign w:val="bottom"/>
          </w:tcPr>
          <w:p>
            <w:pPr>
              <w:spacing w:after="0"/>
              <w:rPr>
                <w:sz w:val="20"/>
                <w:szCs w:val="20"/>
                <w:color w:val="auto"/>
              </w:rPr>
            </w:pPr>
          </w:p>
        </w:tc>
        <w:tc>
          <w:tcPr>
            <w:tcW w:w="9520" w:type="dxa"/>
            <w:vAlign w:val="bottom"/>
            <w:gridSpan w:val="12"/>
          </w:tcPr>
          <w:p>
            <w:pPr>
              <w:spacing w:after="0"/>
              <w:rPr>
                <w:sz w:val="20"/>
                <w:szCs w:val="20"/>
                <w:color w:val="auto"/>
              </w:rPr>
            </w:pPr>
            <w:r>
              <w:rPr>
                <w:rFonts w:ascii="Arial" w:cs="Arial" w:eastAsia="Arial" w:hAnsi="Arial"/>
                <w:sz w:val="18"/>
                <w:szCs w:val="18"/>
                <w:color w:val="auto"/>
              </w:rPr>
              <w:t>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right="6700" w:firstLine="8"/>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 ** Filed herewith.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APPLIED OPTOELECTRONICS,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5, 2020</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By:  /s/ STEFAN J. MURRY</w:t>
            </w:r>
          </w:p>
        </w:tc>
      </w:tr>
      <w:tr>
        <w:trPr>
          <w:trHeight w:val="195"/>
        </w:trPr>
        <w:tc>
          <w:tcPr>
            <w:tcW w:w="36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r>
      <w:tr>
        <w:trPr>
          <w:trHeight w:val="216"/>
        </w:trPr>
        <w:tc>
          <w:tcPr>
            <w:tcW w:w="3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00" w:type="dxa"/>
            <w:vAlign w:val="bottom"/>
          </w:tcPr>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445"/>
        </w:trPr>
        <w:tc>
          <w:tcPr>
            <w:tcW w:w="3660" w:type="dxa"/>
            <w:vAlign w:val="bottom"/>
          </w:tcPr>
          <w:p>
            <w:pPr>
              <w:spacing w:after="0"/>
              <w:rPr>
                <w:sz w:val="24"/>
                <w:szCs w:val="24"/>
                <w:color w:val="auto"/>
              </w:rPr>
            </w:pPr>
          </w:p>
        </w:tc>
        <w:tc>
          <w:tcPr>
            <w:tcW w:w="238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520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37" w:name="page38"/>
    <w:bookmarkEnd w:id="37"/>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644"/>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8" w:name="page39"/>
    <w:bookmarkEnd w:id="38"/>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spacing w:after="0" w:line="187"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2020, to which this Certification is attached as Exhibit 32.1 (the “Quarterly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5th day of November, 2020.</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4715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3454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STEFAN J. MURRY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ectPr>
          <w:pgSz w:w="11900" w:h="16838" w:orient="portrait"/>
          <w:cols w:equalWidth="0" w:num="2">
            <w:col w:w="5080" w:space="720"/>
            <w:col w:w="5440"/>
          </w:cols>
          <w:pgMar w:left="320" w:top="121" w:right="339" w:bottom="1440" w:gutter="0" w:footer="0" w:header="0"/>
          <w:type w:val="continuous"/>
        </w:sectPr>
      </w:pP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28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51" Type="http://schemas.openxmlformats.org/officeDocument/2006/relationships/hyperlink" Target="http://www.sec.gov/Archives/edgar/data/1158114/000101968713004306/aaoi_10q-ex0301.htm" TargetMode="External"/><Relationship Id="rId52" Type="http://schemas.openxmlformats.org/officeDocument/2006/relationships/hyperlink" Target="http://www.sec.gov/Archives/edgar/data/1158114/000101968713004306/aaoi_10q-ex0302.htm" TargetMode="External"/><Relationship Id="rId53" Type="http://schemas.openxmlformats.org/officeDocument/2006/relationships/hyperlink" Target="http://www.sec.gov/Archives/edgar/data/1158114/000110465915051289/a15-15715_1ex4d1.htm" TargetMode="External"/><Relationship Id="rId56" Type="http://schemas.openxmlformats.org/officeDocument/2006/relationships/hyperlink" Target="http://www.sec.gov/Archives/edgar/data/1158114/000110465919012900/a19-4821_4ex4d1.htm" TargetMode="External"/><Relationship Id="rId57" Type="http://schemas.openxmlformats.org/officeDocument/2006/relationships/hyperlink" Target="http://www.sec.gov/Archives/edgar/data/1158114/000168316820003194/appliedopto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2020-11-05T17:02:25Z</dcterms:created>
  <dcterms:modified xsi:type="dcterms:W3CDTF">2020-11-05T17:02:25Z</dcterms:modified>
</cp:coreProperties>
</file>